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embeddings/Microsoft_Excel_Worksheet1.xlsx" ContentType="application/vnd.openxmlformats-officedocument.spreadsheetml.sheet"/>
  <Override PartName="/word/embeddings/Microsoft_Excel_Worksheet10.xlsx" ContentType="application/vnd.openxmlformats-officedocument.spreadsheetml.sheet"/>
  <Override PartName="/word/embeddings/Microsoft_Excel_Worksheet11.xlsx" ContentType="application/vnd.openxmlformats-officedocument.spreadsheetml.sheet"/>
  <Override PartName="/word/embeddings/Microsoft_Excel_Worksheet12.xlsx" ContentType="application/vnd.openxmlformats-officedocument.spreadsheetml.sheet"/>
  <Override PartName="/word/embeddings/Microsoft_Excel_Worksheet13.xlsx" ContentType="application/vnd.openxmlformats-officedocument.spreadsheetml.sheet"/>
  <Override PartName="/word/embeddings/Microsoft_Excel_Worksheet14.xlsx" ContentType="application/vnd.openxmlformats-officedocument.spreadsheetml.sheet"/>
  <Override PartName="/word/embeddings/Microsoft_Excel_Worksheet15.xlsx" ContentType="application/vnd.openxmlformats-officedocument.spreadsheetml.sheet"/>
  <Override PartName="/word/embeddings/Microsoft_Excel_Worksheet16.xlsx" ContentType="application/vnd.openxmlformats-officedocument.spreadsheetml.sheet"/>
  <Override PartName="/word/embeddings/Microsoft_Excel_Worksheet17.xlsx" ContentType="application/vnd.openxmlformats-officedocument.spreadsheetml.sheet"/>
  <Override PartName="/word/embeddings/Microsoft_Excel_Worksheet18.xlsx" ContentType="application/vnd.openxmlformats-officedocument.spreadsheetml.sheet"/>
  <Override PartName="/word/embeddings/Microsoft_Excel_Worksheet19.xlsx" ContentType="application/vnd.openxmlformats-officedocument.spreadsheetml.sheet"/>
  <Override PartName="/word/embeddings/Microsoft_Excel_Worksheet2.xlsx" ContentType="application/vnd.openxmlformats-officedocument.spreadsheetml.sheet"/>
  <Override PartName="/word/embeddings/Microsoft_Excel_Worksheet20.xlsx" ContentType="application/vnd.openxmlformats-officedocument.spreadsheetml.sheet"/>
  <Override PartName="/word/embeddings/Microsoft_Excel_Worksheet21.xlsx" ContentType="application/vnd.openxmlformats-officedocument.spreadsheetml.sheet"/>
  <Override PartName="/word/embeddings/Microsoft_Excel_Worksheet22.xlsx" ContentType="application/vnd.openxmlformats-officedocument.spreadsheetml.sheet"/>
  <Override PartName="/word/embeddings/Microsoft_Excel_Worksheet23.xlsx" ContentType="application/vnd.openxmlformats-officedocument.spreadsheetml.sheet"/>
  <Override PartName="/word/embeddings/Microsoft_Excel_Worksheet24.xlsx" ContentType="application/vnd.openxmlformats-officedocument.spreadsheetml.sheet"/>
  <Override PartName="/word/embeddings/Microsoft_Excel_Worksheet25.xlsx" ContentType="application/vnd.openxmlformats-officedocument.spreadsheetml.sheet"/>
  <Override PartName="/word/embeddings/Microsoft_Excel_Worksheet26.xlsx" ContentType="application/vnd.openxmlformats-officedocument.spreadsheetml.sheet"/>
  <Override PartName="/word/embeddings/Microsoft_Excel_Worksheet27.xlsx" ContentType="application/vnd.openxmlformats-officedocument.spreadsheetml.sheet"/>
  <Override PartName="/word/embeddings/Microsoft_Excel_Worksheet28.xlsx" ContentType="application/vnd.openxmlformats-officedocument.spreadsheetml.sheet"/>
  <Override PartName="/word/embeddings/Microsoft_Excel_Worksheet29.xlsx" ContentType="application/vnd.openxmlformats-officedocument.spreadsheetml.sheet"/>
  <Override PartName="/word/embeddings/Microsoft_Excel_Worksheet3.xlsx" ContentType="application/vnd.openxmlformats-officedocument.spreadsheetml.sheet"/>
  <Override PartName="/word/embeddings/Microsoft_Excel_Worksheet30.xlsx" ContentType="application/vnd.openxmlformats-officedocument.spreadsheetml.sheet"/>
  <Override PartName="/word/embeddings/Microsoft_Excel_Worksheet31.xlsx" ContentType="application/vnd.openxmlformats-officedocument.spreadsheetml.sheet"/>
  <Override PartName="/word/embeddings/Microsoft_Excel_Worksheet32.xlsx" ContentType="application/vnd.openxmlformats-officedocument.spreadsheetml.sheet"/>
  <Override PartName="/word/embeddings/Microsoft_Excel_Worksheet33.xlsx" ContentType="application/vnd.openxmlformats-officedocument.spreadsheetml.sheet"/>
  <Override PartName="/word/embeddings/Microsoft_Excel_Worksheet34.xlsx" ContentType="application/vnd.openxmlformats-officedocument.spreadsheetml.sheet"/>
  <Override PartName="/word/embeddings/Microsoft_Excel_Worksheet35.xlsx" ContentType="application/vnd.openxmlformats-officedocument.spreadsheetml.sheet"/>
  <Override PartName="/word/embeddings/Microsoft_Excel_Worksheet36.xlsx" ContentType="application/vnd.openxmlformats-officedocument.spreadsheetml.sheet"/>
  <Override PartName="/word/embeddings/Microsoft_Excel_Worksheet37.xlsx" ContentType="application/vnd.openxmlformats-officedocument.spreadsheetml.sheet"/>
  <Override PartName="/word/embeddings/Microsoft_Excel_Worksheet38.xlsx" ContentType="application/vnd.openxmlformats-officedocument.spreadsheetml.sheet"/>
  <Override PartName="/word/embeddings/Microsoft_Excel_Worksheet39.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embeddings/Microsoft_Excel_Worksheet7.xlsx" ContentType="application/vnd.openxmlformats-officedocument.spreadsheetml.sheet"/>
  <Override PartName="/word/embeddings/Microsoft_Excel_Worksheet8.xlsx" ContentType="application/vnd.openxmlformats-officedocument.spreadsheetml.sheet"/>
  <Override PartName="/word/embeddings/Microsoft_Excel_Worksheet9.xlsx" ContentType="application/vnd.openxmlformats-officedocument.spreadsheetml.sheet"/>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 -->
  <w:body>
    <w:sdt>
      <w:sdtPr>
        <w:rPr>
          <w:rFonts w:eastAsiaTheme="minorHAnsi"/>
          <w:lang w:val="lv-LV"/>
        </w:rPr>
        <w:id w:val="1472117719"/>
        <w:docPartObj>
          <w:docPartGallery w:val="Cover Pages"/>
          <w:docPartUnique/>
        </w:docPartObj>
      </w:sdtPr>
      <w:sdtEndPr>
        <w:rPr>
          <w:rFonts w:ascii="Times New Roman" w:eastAsia="Times New Roman" w:hAnsi="Times New Roman" w:cs="Times New Roman"/>
          <w:b/>
          <w:bCs/>
          <w:sz w:val="24"/>
          <w:szCs w:val="24"/>
          <w:lang w:eastAsia="lv-LV"/>
        </w:rPr>
      </w:sdtEndPr>
      <w:sdtContent>
        <w:p w:rsidR="00883473" w14:paraId="1FA0AD79" w14:textId="77777777">
          <w:pPr>
            <w:pStyle w:val="NoSpacing"/>
          </w:pPr>
          <w:r>
            <w:rPr>
              <w:noProof/>
              <w:lang w:val="lv-LV" w:eastAsia="lv-LV"/>
            </w:rPr>
            <mc:AlternateContent>
              <mc:Choice Requires="wpg">
                <w:drawing>
                  <wp:anchor distT="0" distB="0" distL="114300" distR="114300" simplePos="0" relativeHeight="251658240" behindDoc="1" locked="0" layoutInCell="1" allowOverlap="1">
                    <wp:simplePos x="0" y="0"/>
                    <wp:positionH relativeFrom="page">
                      <wp:posOffset>296883</wp:posOffset>
                    </wp:positionH>
                    <wp:positionV relativeFrom="page">
                      <wp:posOffset>273132</wp:posOffset>
                    </wp:positionV>
                    <wp:extent cx="2133600" cy="10142283"/>
                    <wp:effectExtent l="0" t="0" r="19050" b="15240"/>
                    <wp:wrapNone/>
                    <wp:docPr id="225" name="Group 225"/>
                    <wp:cNvGraphicFramePr/>
                    <a:graphic xmlns:a="http://schemas.openxmlformats.org/drawingml/2006/main">
                      <a:graphicData uri="http://schemas.microsoft.com/office/word/2010/wordprocessingGroup">
                        <wpg:wgp xmlns:wpg="http://schemas.microsoft.com/office/word/2010/wordprocessingGroup">
                          <wpg:cNvGrpSpPr/>
                          <wpg:grpSpPr>
                            <a:xfrm>
                              <a:off x="0" y="0"/>
                              <a:ext cx="2133600" cy="10142283"/>
                              <a:chOff x="0" y="0"/>
                              <a:chExt cx="2133600" cy="9125712"/>
                            </a:xfrm>
                          </wpg:grpSpPr>
                          <wps:wsp xmlns:wps="http://schemas.microsoft.com/office/word/2010/wordprocessingShape">
                            <wps:cNvPr id="226" name="Rectangle 22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227" name="Pentagon 4"/>
                            <wps:cNvSpPr/>
                            <wps:spPr>
                              <a:xfrm>
                                <a:off x="0" y="2070853"/>
                                <a:ext cx="182880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55C40" w14:textId="77777777">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wps:bodyPr>
                          </wps:wsp>
                          <wpg:grpSp>
                            <wpg:cNvPr id="228" name="Group 228"/>
                            <wpg:cNvGrpSpPr/>
                            <wpg:grpSpPr>
                              <a:xfrm>
                                <a:off x="76200" y="4210050"/>
                                <a:ext cx="2057400" cy="4910328"/>
                                <a:chOff x="80645" y="4211812"/>
                                <a:chExt cx="1306273" cy="3121026"/>
                              </a:xfrm>
                            </wpg:grpSpPr>
                            <wpg:grpSp>
                              <wpg:cNvPr id="229" name="Group 229"/>
                              <wpg:cNvGrpSpPr>
                                <a:grpSpLocks noChangeAspect="1"/>
                              </wpg:cNvGrpSpPr>
                              <wpg:grpSpPr>
                                <a:xfrm>
                                  <a:off x="141062" y="4211812"/>
                                  <a:ext cx="1047750" cy="3121026"/>
                                  <a:chOff x="141062" y="4211812"/>
                                  <a:chExt cx="1047750" cy="3121026"/>
                                </a:xfrm>
                              </wpg:grpSpPr>
                              <wps:wsp xmlns:wps="http://schemas.microsoft.com/office/word/2010/wordprocessingShape">
                                <wps:cNvPr id="230" name="Freeform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440" w="122" stroke="1">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1" name="Freeform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269" w="116" stroke="1">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2" name="Freeform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fill="norm" h="1272" w="140" stroke="1">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3" name="Freeform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fill="norm" h="854" w="45" stroke="1">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4" name="Freeform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629" w="154" stroke="1">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5" name="Freeform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cxnLst>
                                      <a:cxn ang="0">
                                        <a:pos x="T0" y="T1"/>
                                      </a:cxn>
                                      <a:cxn ang="0">
                                        <a:pos x="T2" y="T3"/>
                                      </a:cxn>
                                      <a:cxn ang="0">
                                        <a:pos x="T4" y="T5"/>
                                      </a:cxn>
                                      <a:cxn ang="0">
                                        <a:pos x="T6" y="T7"/>
                                      </a:cxn>
                                      <a:cxn ang="0">
                                        <a:pos x="T8" y="T9"/>
                                      </a:cxn>
                                    </a:cxnLst>
                                    <a:rect l="0" t="0" r="r" b="b"/>
                                    <a:pathLst>
                                      <a:path fill="norm" h="69" w="33" stroke="1">
                                        <a:moveTo>
                                          <a:pt x="0" y="0"/>
                                        </a:moveTo>
                                        <a:lnTo>
                                          <a:pt x="33" y="69"/>
                                        </a:lnTo>
                                        <a:lnTo>
                                          <a:pt x="24" y="69"/>
                                        </a:lnTo>
                                        <a:lnTo>
                                          <a:pt x="12" y="35"/>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6" name="Freeform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cxnLst>
                                      <a:cxn ang="0">
                                        <a:pos x="T0" y="T1"/>
                                      </a:cxn>
                                      <a:cxn ang="0">
                                        <a:pos x="T2" y="T3"/>
                                      </a:cxn>
                                      <a:cxn ang="0">
                                        <a:pos x="T4" y="T5"/>
                                      </a:cxn>
                                      <a:cxn ang="0">
                                        <a:pos x="T6" y="T7"/>
                                      </a:cxn>
                                      <a:cxn ang="0">
                                        <a:pos x="T8" y="T9"/>
                                      </a:cxn>
                                      <a:cxn ang="0">
                                        <a:pos x="T10" y="T11"/>
                                      </a:cxn>
                                    </a:cxnLst>
                                    <a:rect l="0" t="0" r="r" b="b"/>
                                    <a:pathLst>
                                      <a:path fill="norm" h="93" w="15" stroke="1">
                                        <a:moveTo>
                                          <a:pt x="0" y="0"/>
                                        </a:moveTo>
                                        <a:lnTo>
                                          <a:pt x="9" y="37"/>
                                        </a:lnTo>
                                        <a:lnTo>
                                          <a:pt x="9" y="40"/>
                                        </a:lnTo>
                                        <a:lnTo>
                                          <a:pt x="15" y="93"/>
                                        </a:lnTo>
                                        <a:lnTo>
                                          <a:pt x="5" y="49"/>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7" name="Freeform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fill="norm" h="766" w="394" stroke="1">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8" name="Freeform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194" w="36" stroke="1">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39" name="Freeform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cxnLst>
                                      <a:cxn ang="0">
                                        <a:pos x="T0" y="T1"/>
                                      </a:cxn>
                                      <a:cxn ang="0">
                                        <a:pos x="T2" y="T3"/>
                                      </a:cxn>
                                      <a:cxn ang="0">
                                        <a:pos x="T4" y="T5"/>
                                      </a:cxn>
                                      <a:cxn ang="0">
                                        <a:pos x="T6" y="T7"/>
                                      </a:cxn>
                                    </a:cxnLst>
                                    <a:rect l="0" t="0" r="r" b="b"/>
                                    <a:pathLst>
                                      <a:path fill="norm" h="65" w="31" stroke="1">
                                        <a:moveTo>
                                          <a:pt x="0" y="0"/>
                                        </a:moveTo>
                                        <a:lnTo>
                                          <a:pt x="31" y="65"/>
                                        </a:lnTo>
                                        <a:lnTo>
                                          <a:pt x="23" y="65"/>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40" name="Freeform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cxnLst>
                                      <a:cxn ang="0">
                                        <a:pos x="T0" y="T1"/>
                                      </a:cxn>
                                      <a:cxn ang="0">
                                        <a:pos x="T2" y="T3"/>
                                      </a:cxn>
                                      <a:cxn ang="0">
                                        <a:pos x="T4" y="T5"/>
                                      </a:cxn>
                                      <a:cxn ang="0">
                                        <a:pos x="T6" y="T7"/>
                                      </a:cxn>
                                      <a:cxn ang="0">
                                        <a:pos x="T8" y="T9"/>
                                      </a:cxn>
                                      <a:cxn ang="0">
                                        <a:pos x="T10" y="T11"/>
                                      </a:cxn>
                                    </a:cxnLst>
                                    <a:rect l="0" t="0" r="r" b="b"/>
                                    <a:pathLst>
                                      <a:path fill="norm" h="42" w="7" stroke="1">
                                        <a:moveTo>
                                          <a:pt x="0" y="0"/>
                                        </a:moveTo>
                                        <a:lnTo>
                                          <a:pt x="6" y="17"/>
                                        </a:lnTo>
                                        <a:lnTo>
                                          <a:pt x="7" y="42"/>
                                        </a:lnTo>
                                        <a:lnTo>
                                          <a:pt x="6" y="39"/>
                                        </a:lnTo>
                                        <a:lnTo>
                                          <a:pt x="0" y="23"/>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s:wsp xmlns:wps="http://schemas.microsoft.com/office/word/2010/wordprocessingShape">
                                <wps:cNvPr id="241" name="Freeform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18" w="45" stroke="1">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a:solidFill>
                                      <a:schemeClr val="tx2"/>
                                    </a:solidFill>
                                    <a:round/>
                                    <a:headEnd/>
                                    <a:tailEnd/>
                                  </a:ln>
                                </wps:spPr>
                                <wps:bodyPr vert="horz" wrap="square" numCol="1" anchor="t" anchorCtr="0" compatLnSpc="1">
                                  <a:prstTxWarp prst="textNoShape">
                                    <a:avLst/>
                                  </a:prstTxWarp>
                                </wps:bodyPr>
                              </wps:wsp>
                            </wpg:grpSp>
                            <wpg:grpSp>
                              <wpg:cNvPr id="242" name="Group 242"/>
                              <wpg:cNvGrpSpPr>
                                <a:grpSpLocks noChangeAspect="1"/>
                              </wpg:cNvGrpSpPr>
                              <wpg:grpSpPr>
                                <a:xfrm>
                                  <a:off x="80645" y="4826972"/>
                                  <a:ext cx="1306273" cy="2505863"/>
                                  <a:chOff x="80645" y="4649964"/>
                                  <a:chExt cx="874712" cy="1677988"/>
                                </a:xfrm>
                              </wpg:grpSpPr>
                              <wps:wsp xmlns:wps="http://schemas.microsoft.com/office/word/2010/wordprocessingShape">
                                <wps:cNvPr id="243" name="Freeform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450" w="125" stroke="1">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44" name="Freeform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275" w="118" stroke="1">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45" name="Freeform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cxnLst>
                                      <a:cxn ang="0">
                                        <a:pos x="T0" y="T1"/>
                                      </a:cxn>
                                      <a:cxn ang="0">
                                        <a:pos x="T2" y="T3"/>
                                      </a:cxn>
                                      <a:cxn ang="0">
                                        <a:pos x="T4" y="T5"/>
                                      </a:cxn>
                                      <a:cxn ang="0">
                                        <a:pos x="T6" y="T7"/>
                                      </a:cxn>
                                      <a:cxn ang="0">
                                        <a:pos x="T8" y="T9"/>
                                      </a:cxn>
                                      <a:cxn ang="0">
                                        <a:pos x="T10" y="T11"/>
                                      </a:cxn>
                                    </a:cxnLst>
                                    <a:rect l="0" t="0" r="r" b="b"/>
                                    <a:pathLst>
                                      <a:path fill="norm" h="121" w="20" stroke="1">
                                        <a:moveTo>
                                          <a:pt x="0" y="0"/>
                                        </a:moveTo>
                                        <a:lnTo>
                                          <a:pt x="16" y="72"/>
                                        </a:lnTo>
                                        <a:lnTo>
                                          <a:pt x="20" y="121"/>
                                        </a:lnTo>
                                        <a:lnTo>
                                          <a:pt x="18" y="112"/>
                                        </a:lnTo>
                                        <a:lnTo>
                                          <a:pt x="0" y="31"/>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46" name="Freeform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643" w="158" stroke="1">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47" name="Freeform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cxnLst>
                                      <a:cxn ang="0">
                                        <a:pos x="T0" y="T1"/>
                                      </a:cxn>
                                      <a:cxn ang="0">
                                        <a:pos x="T2" y="T3"/>
                                      </a:cxn>
                                      <a:cxn ang="0">
                                        <a:pos x="T4" y="T5"/>
                                      </a:cxn>
                                      <a:cxn ang="0">
                                        <a:pos x="T6" y="T7"/>
                                      </a:cxn>
                                      <a:cxn ang="0">
                                        <a:pos x="T8" y="T9"/>
                                      </a:cxn>
                                    </a:cxnLst>
                                    <a:rect l="0" t="0" r="r" b="b"/>
                                    <a:pathLst>
                                      <a:path fill="norm" h="71" w="33" stroke="1">
                                        <a:moveTo>
                                          <a:pt x="0" y="0"/>
                                        </a:moveTo>
                                        <a:lnTo>
                                          <a:pt x="33" y="71"/>
                                        </a:lnTo>
                                        <a:lnTo>
                                          <a:pt x="24" y="71"/>
                                        </a:lnTo>
                                        <a:lnTo>
                                          <a:pt x="11" y="36"/>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48" name="Freeform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cxnLst>
                                      <a:cxn ang="0">
                                        <a:pos x="T0" y="T1"/>
                                      </a:cxn>
                                      <a:cxn ang="0">
                                        <a:pos x="T2" y="T3"/>
                                      </a:cxn>
                                      <a:cxn ang="0">
                                        <a:pos x="T4" y="T5"/>
                                      </a:cxn>
                                      <a:cxn ang="0">
                                        <a:pos x="T6" y="T7"/>
                                      </a:cxn>
                                      <a:cxn ang="0">
                                        <a:pos x="T8" y="T9"/>
                                      </a:cxn>
                                      <a:cxn ang="0">
                                        <a:pos x="T10" y="T11"/>
                                      </a:cxn>
                                    </a:cxnLst>
                                    <a:rect l="0" t="0" r="r" b="b"/>
                                    <a:pathLst>
                                      <a:path fill="norm" h="95" w="15" stroke="1">
                                        <a:moveTo>
                                          <a:pt x="0" y="0"/>
                                        </a:moveTo>
                                        <a:lnTo>
                                          <a:pt x="8" y="37"/>
                                        </a:lnTo>
                                        <a:lnTo>
                                          <a:pt x="8" y="41"/>
                                        </a:lnTo>
                                        <a:lnTo>
                                          <a:pt x="15" y="95"/>
                                        </a:lnTo>
                                        <a:lnTo>
                                          <a:pt x="4" y="49"/>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49" name="Freeform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fill="norm" h="782" w="402" stroke="1">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50" name="Freeform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196" w="37" stroke="1">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51" name="Freeform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cxnLst>
                                      <a:cxn ang="0">
                                        <a:pos x="T0" y="T1"/>
                                      </a:cxn>
                                      <a:cxn ang="0">
                                        <a:pos x="T2" y="T3"/>
                                      </a:cxn>
                                      <a:cxn ang="0">
                                        <a:pos x="T4" y="T5"/>
                                      </a:cxn>
                                      <a:cxn ang="0">
                                        <a:pos x="T6" y="T7"/>
                                      </a:cxn>
                                    </a:cxnLst>
                                    <a:rect l="0" t="0" r="r" b="b"/>
                                    <a:pathLst>
                                      <a:path fill="norm" h="66" w="31" stroke="1">
                                        <a:moveTo>
                                          <a:pt x="0" y="0"/>
                                        </a:moveTo>
                                        <a:lnTo>
                                          <a:pt x="31" y="66"/>
                                        </a:lnTo>
                                        <a:lnTo>
                                          <a:pt x="24" y="66"/>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52" name="Freeform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cxnLst>
                                      <a:cxn ang="0">
                                        <a:pos x="T0" y="T1"/>
                                      </a:cxn>
                                      <a:cxn ang="0">
                                        <a:pos x="T2" y="T3"/>
                                      </a:cxn>
                                      <a:cxn ang="0">
                                        <a:pos x="T4" y="T5"/>
                                      </a:cxn>
                                      <a:cxn ang="0">
                                        <a:pos x="T6" y="T7"/>
                                      </a:cxn>
                                      <a:cxn ang="0">
                                        <a:pos x="T8" y="T9"/>
                                      </a:cxn>
                                      <a:cxn ang="0">
                                        <a:pos x="T10" y="T11"/>
                                      </a:cxn>
                                    </a:cxnLst>
                                    <a:rect l="0" t="0" r="r" b="b"/>
                                    <a:pathLst>
                                      <a:path fill="norm" h="43" w="7" stroke="1">
                                        <a:moveTo>
                                          <a:pt x="0" y="0"/>
                                        </a:moveTo>
                                        <a:lnTo>
                                          <a:pt x="7" y="17"/>
                                        </a:lnTo>
                                        <a:lnTo>
                                          <a:pt x="7" y="43"/>
                                        </a:lnTo>
                                        <a:lnTo>
                                          <a:pt x="6" y="40"/>
                                        </a:lnTo>
                                        <a:lnTo>
                                          <a:pt x="0" y="25"/>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s:wsp xmlns:wps="http://schemas.microsoft.com/office/word/2010/wordprocessingShape">
                                <wps:cNvPr id="253" name="Freeform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21" w="46" stroke="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a:solidFill>
                                      <a:schemeClr val="tx2">
                                        <a:alpha val="20000"/>
                                      </a:schemeClr>
                                    </a:solidFill>
                                    <a:round/>
                                    <a:headEnd/>
                                    <a:tailEnd/>
                                  </a:ln>
                                </wps:spPr>
                                <wps:bodyPr vert="horz" wrap="square"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Group 225" o:spid="_x0000_s1025" style="width:168pt;height:718.55pt;margin-top:21.5pt;margin-left:23.4pt;mso-height-percent:950;mso-position-horizontal-relative:page;mso-position-vertical-relative:page;position:absolute;z-index:-251657216" coordsize="21336,91257">
                    <v:rect id="Rectangle 226" o:spid="_x0000_s1026" style="width:1945;height:91257;mso-wrap-style:square;position:absolute;visibility:visible;v-text-anchor:middle" fillcolor="#632e62"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7" type="#_x0000_t15" style="width:18288;height:5521;mso-wrap-style:square;position:absolute;top:20708;visibility:visible;v-text-anchor:middle" adj="18340" fillcolor="#92278f" stroked="f" strokeweight="1pt">
                      <v:textbox inset=",0,14.4pt,0">
                        <w:txbxContent>
                          <w:p w:rsidR="00B55C40" w14:paraId="6ACCBE8F" w14:textId="77777777">
                            <w:pPr>
                              <w:pStyle w:val="NoSpacing"/>
                              <w:jc w:val="right"/>
                              <w:rPr>
                                <w:color w:val="FFFFFF" w:themeColor="background1"/>
                                <w:sz w:val="28"/>
                                <w:szCs w:val="28"/>
                              </w:rPr>
                            </w:pPr>
                          </w:p>
                        </w:txbxContent>
                      </v:textbox>
                    </v:shape>
                    <v:group id="Group 228" o:spid="_x0000_s1028" style="width:20574;height:49103;left:762;position:absolute;top:42100" coordorigin="806,42118" coordsize="13062,31210">
                      <v:group id="Group 229" o:spid="_x0000_s1029" style="width:10478;height:31210;left:1410;position:absolute;top:42118" coordorigin="1410,42118" coordsize="10477,31210">
                        <o:lock v:ext="edit" aspectratio="t"/>
                        <v:shape id="Freeform 20" o:spid="_x0000_s1030" style="width:1937;height:6985;left:3696;mso-wrap-style:square;position:absolute;top:62168;visibility:visible;v-text-anchor:top" coordsize="122,440" path="m,l39,152,84,304l122,417l122,440,76,306,39,180,6,53,,xe" fillcolor="#632e62" strokecolor="#632e62">
                          <v:path arrowok="t" o:connecttype="custom" o:connectlocs="0,0;61913,241300;133350,482600;193675,661988;193675,698500;120650,485775;61913,285750;9525,84138;0,0" o:connectangles="0,0,0,0,0,0,0,0,0"/>
                        </v:shape>
                        <v:shape id="Freeform 21" o:spid="_x0000_s1031" style="width:1842;height:4270;left:5728;mso-wrap-style:square;position:absolute;top:69058;visibility:visible;v-text-anchor:top" coordsize="116,269" path="m,l8,19,37,93l67,167l116,269l108,269l60,169,30,98,1,25,,xe" fillcolor="#632e62" strokecolor="#632e62">
                          <v:path arrowok="t" o:connecttype="custom" o:connectlocs="0,0;12700,30163;58738,147638;106363,265113;184150,427038;171450,427038;95250,268288;47625,155575;1588,39688;0,0" o:connectangles="0,0,0,0,0,0,0,0,0,0"/>
                        </v:shape>
                        <v:shape id="Freeform 22" o:spid="_x0000_s1032" style="width:2223;height:20193;left:1410;mso-wrap-style:square;position:absolute;top:42118;visibility:visible;v-text-anchor:top" coordsize="140,1272" path="m,l,,1,79l3,159l12,317,23,476,39,634,58,792,83,948l107,1086l135,1223l140,1272l138,1262,105,1106,77,949,53,792,35,634,20,476,9,317,2,159,,79,,xe" fillcolor="#632e62" strokecolor="#632e62">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width:715;height:13557;left:3410;mso-wrap-style:square;position:absolute;top:48611;visibility:visible;v-text-anchor:top" coordsize="45,854" path="m45,l45,l35,66l26,133l14,267,6,401,3,534,6,669l14,803l18,854l18,851l9,814,8,803,1,669,,534,3,401,12,267,25,132,34,66,45,xe" fillcolor="#632e62" strokecolor="#632e62">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width:2444;height:9985;left:3633;mso-wrap-style:square;position:absolute;top:62311;visibility:visible;v-text-anchor:top" coordsize="154,629" path="m,l10,44l21,126l34,207l53,293l75,380l100,466l120,521l141,576l152,618l154,629l140,595,115,532,93,468,67,383,47,295,28,207,12,104,,xe" fillcolor="#632e62" strokecolor="#632e62">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width:524;height:1095;left:6204;mso-wrap-style:square;position:absolute;top:72233;visibility:visible;v-text-anchor:top" coordsize="33,69" path="m,l33,69l24,69l12,35,,xe" fillcolor="#632e62" strokecolor="#632e62">
                          <v:path arrowok="t" o:connecttype="custom" o:connectlocs="0,0;52388,109538;38100,109538;19050,55563;0,0" o:connectangles="0,0,0,0,0"/>
                        </v:shape>
                        <v:shape id="Freeform 26" o:spid="_x0000_s1036" style="width:238;height:1476;left:3553;mso-wrap-style:square;position:absolute;top:61533;visibility:visible;v-text-anchor:top" coordsize="15,93" path="m,l9,37l9,40l15,93,5,49,,xe" fillcolor="#632e62" strokecolor="#632e62">
                          <v:path arrowok="t" o:connecttype="custom" o:connectlocs="0,0;14288,58738;14288,63500;23813,147638;7938,77788;0,0" o:connectangles="0,0,0,0,0,0"/>
                        </v:shape>
                        <v:shape id="Freeform 27" o:spid="_x0000_s1037" style="width:6255;height:12161;left:5633;mso-wrap-style:square;position:absolute;top:56897;visibility:visible;v-text-anchor:top" coordsize="394,766" path="m394,l394,l356,38,319,77l284,117l249,160l207,218l168,276l131,339l98,402,69,467,45,535,26,604,14,673,7,746,6,766,,749l1,744l7,673,21,603,40,533,65,466,94,400l127,336l164,275l204,215l248,158l282,116l318,76,354,37,394,xe" fillcolor="#632e62" strokecolor="#632e62">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width:571;height:3080;left:5633;mso-wrap-style:square;position:absolute;top:69153;visibility:visible;v-text-anchor:top" coordsize="36,194" path="m,l6,16l7,19l11,80l20,132l33,185l36,194l21,161,15,145,5,81,1,41,,xe" fillcolor="#632e62" strokecolor="#632e62">
                          <v:path arrowok="t" o:connecttype="custom" o:connectlocs="0,0;9525,25400;11113,30163;17463,127000;31750,209550;52388,293688;57150,307975;33338,255588;23813,230188;7938,128588;1588,65088;0,0" o:connectangles="0,0,0,0,0,0,0,0,0,0,0,0"/>
                        </v:shape>
                        <v:shape id="Freeform 29" o:spid="_x0000_s1039" style="width:493;height:1032;left:6077;mso-wrap-style:square;position:absolute;top:72296;visibility:visible;v-text-anchor:top" coordsize="31,65" path="m,l31,65l23,65l,xe" fillcolor="#632e62" strokecolor="#632e62">
                          <v:path arrowok="t" o:connecttype="custom" o:connectlocs="0,0;49213,103188;36513,103188;0,0" o:connectangles="0,0,0,0"/>
                        </v:shape>
                        <v:shape id="Freeform 30" o:spid="_x0000_s1040" style="width:111;height:666;left:5633;mso-wrap-style:square;position:absolute;top:68788;visibility:visible;v-text-anchor:top" coordsize="7,42" path="m,l6,17,7,42,6,39,,23,,xe" fillcolor="#632e62" strokecolor="#632e62">
                          <v:path arrowok="t" o:connecttype="custom" o:connectlocs="0,0;9525,26988;11113,66675;9525,61913;0,36513;0,0" o:connectangles="0,0,0,0,0,0"/>
                        </v:shape>
                        <v:shape id="Freeform 31" o:spid="_x0000_s1041" style="width:714;height:1873;left:5871;mso-wrap-style:square;position:absolute;top:71455;visibility:visible;v-text-anchor:top" coordsize="45,118" path="m,l6,16,21,49,33,84l45,118l44,118,13,53,11,42,,xe" fillcolor="#632e62" strokecolor="#632e62">
                          <v:path arrowok="t" o:connecttype="custom" o:connectlocs="0,0;9525,25400;33338,77788;52388,133350;71438,187325;69850,187325;20638,84138;17463,66675;0,0" o:connectangles="0,0,0,0,0,0,0,0,0"/>
                        </v:shape>
                      </v:group>
                      <v:group id="Group 242" o:spid="_x0000_s1042" style="width:13063;height:25059;left:806;position:absolute;top:48269" coordorigin="806,46499" coordsize="8747,16779">
                        <o:lock v:ext="edit" aspectratio="t"/>
                        <v:shape id="Freeform 8" o:spid="_x0000_s1043" style="width:1984;height:7143;left:1187;mso-wrap-style:square;position:absolute;top:51897;visibility:visible;v-text-anchor:top" coordsize="125,450" path="m,l41,155,86,309l125,425l125,450,79,311,41,183,7,54,,xe" fillcolor="#632e62" strokecolor="#632e62">
                          <v:fill opacity="13107f"/>
                          <v:stroke opacity="13107f"/>
                          <v:path arrowok="t" o:connecttype="custom" o:connectlocs="0,0;65088,246063;136525,490538;198438,674688;198438,714375;125413,493713;65088,290513;11113,85725;0,0" o:connectangles="0,0,0,0,0,0,0,0,0"/>
                        </v:shape>
                        <v:shape id="Freeform 9" o:spid="_x0000_s1044" style="width:1874;height:4366;left:3282;mso-wrap-style:square;position:absolute;top:58913;visibility:visible;v-text-anchor:top" coordsize="118,275" path="m,l8,20,37,96l69,170l118,275l109,275l61,174,30,100,,26,,xe" fillcolor="#632e62" strokecolor="#632e62">
                          <v:fill opacity="13107f"/>
                          <v:stroke opacity="13107f"/>
                          <v:path arrowok="t" o:connecttype="custom" o:connectlocs="0,0;12700,31750;58738,152400;109538,269875;187325,436563;173038,436563;96838,276225;47625,158750;0,41275;0,0" o:connectangles="0,0,0,0,0,0,0,0,0,0"/>
                        </v:shape>
                        <v:shape id="Freeform 10" o:spid="_x0000_s1045" style="width:317;height:1921;left:806;mso-wrap-style:square;position:absolute;top:50103;visibility:visible;v-text-anchor:top" coordsize="20,121" path="m,l16,72l20,121l18,112,,31,,xe" fillcolor="#632e62" strokecolor="#632e62">
                          <v:fill opacity="13107f"/>
                          <v:stroke opacity="13107f"/>
                          <v:path arrowok="t" o:connecttype="custom" o:connectlocs="0,0;25400,114300;31750,192088;28575,177800;0,49213;0,0" o:connectangles="0,0,0,0,0,0"/>
                        </v:shape>
                        <v:shape id="Freeform 12" o:spid="_x0000_s1046" style="width:2509;height:10207;left:1123;mso-wrap-style:square;position:absolute;top:52024;visibility:visible;v-text-anchor:top" coordsize="158,643" path="m,l11,46l22,129l36,211l55,301l76,389l103,476l123,533l144,588l155,632l158,643l142,608,118,544,95,478,69,391,47,302,29,212,13,107,,xe" fillcolor="#632e62" strokecolor="#632e62">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width:524;height:1127;left:3759;mso-wrap-style:square;position:absolute;top:62152;visibility:visible;v-text-anchor:top" coordsize="33,71" path="m,l33,71l24,71l11,36,,xe" fillcolor="#632e62" strokecolor="#632e62">
                          <v:fill opacity="13107f"/>
                          <v:stroke opacity="13107f"/>
                          <v:path arrowok="t" o:connecttype="custom" o:connectlocs="0,0;52388,112713;38100,112713;17463,57150;0,0" o:connectangles="0,0,0,0,0"/>
                        </v:shape>
                        <v:shape id="Freeform 14" o:spid="_x0000_s1048" style="width:238;height:1508;left:1060;mso-wrap-style:square;position:absolute;top:51246;visibility:visible;v-text-anchor:top" coordsize="15,95" path="m,l8,37l8,41l15,95,4,49,,xe" fillcolor="#632e62" strokecolor="#632e62">
                          <v:fill opacity="13107f"/>
                          <v:stroke opacity="13107f"/>
                          <v:path arrowok="t" o:connecttype="custom" o:connectlocs="0,0;12700,58738;12700,65088;23813,150813;6350,77788;0,0" o:connectangles="0,0,0,0,0,0"/>
                        </v:shape>
                        <v:shape id="Freeform 15" o:spid="_x0000_s1049" style="width:6382;height:12414;left:3171;mso-wrap-style:square;position:absolute;top:46499;visibility:visible;v-text-anchor:top" coordsize="402,782" path="m402,l402,1l363,39,325,79l290,121l255,164l211,222l171,284l133,346l100,411,71,478,45,546,27,617,13,689,7,761l7,782l,765l1,761l7,688,21,616,40,545,66,475,95,409l130,343l167,281l209,220l253,163l287,120l324,78,362,38,402,xe" fillcolor="#632e62" strokecolor="#632e62">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width:588;height:3112;left:3171;mso-wrap-style:square;position:absolute;top:59040;visibility:visible;v-text-anchor:top" coordsize="37,196" path="m,l6,15l7,18l12,80l21,134l33,188l37,196l22,162,15,146,5,81,1,40,,xe" fillcolor="#632e62" strokecolor="#632e62">
                          <v:fill opacity="13107f"/>
                          <v:stroke opacity="13107f"/>
                          <v:path arrowok="t" o:connecttype="custom" o:connectlocs="0,0;9525,23813;11113,28575;19050,127000;33338,212725;52388,298450;58738,311150;34925,257175;23813,231775;7938,128588;1588,63500;0,0" o:connectangles="0,0,0,0,0,0,0,0,0,0,0,0"/>
                        </v:shape>
                        <v:shape id="Freeform 17" o:spid="_x0000_s1051" style="width:492;height:1048;left:3632;mso-wrap-style:square;position:absolute;top:62231;visibility:visible;v-text-anchor:top" coordsize="31,66" path="m,l31,66l24,66l,xe" fillcolor="#632e62" strokecolor="#632e62">
                          <v:fill opacity="13107f"/>
                          <v:stroke opacity="13107f"/>
                          <v:path arrowok="t" o:connecttype="custom" o:connectlocs="0,0;49213,104775;38100,104775;0,0" o:connectangles="0,0,0,0"/>
                        </v:shape>
                        <v:shape id="Freeform 18" o:spid="_x0000_s1052" style="width:111;height:682;left:3171;mso-wrap-style:square;position:absolute;top:58644;visibility:visible;v-text-anchor:top" coordsize="7,43" path="m,l7,17l7,43l6,40,,25,,xe" fillcolor="#632e62" strokecolor="#632e62">
                          <v:fill opacity="13107f"/>
                          <v:stroke opacity="13107f"/>
                          <v:path arrowok="t" o:connecttype="custom" o:connectlocs="0,0;11113,26988;11113,68263;9525,63500;0,39688;0,0" o:connectangles="0,0,0,0,0,0"/>
                        </v:shape>
                        <v:shape id="Freeform 19" o:spid="_x0000_s1053" style="width:731;height:1921;left:3409;mso-wrap-style:square;position:absolute;top:61358;visibility:visible;v-text-anchor:top" coordsize="46,121" path="m,l7,16,22,50,33,86l46,121l45,121,14,55,11,44,,xe" fillcolor="#632e62" strokecolor="#632e62">
                          <v:fill opacity="13107f"/>
                          <v:stroke opacity="13107f"/>
                          <v:path arrowok="t" o:connecttype="custom" o:connectlocs="0,0;11113,25400;34925,79375;52388,136525;73025,192088;71438,192088;22225,87313;17463,69850;0,0" o:connectangles="0,0,0,0,0,0,0,0,0"/>
                        </v:shape>
                      </v:group>
                    </v:group>
                  </v:group>
                </w:pict>
              </mc:Fallback>
            </mc:AlternateContent>
          </w:r>
        </w:p>
        <w:p w:rsidR="00883473" w14:paraId="722BC1E9" w14:textId="77777777">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noProof/>
              <w:sz w:val="24"/>
              <w:szCs w:val="24"/>
              <w:lang w:eastAsia="lv-LV"/>
            </w:rPr>
            <mc:AlternateContent>
              <mc:Choice Requires="wps">
                <w:drawing>
                  <wp:anchor distT="0" distB="0" distL="114300" distR="114300" simplePos="0" relativeHeight="251865088" behindDoc="0" locked="0" layoutInCell="1" allowOverlap="1">
                    <wp:simplePos x="0" y="0"/>
                    <wp:positionH relativeFrom="column">
                      <wp:posOffset>2797662</wp:posOffset>
                    </wp:positionH>
                    <wp:positionV relativeFrom="paragraph">
                      <wp:posOffset>9343080</wp:posOffset>
                    </wp:positionV>
                    <wp:extent cx="552893" cy="371150"/>
                    <wp:effectExtent l="0" t="0" r="0" b="0"/>
                    <wp:wrapNone/>
                    <wp:docPr id="66" name="Rectangle 66"/>
                    <wp:cNvGraphicFramePr/>
                    <a:graphic xmlns:a="http://schemas.openxmlformats.org/drawingml/2006/main">
                      <a:graphicData uri="http://schemas.microsoft.com/office/word/2010/wordprocessingShape">
                        <wps:wsp xmlns:wps="http://schemas.microsoft.com/office/word/2010/wordprocessingShape">
                          <wps:cNvSpPr/>
                          <wps:spPr>
                            <a:xfrm>
                              <a:off x="0" y="0"/>
                              <a:ext cx="552893" cy="371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66" o:spid="_x0000_s1054" style="width:43.55pt;height:29.2pt;margin-top:735.7pt;margin-left:220.3pt;mso-wrap-distance-bottom:0;mso-wrap-distance-left:9pt;mso-wrap-distance-right:9pt;mso-wrap-distance-top:0;mso-wrap-style:square;position:absolute;visibility:visible;v-text-anchor:middle;z-index:251866112" fillcolor="white" stroked="f" strokeweight="1pt"/>
                </w:pict>
              </mc:Fallback>
            </mc:AlternateContent>
          </w:r>
          <w:r w:rsidRPr="000D0BFE" w:rsidR="000D0BFE">
            <w:rPr>
              <w:rFonts w:ascii="Times New Roman" w:eastAsia="Times New Roman" w:hAnsi="Times New Roman" w:cs="Times New Roman"/>
              <w:b/>
              <w:bCs/>
              <w:noProof/>
              <w:sz w:val="24"/>
              <w:szCs w:val="24"/>
              <w:lang w:eastAsia="lv-LV"/>
            </w:rPr>
            <mc:AlternateContent>
              <mc:Choice Requires="wps">
                <w:drawing>
                  <wp:anchor distT="45720" distB="45720" distL="114300" distR="114300" simplePos="0" relativeHeight="251667456" behindDoc="0" locked="0" layoutInCell="1" allowOverlap="1">
                    <wp:simplePos x="0" y="0"/>
                    <wp:positionH relativeFrom="column">
                      <wp:posOffset>1028255</wp:posOffset>
                    </wp:positionH>
                    <wp:positionV relativeFrom="paragraph">
                      <wp:posOffset>916305</wp:posOffset>
                    </wp:positionV>
                    <wp:extent cx="4618990" cy="1827149"/>
                    <wp:effectExtent l="0" t="0" r="0" b="5080"/>
                    <wp:wrapSquare wrapText="bothSides"/>
                    <wp:docPr id="2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18990" cy="1827149"/>
                            </a:xfrm>
                            <a:prstGeom prst="rect">
                              <a:avLst/>
                            </a:prstGeom>
                            <a:noFill/>
                            <a:ln w="9525">
                              <a:noFill/>
                              <a:miter lim="800000"/>
                              <a:headEnd/>
                              <a:tailEnd/>
                            </a:ln>
                          </wps:spPr>
                          <wps:txbx>
                            <w:txbxContent>
                              <w:p w:rsidR="00B55C40" w:rsidRPr="008E4035" w:rsidP="000D0BFE" w14:textId="77777777">
                                <w:pPr>
                                  <w:spacing w:after="360" w:line="240" w:lineRule="auto"/>
                                  <w:jc w:val="center"/>
                                  <w:rPr>
                                    <w:rFonts w:ascii="Candara" w:hAnsi="Candara"/>
                                    <w:b/>
                                    <w:color w:val="6D1D6A" w:themeColor="accent1" w:themeShade="BF"/>
                                    <w:sz w:val="52"/>
                                    <w:szCs w:val="52"/>
                                    <w14:shadow w14:blurRad="50800" w14:dist="38100" w14:dir="5400000" w14:sx="100000" w14:sy="100000" w14:kx="0" w14:ky="0" w14:algn="t">
                                      <w14:srgbClr w14:val="000000">
                                        <w14:alpha w14:val="60000"/>
                                      </w14:srgbClr>
                                    </w14:shadow>
                                  </w:rPr>
                                </w:pPr>
                                <w:r>
                                  <w:rPr>
                                    <w:rFonts w:ascii="Candara" w:hAnsi="Candara"/>
                                    <w:b/>
                                    <w:color w:val="6D1D6A" w:themeColor="accent1" w:themeShade="BF"/>
                                    <w:sz w:val="52"/>
                                    <w:szCs w:val="52"/>
                                    <w14:shadow w14:blurRad="50800" w14:dist="38100" w14:dir="5400000" w14:sx="100000" w14:sy="100000" w14:kx="0" w14:ky="0" w14:algn="t">
                                      <w14:srgbClr w14:val="000000">
                                        <w14:alpha w14:val="60000"/>
                                      </w14:srgbClr>
                                    </w14:shadow>
                                  </w:rPr>
                                  <w:t>Informatīvais ziņojums</w:t>
                                </w:r>
                              </w:p>
                              <w:p w:rsidR="00B55C40" w:rsidRPr="008E4035" w:rsidP="000D0BFE" w14:textId="77777777">
                                <w:pPr>
                                  <w:spacing w:after="360" w:line="240" w:lineRule="auto"/>
                                  <w:jc w:val="center"/>
                                  <w:rPr>
                                    <w:rFonts w:ascii="Candara" w:hAnsi="Candara"/>
                                    <w:b/>
                                    <w:color w:val="6D1D6A" w:themeColor="accent1" w:themeShade="BF"/>
                                    <w:sz w:val="52"/>
                                    <w:szCs w:val="52"/>
                                    <w14:shadow w14:blurRad="50800" w14:dist="38100" w14:dir="5400000" w14:sx="100000" w14:sy="100000" w14:kx="0" w14:ky="0" w14:algn="t">
                                      <w14:srgbClr w14:val="000000">
                                        <w14:alpha w14:val="60000"/>
                                      </w14:srgbClr>
                                    </w14:shadow>
                                  </w:rPr>
                                </w:pPr>
                                <w:r w:rsidRPr="008E4035">
                                  <w:rPr>
                                    <w:rFonts w:ascii="Candara" w:hAnsi="Candara"/>
                                    <w:b/>
                                    <w:color w:val="6D1D6A" w:themeColor="accent1" w:themeShade="BF"/>
                                    <w:sz w:val="52"/>
                                    <w:szCs w:val="52"/>
                                    <w14:shadow w14:blurRad="50800" w14:dist="38100" w14:dir="5400000" w14:sx="100000" w14:sy="100000" w14:kx="0" w14:ky="0" w14:algn="t">
                                      <w14:srgbClr w14:val="000000">
                                        <w14:alpha w14:val="60000"/>
                                      </w14:srgbClr>
                                    </w14:shadow>
                                  </w:rPr>
                                  <w:t>VIEDĀS SPECIALIZĀCIJAS STRATĒĢIJAS MONITORINGS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width:363.7pt;height:110.6pt;margin-top:72.15pt;margin-left:80.95pt;mso-height-percent:200;mso-height-relative:margin;mso-width-percent:0;mso-width-relative:margin;mso-wrap-distance-bottom:3.6pt;mso-wrap-distance-left:9pt;mso-wrap-distance-right:9pt;mso-wrap-distance-top:3.6pt;mso-wrap-style:square;position:absolute;visibility:visible;v-text-anchor:top;z-index:251668480" filled="f" stroked="f">
                    <v:textbox style="mso-fit-shape-to-text:t">
                      <w:txbxContent>
                        <w:p w:rsidR="00B55C40" w:rsidRPr="008E4035" w:rsidP="000D0BFE" w14:paraId="57C4AFC7" w14:textId="77777777">
                          <w:pPr>
                            <w:spacing w:after="360" w:line="240" w:lineRule="auto"/>
                            <w:jc w:val="center"/>
                            <w:rPr>
                              <w:rFonts w:ascii="Candara" w:hAnsi="Candara"/>
                              <w:b/>
                              <w:color w:val="6D1D6A" w:themeColor="accent1" w:themeShade="BF"/>
                              <w:sz w:val="52"/>
                              <w:szCs w:val="52"/>
                              <w14:shadow w14:blurRad="50800" w14:dist="38100" w14:dir="5400000" w14:sx="100000" w14:sy="100000" w14:kx="0" w14:ky="0" w14:algn="t">
                                <w14:srgbClr w14:val="000000">
                                  <w14:alpha w14:val="60000"/>
                                </w14:srgbClr>
                              </w14:shadow>
                            </w:rPr>
                          </w:pPr>
                          <w:r>
                            <w:rPr>
                              <w:rFonts w:ascii="Candara" w:hAnsi="Candara"/>
                              <w:b/>
                              <w:color w:val="6D1D6A" w:themeColor="accent1" w:themeShade="BF"/>
                              <w:sz w:val="52"/>
                              <w:szCs w:val="52"/>
                              <w14:shadow w14:blurRad="50800" w14:dist="38100" w14:dir="5400000" w14:sx="100000" w14:sy="100000" w14:kx="0" w14:ky="0" w14:algn="t">
                                <w14:srgbClr w14:val="000000">
                                  <w14:alpha w14:val="60000"/>
                                </w14:srgbClr>
                              </w14:shadow>
                            </w:rPr>
                            <w:t>Informatīvais ziņojums</w:t>
                          </w:r>
                        </w:p>
                        <w:p w:rsidR="00B55C40" w:rsidRPr="008E4035" w:rsidP="000D0BFE" w14:paraId="2F985623" w14:textId="77777777">
                          <w:pPr>
                            <w:spacing w:after="360" w:line="240" w:lineRule="auto"/>
                            <w:jc w:val="center"/>
                            <w:rPr>
                              <w:rFonts w:ascii="Candara" w:hAnsi="Candara"/>
                              <w:b/>
                              <w:color w:val="6D1D6A" w:themeColor="accent1" w:themeShade="BF"/>
                              <w:sz w:val="52"/>
                              <w:szCs w:val="52"/>
                              <w14:shadow w14:blurRad="50800" w14:dist="38100" w14:dir="5400000" w14:sx="100000" w14:sy="100000" w14:kx="0" w14:ky="0" w14:algn="t">
                                <w14:srgbClr w14:val="000000">
                                  <w14:alpha w14:val="60000"/>
                                </w14:srgbClr>
                              </w14:shadow>
                            </w:rPr>
                          </w:pPr>
                          <w:r w:rsidRPr="008E4035">
                            <w:rPr>
                              <w:rFonts w:ascii="Candara" w:hAnsi="Candara"/>
                              <w:b/>
                              <w:color w:val="6D1D6A" w:themeColor="accent1" w:themeShade="BF"/>
                              <w:sz w:val="52"/>
                              <w:szCs w:val="52"/>
                              <w14:shadow w14:blurRad="50800" w14:dist="38100" w14:dir="5400000" w14:sx="100000" w14:sy="100000" w14:kx="0" w14:ky="0" w14:algn="t">
                                <w14:srgbClr w14:val="000000">
                                  <w14:alpha w14:val="60000"/>
                                </w14:srgbClr>
                              </w14:shadow>
                            </w:rPr>
                            <w:t>VIEDĀS SPECIALIZĀCIJAS STRATĒĢIJAS MONITORINGS</w:t>
                          </w:r>
                        </w:p>
                      </w:txbxContent>
                    </v:textbox>
                    <w10:wrap type="square"/>
                  </v:shape>
                </w:pict>
              </mc:Fallback>
            </mc:AlternateContent>
          </w:r>
          <w:r w:rsidR="00883473">
            <w:rPr>
              <w:noProof/>
              <w:lang w:eastAsia="lv-LV"/>
            </w:rPr>
            <mc:AlternateContent>
              <mc:Choice Requires="wps">
                <w:drawing>
                  <wp:anchor distT="0" distB="0" distL="114300" distR="114300" simplePos="0" relativeHeight="251661312" behindDoc="0" locked="0" layoutInCell="1" allowOverlap="1">
                    <wp:simplePos x="0" y="0"/>
                    <wp:positionH relativeFrom="page">
                      <wp:posOffset>2256155</wp:posOffset>
                    </wp:positionH>
                    <wp:positionV relativeFrom="page">
                      <wp:posOffset>3941429</wp:posOffset>
                    </wp:positionV>
                    <wp:extent cx="4536374" cy="1069340"/>
                    <wp:effectExtent l="0" t="0" r="0" b="1270"/>
                    <wp:wrapNone/>
                    <wp:docPr id="254" name="Text Box 254"/>
                    <wp:cNvGraphicFramePr/>
                    <a:graphic xmlns:a="http://schemas.openxmlformats.org/drawingml/2006/main">
                      <a:graphicData uri="http://schemas.microsoft.com/office/word/2010/wordprocessingShape">
                        <wps:wsp xmlns:wps="http://schemas.microsoft.com/office/word/2010/wordprocessingShape">
                          <wps:cNvSpPr txBox="1"/>
                          <wps:spPr>
                            <a:xfrm>
                              <a:off x="0" y="0"/>
                              <a:ext cx="4536374"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C40" w:rsidRPr="00883473" w:rsidP="00883473" w14:textId="77777777">
                                <w:pPr>
                                  <w:pStyle w:val="NoSpacing"/>
                                  <w:jc w:val="center"/>
                                  <w:rPr>
                                    <w:rFonts w:asciiTheme="majorHAnsi" w:eastAsiaTheme="majorEastAsia" w:hAnsiTheme="majorHAnsi" w:cstheme="majorBidi"/>
                                    <w:color w:val="262626" w:themeColor="text1" w:themeTint="D9"/>
                                    <w:sz w:val="72"/>
                                    <w:lang w:val="lv-LV"/>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 Box 254" o:spid="_x0000_s1056" type="#_x0000_t202" style="width:357.2pt;height:84.2pt;margin-top:310.35pt;margin-left:177.65pt;mso-height-percent:0;mso-height-relative:margin;mso-position-horizontal-relative:page;mso-position-vertical-relative:page;mso-width-percent:0;mso-width-relative:page;mso-wrap-distance-bottom:0;mso-wrap-distance-left:9pt;mso-wrap-distance-right:9pt;mso-wrap-distance-top:0;mso-wrap-style:square;position:absolute;visibility:visible;v-text-anchor:top;z-index:251662336" filled="f" stroked="f" strokeweight="0.5pt">
                    <v:textbox style="mso-fit-shape-to-text:t" inset="0,0,0,0">
                      <w:txbxContent>
                        <w:p w:rsidR="00B55C40" w:rsidRPr="00883473" w:rsidP="00883473" w14:paraId="1DC93501" w14:textId="77777777">
                          <w:pPr>
                            <w:pStyle w:val="NoSpacing"/>
                            <w:jc w:val="center"/>
                            <w:rPr>
                              <w:rFonts w:asciiTheme="majorHAnsi" w:eastAsiaTheme="majorEastAsia" w:hAnsiTheme="majorHAnsi" w:cstheme="majorBidi"/>
                              <w:color w:val="262626" w:themeColor="text1" w:themeTint="D9"/>
                              <w:sz w:val="72"/>
                              <w:lang w:val="lv-LV"/>
                            </w:rPr>
                          </w:pPr>
                        </w:p>
                      </w:txbxContent>
                    </v:textbox>
                  </v:shape>
                </w:pict>
              </mc:Fallback>
            </mc:AlternateContent>
          </w:r>
          <w:r w:rsidR="00883473">
            <w:rPr>
              <w:noProof/>
              <w:lang w:eastAsia="lv-LV"/>
            </w:rPr>
            <mc:AlternateContent>
              <mc:Choice Requires="wps">
                <w:drawing>
                  <wp:anchor distT="0" distB="0" distL="114300" distR="114300" simplePos="0" relativeHeight="251663360" behindDoc="0" locked="0" layoutInCell="1" allowOverlap="1">
                    <wp:simplePos x="0" y="0"/>
                    <wp:positionH relativeFrom="page">
                      <wp:posOffset>2259767</wp:posOffset>
                    </wp:positionH>
                    <wp:positionV relativeFrom="page">
                      <wp:posOffset>9580281</wp:posOffset>
                    </wp:positionV>
                    <wp:extent cx="3402140" cy="365760"/>
                    <wp:effectExtent l="0" t="0" r="0" b="0"/>
                    <wp:wrapNone/>
                    <wp:docPr id="32" name="Text Box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340214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5C40" w:rsidRPr="008A2A10" w:rsidP="00883473" w14:textId="77777777">
                                <w:pPr>
                                  <w:pStyle w:val="NoSpacing"/>
                                  <w:jc w:val="center"/>
                                  <w:rPr>
                                    <w:rFonts w:ascii="Candara" w:hAnsi="Candara"/>
                                    <w:color w:val="000000" w:themeColor="text1"/>
                                    <w:sz w:val="26"/>
                                    <w:szCs w:val="26"/>
                                    <w:lang w:val="lv-LV"/>
                                  </w:rPr>
                                </w:pPr>
                                <w:r w:rsidRPr="008A2A10">
                                  <w:rPr>
                                    <w:rFonts w:ascii="Candara" w:hAnsi="Candara"/>
                                    <w:color w:val="000000" w:themeColor="text1"/>
                                    <w:sz w:val="26"/>
                                    <w:szCs w:val="26"/>
                                    <w:lang w:val="lv-LV"/>
                                  </w:rPr>
                                  <w:t>Rīga</w:t>
                                </w:r>
                              </w:p>
                              <w:p w:rsidR="00B55C40" w:rsidRPr="008A2A10" w:rsidP="00883473" w14:textId="11603977">
                                <w:pPr>
                                  <w:pStyle w:val="NoSpacing"/>
                                  <w:jc w:val="center"/>
                                  <w:rPr>
                                    <w:rFonts w:ascii="Candara" w:hAnsi="Candara"/>
                                    <w:color w:val="000000" w:themeColor="text1"/>
                                    <w:sz w:val="26"/>
                                    <w:szCs w:val="26"/>
                                    <w:lang w:val="lv-LV"/>
                                  </w:rPr>
                                </w:pPr>
                                <w:r w:rsidRPr="008A2A10">
                                  <w:rPr>
                                    <w:rFonts w:ascii="Candara" w:hAnsi="Candara"/>
                                    <w:color w:val="000000" w:themeColor="text1"/>
                                    <w:sz w:val="26"/>
                                    <w:szCs w:val="26"/>
                                    <w:lang w:val="lv-LV"/>
                                  </w:rPr>
                                  <w:t>201</w:t>
                                </w:r>
                                <w:r>
                                  <w:rPr>
                                    <w:rFonts w:ascii="Candara" w:hAnsi="Candara"/>
                                    <w:color w:val="000000" w:themeColor="text1"/>
                                    <w:sz w:val="26"/>
                                    <w:szCs w:val="26"/>
                                    <w:lang w:val="lv-LV"/>
                                  </w:rPr>
                                  <w:t>8</w:t>
                                </w:r>
                                <w:r w:rsidRPr="008A2A10">
                                  <w:rPr>
                                    <w:rFonts w:ascii="Candara" w:hAnsi="Candara"/>
                                    <w:color w:val="000000" w:themeColor="text1"/>
                                    <w:sz w:val="26"/>
                                    <w:szCs w:val="26"/>
                                    <w:lang w:val="lv-LV"/>
                                  </w:rPr>
                                  <w:t xml:space="preserve">.gada </w:t>
                                </w:r>
                                <w:r w:rsidR="00DF28BB">
                                  <w:rPr>
                                    <w:rFonts w:ascii="Candara" w:hAnsi="Candara"/>
                                    <w:color w:val="000000" w:themeColor="text1"/>
                                    <w:sz w:val="26"/>
                                    <w:szCs w:val="26"/>
                                    <w:lang w:val="lv-LV"/>
                                  </w:rPr>
                                  <w:t>februāris</w:t>
                                </w:r>
                              </w:p>
                              <w:p w:rsidR="00B55C40" w:rsidRPr="008A2A10" w:rsidP="00883473" w14:textId="77777777">
                                <w:pPr>
                                  <w:pStyle w:val="NoSpacing"/>
                                  <w:jc w:val="center"/>
                                  <w:rPr>
                                    <w:rFonts w:ascii="Candara" w:hAnsi="Candara"/>
                                    <w:color w:val="000000" w:themeColor="text1"/>
                                    <w:sz w:val="20"/>
                                    <w:szCs w:val="20"/>
                                    <w:lang w:val="lv-LV"/>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32" o:spid="_x0000_s1057" type="#_x0000_t202" style="width:4in;height:28.8pt;margin-top:754.35pt;margin-left:177.95pt;mso-height-percent:0;mso-height-relative:margin;mso-position-horizontal-relative:page;mso-position-vertical-relative:page;mso-width-percent:450;mso-width-relative:page;mso-wrap-distance-bottom:0;mso-wrap-distance-left:9pt;mso-wrap-distance-right:9pt;mso-wrap-distance-top:0;mso-wrap-style:square;position:absolute;visibility:visible;v-text-anchor:bottom;z-index:251664384" filled="f" stroked="f" strokeweight="0.5pt">
                    <v:textbox style="mso-fit-shape-to-text:t" inset="0,0,0,0">
                      <w:txbxContent>
                        <w:p w:rsidR="00B55C40" w:rsidRPr="008A2A10" w:rsidP="00883473" w14:paraId="5528E4BD" w14:textId="77777777">
                          <w:pPr>
                            <w:pStyle w:val="NoSpacing"/>
                            <w:jc w:val="center"/>
                            <w:rPr>
                              <w:rFonts w:ascii="Candara" w:hAnsi="Candara"/>
                              <w:color w:val="000000" w:themeColor="text1"/>
                              <w:sz w:val="26"/>
                              <w:szCs w:val="26"/>
                              <w:lang w:val="lv-LV"/>
                            </w:rPr>
                          </w:pPr>
                          <w:r w:rsidRPr="008A2A10">
                            <w:rPr>
                              <w:rFonts w:ascii="Candara" w:hAnsi="Candara"/>
                              <w:color w:val="000000" w:themeColor="text1"/>
                              <w:sz w:val="26"/>
                              <w:szCs w:val="26"/>
                              <w:lang w:val="lv-LV"/>
                            </w:rPr>
                            <w:t>Rīga</w:t>
                          </w:r>
                        </w:p>
                        <w:p w:rsidR="00B55C40" w:rsidRPr="008A2A10" w:rsidP="00883473" w14:paraId="1CDC140F" w14:textId="11603977">
                          <w:pPr>
                            <w:pStyle w:val="NoSpacing"/>
                            <w:jc w:val="center"/>
                            <w:rPr>
                              <w:rFonts w:ascii="Candara" w:hAnsi="Candara"/>
                              <w:color w:val="000000" w:themeColor="text1"/>
                              <w:sz w:val="26"/>
                              <w:szCs w:val="26"/>
                              <w:lang w:val="lv-LV"/>
                            </w:rPr>
                          </w:pPr>
                          <w:r w:rsidRPr="008A2A10">
                            <w:rPr>
                              <w:rFonts w:ascii="Candara" w:hAnsi="Candara"/>
                              <w:color w:val="000000" w:themeColor="text1"/>
                              <w:sz w:val="26"/>
                              <w:szCs w:val="26"/>
                              <w:lang w:val="lv-LV"/>
                            </w:rPr>
                            <w:t>201</w:t>
                          </w:r>
                          <w:r>
                            <w:rPr>
                              <w:rFonts w:ascii="Candara" w:hAnsi="Candara"/>
                              <w:color w:val="000000" w:themeColor="text1"/>
                              <w:sz w:val="26"/>
                              <w:szCs w:val="26"/>
                              <w:lang w:val="lv-LV"/>
                            </w:rPr>
                            <w:t>8</w:t>
                          </w:r>
                          <w:r w:rsidRPr="008A2A10">
                            <w:rPr>
                              <w:rFonts w:ascii="Candara" w:hAnsi="Candara"/>
                              <w:color w:val="000000" w:themeColor="text1"/>
                              <w:sz w:val="26"/>
                              <w:szCs w:val="26"/>
                              <w:lang w:val="lv-LV"/>
                            </w:rPr>
                            <w:t xml:space="preserve">.gada </w:t>
                          </w:r>
                          <w:r w:rsidR="00DF28BB">
                            <w:rPr>
                              <w:rFonts w:ascii="Candara" w:hAnsi="Candara"/>
                              <w:color w:val="000000" w:themeColor="text1"/>
                              <w:sz w:val="26"/>
                              <w:szCs w:val="26"/>
                              <w:lang w:val="lv-LV"/>
                            </w:rPr>
                            <w:t>februāris</w:t>
                          </w:r>
                        </w:p>
                        <w:p w:rsidR="00B55C40" w:rsidRPr="008A2A10" w:rsidP="00883473" w14:paraId="41FA3E6B" w14:textId="77777777">
                          <w:pPr>
                            <w:pStyle w:val="NoSpacing"/>
                            <w:jc w:val="center"/>
                            <w:rPr>
                              <w:rFonts w:ascii="Candara" w:hAnsi="Candara"/>
                              <w:color w:val="000000" w:themeColor="text1"/>
                              <w:sz w:val="20"/>
                              <w:szCs w:val="20"/>
                              <w:lang w:val="lv-LV"/>
                            </w:rPr>
                          </w:pPr>
                        </w:p>
                      </w:txbxContent>
                    </v:textbox>
                  </v:shape>
                </w:pict>
              </mc:Fallback>
            </mc:AlternateContent>
          </w:r>
          <w:r w:rsidR="00883473">
            <w:rPr>
              <w:rFonts w:ascii="Times New Roman" w:eastAsia="Times New Roman" w:hAnsi="Times New Roman" w:cs="Times New Roman"/>
              <w:b/>
              <w:bCs/>
              <w:sz w:val="24"/>
              <w:szCs w:val="24"/>
              <w:lang w:eastAsia="lv-LV"/>
            </w:rPr>
            <w:br w:type="page"/>
          </w:r>
        </w:p>
      </w:sdtContent>
    </w:sdt>
    <w:p w:rsidR="006B0DE1" w:rsidRPr="00883473" w:rsidP="006B0DE1" w14:paraId="13BB0860" w14:textId="77777777">
      <w:pPr>
        <w:shd w:val="clear" w:color="auto" w:fill="6D1D6A" w:themeFill="accent1" w:themeFillShade="BF"/>
        <w:rPr>
          <w:rFonts w:ascii="Candara" w:hAnsi="Candara"/>
          <w:b/>
          <w:color w:val="FFFFFF" w:themeColor="background1"/>
          <w:sz w:val="32"/>
          <w:szCs w:val="32"/>
          <w:lang w:eastAsia="lv-LV"/>
        </w:rPr>
      </w:pPr>
      <w:r w:rsidRPr="00883473">
        <w:rPr>
          <w:rFonts w:ascii="Candara" w:hAnsi="Candara"/>
          <w:b/>
          <w:color w:val="FFFFFF" w:themeColor="background1"/>
          <w:sz w:val="32"/>
          <w:szCs w:val="32"/>
          <w:lang w:eastAsia="lv-LV"/>
        </w:rPr>
        <w:t>SATURS</w:t>
      </w:r>
    </w:p>
    <w:sdt>
      <w:sdtPr>
        <w:rPr>
          <w:rFonts w:asciiTheme="minorHAnsi" w:eastAsiaTheme="minorHAnsi" w:hAnsiTheme="minorHAnsi" w:cstheme="minorBidi"/>
          <w:b w:val="0"/>
          <w:bCs w:val="0"/>
          <w:color w:val="auto"/>
          <w:sz w:val="22"/>
          <w:szCs w:val="22"/>
          <w:lang w:val="lv-LV"/>
        </w:rPr>
        <w:id w:val="290958223"/>
        <w:docPartObj>
          <w:docPartGallery w:val="Table of Contents"/>
          <w:docPartUnique/>
        </w:docPartObj>
      </w:sdtPr>
      <w:sdtEndPr>
        <w:rPr>
          <w:rFonts w:ascii="Arial Narrow" w:hAnsi="Arial Narrow"/>
          <w:sz w:val="24"/>
          <w:szCs w:val="24"/>
        </w:rPr>
      </w:sdtEndPr>
      <w:sdtContent>
        <w:p w:rsidR="006B0DE1" w:rsidRPr="00470294" w:rsidP="006B0DE1" w14:paraId="093D00C1" w14:textId="77777777">
          <w:pPr>
            <w:pStyle w:val="TOCHeading"/>
            <w:spacing w:before="0" w:line="240" w:lineRule="auto"/>
            <w:rPr>
              <w:rFonts w:ascii="Arial Narrow" w:hAnsi="Arial Narrow"/>
              <w:sz w:val="24"/>
            </w:rPr>
          </w:pPr>
        </w:p>
        <w:p>
          <w:pPr>
            <w:pStyle w:val="TOC1"/>
            <w:tabs>
              <w:tab w:val="right" w:leader="dot" w:pos="9685"/>
            </w:tabs>
            <w:rPr>
              <w:rFonts w:asciiTheme="minorHAnsi" w:hAnsiTheme="minorHAnsi"/>
              <w:noProof/>
              <w:sz w:val="22"/>
            </w:rPr>
          </w:pPr>
          <w:r w:rsidRPr="00552465">
            <w:rPr>
              <w:rFonts w:ascii="Arial Narrow" w:hAnsi="Arial Narrow"/>
              <w:sz w:val="24"/>
              <w:szCs w:val="24"/>
            </w:rPr>
            <w:fldChar w:fldCharType="begin"/>
          </w:r>
          <w:r w:rsidRPr="00552465">
            <w:rPr>
              <w:rFonts w:ascii="Arial Narrow" w:hAnsi="Arial Narrow"/>
              <w:sz w:val="24"/>
              <w:szCs w:val="24"/>
            </w:rPr>
            <w:instrText xml:space="preserve"> TOC \o "1-3" \h \z \u </w:instrText>
          </w:r>
          <w:r w:rsidRPr="00552465">
            <w:rPr>
              <w:rFonts w:ascii="Arial Narrow" w:hAnsi="Arial Narrow"/>
              <w:sz w:val="24"/>
              <w:szCs w:val="24"/>
            </w:rPr>
            <w:fldChar w:fldCharType="separate"/>
          </w:r>
          <w:r>
            <w:fldChar w:fldCharType="begin"/>
          </w:r>
          <w:r>
            <w:instrText xml:space="preserve"> HYPERLINK \l "_Toc256000016" </w:instrText>
          </w:r>
          <w:r>
            <w:fldChar w:fldCharType="separate"/>
          </w:r>
          <w:r>
            <w:rPr>
              <w:rStyle w:val="Hyperlink"/>
              <w:rFonts w:ascii="Candara" w:eastAsia="Times New Roman" w:hAnsi="Candara"/>
              <w:lang w:eastAsia="lv-LV"/>
            </w:rPr>
            <w:t>IEVADS</w:t>
          </w:r>
          <w:r>
            <w:tab/>
          </w:r>
          <w:r>
            <w:fldChar w:fldCharType="begin"/>
          </w:r>
          <w:r>
            <w:instrText xml:space="preserve"> PAGEREF _Toc256000016 \h </w:instrText>
          </w:r>
          <w:r>
            <w:fldChar w:fldCharType="separate"/>
          </w:r>
          <w:r>
            <w:t>3</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"_Toc256000017" </w:instrText>
          </w:r>
          <w:r>
            <w:fldChar w:fldCharType="separate"/>
          </w:r>
          <w:r w:rsidRPr="00296348">
            <w:rPr>
              <w:rStyle w:val="Hyperlink"/>
              <w:rFonts w:ascii="Candara" w:eastAsia="Times New Roman" w:hAnsi="Candara"/>
              <w:lang w:eastAsia="lv-LV"/>
            </w:rPr>
            <w:t>IZMANTOTIE SAĪSINĀJUMI UN TERMINI</w:t>
          </w:r>
          <w:r>
            <w:tab/>
          </w:r>
          <w:r>
            <w:fldChar w:fldCharType="begin"/>
          </w:r>
          <w:r>
            <w:instrText xml:space="preserve"> PAGEREF _Toc256000017 \h </w:instrText>
          </w:r>
          <w:r>
            <w:fldChar w:fldCharType="separate"/>
          </w:r>
          <w:r>
            <w:t>5</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"_Toc256000018" </w:instrText>
          </w:r>
          <w:r>
            <w:fldChar w:fldCharType="separate"/>
          </w:r>
          <w:r>
            <w:rPr>
              <w:rStyle w:val="Hyperlink"/>
              <w:rFonts w:ascii="Candara" w:eastAsia="Times New Roman" w:hAnsi="Candara"/>
              <w:lang w:eastAsia="lv-LV"/>
            </w:rPr>
            <w:t>KOPSAVILKUMS</w:t>
          </w:r>
          <w:r>
            <w:tab/>
          </w:r>
          <w:r>
            <w:fldChar w:fldCharType="begin"/>
          </w:r>
          <w:r>
            <w:instrText xml:space="preserve"> PAGEREF _Toc256000018 \h </w:instrText>
          </w:r>
          <w:r>
            <w:fldChar w:fldCharType="separate"/>
          </w:r>
          <w:r>
            <w:t>6</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"_Toc256000019" </w:instrText>
          </w:r>
          <w:r>
            <w:fldChar w:fldCharType="separate"/>
          </w:r>
          <w:r>
            <w:rPr>
              <w:rStyle w:val="Hyperlink"/>
              <w:rFonts w:ascii="Candara" w:eastAsia="Times New Roman" w:hAnsi="Candara"/>
              <w:lang w:eastAsia="lv-LV"/>
            </w:rPr>
            <w:t xml:space="preserve">1. </w:t>
          </w:r>
          <w:r w:rsidRPr="00F53018" w:rsidR="00A74C87">
            <w:rPr>
              <w:rStyle w:val="Hyperlink"/>
              <w:rFonts w:ascii="Candara" w:eastAsia="Times New Roman" w:hAnsi="Candara"/>
              <w:lang w:eastAsia="lv-LV"/>
            </w:rPr>
            <w:t>RIS3 UN POLITIKAS PLĀNOŠANAS DOKUMENTI</w:t>
          </w:r>
          <w:r>
            <w:tab/>
          </w:r>
          <w:r>
            <w:fldChar w:fldCharType="begin"/>
          </w:r>
          <w:r>
            <w:instrText xml:space="preserve"> PAGEREF _Toc256000019 \h </w:instrText>
          </w:r>
          <w:r>
            <w:fldChar w:fldCharType="separate"/>
          </w:r>
          <w:r>
            <w:t>9</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"_Toc256000020" </w:instrText>
          </w:r>
          <w:r>
            <w:fldChar w:fldCharType="separate"/>
          </w:r>
          <w:r>
            <w:rPr>
              <w:rStyle w:val="Hyperlink"/>
              <w:rFonts w:ascii="Candara" w:eastAsia="Times New Roman" w:hAnsi="Candara"/>
              <w:lang w:eastAsia="lv-LV"/>
            </w:rPr>
            <w:t>2.</w:t>
          </w:r>
          <w:r w:rsidR="00133F91">
            <w:rPr>
              <w:rStyle w:val="Hyperlink"/>
              <w:rFonts w:ascii="Candara" w:eastAsia="Times New Roman" w:hAnsi="Candara"/>
              <w:lang w:eastAsia="lv-LV"/>
            </w:rPr>
            <w:t xml:space="preserve"> </w:t>
          </w:r>
          <w:r w:rsidRPr="00883473" w:rsidR="00581249">
            <w:rPr>
              <w:rStyle w:val="Hyperlink"/>
              <w:rFonts w:ascii="Candara" w:eastAsia="Times New Roman" w:hAnsi="Candara"/>
              <w:lang w:eastAsia="lv-LV"/>
            </w:rPr>
            <w:t xml:space="preserve">RIS3 </w:t>
          </w:r>
          <w:r w:rsidR="00A400D3">
            <w:rPr>
              <w:rStyle w:val="Hyperlink"/>
              <w:rFonts w:ascii="Candara" w:eastAsia="Times New Roman" w:hAnsi="Candara"/>
              <w:lang w:eastAsia="lv-LV"/>
            </w:rPr>
            <w:t>KONCEPTS</w:t>
          </w:r>
          <w:r>
            <w:tab/>
          </w:r>
          <w:r>
            <w:fldChar w:fldCharType="begin"/>
          </w:r>
          <w:r>
            <w:instrText xml:space="preserve"> PAGEREF _Toc256000020 \h </w:instrText>
          </w:r>
          <w:r>
            <w:fldChar w:fldCharType="separate"/>
          </w:r>
          <w:r>
            <w:t>10</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"_Toc256000021" </w:instrText>
          </w:r>
          <w:r>
            <w:fldChar w:fldCharType="separate"/>
          </w:r>
          <w:r>
            <w:rPr>
              <w:rStyle w:val="Hyperlink"/>
              <w:rFonts w:ascii="Candara" w:eastAsia="Times New Roman" w:hAnsi="Candara"/>
              <w:lang w:eastAsia="lv-LV"/>
            </w:rPr>
            <w:t xml:space="preserve">3. </w:t>
          </w:r>
          <w:r w:rsidRPr="008A2A10" w:rsidR="00AD1483">
            <w:rPr>
              <w:rStyle w:val="Hyperlink"/>
              <w:rFonts w:ascii="Candara" w:eastAsia="Times New Roman" w:hAnsi="Candara"/>
              <w:lang w:eastAsia="lv-LV"/>
            </w:rPr>
            <w:t>VIEDĀS SPECIALIZĀCIJAS JOMU SASAISTE AR TAUTSAIMNIECĪBAS UN ZINĀTNES NOZARĒM</w:t>
          </w:r>
          <w:r>
            <w:tab/>
          </w:r>
          <w:r>
            <w:fldChar w:fldCharType="begin"/>
          </w:r>
          <w:r>
            <w:instrText xml:space="preserve"> PAGEREF _Toc256000021 \h </w:instrText>
          </w:r>
          <w:r>
            <w:fldChar w:fldCharType="separate"/>
          </w:r>
          <w:r>
            <w:t>11</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"_Toc256000022" </w:instrText>
          </w:r>
          <w:r>
            <w:fldChar w:fldCharType="separate"/>
          </w:r>
          <w:r>
            <w:rPr>
              <w:rStyle w:val="Hyperlink"/>
              <w:rFonts w:ascii="Candara" w:eastAsia="Times New Roman" w:hAnsi="Candara"/>
              <w:lang w:eastAsia="lv-LV"/>
            </w:rPr>
            <w:t xml:space="preserve">4. </w:t>
          </w:r>
          <w:r w:rsidR="00A400D3">
            <w:rPr>
              <w:rStyle w:val="Hyperlink"/>
              <w:rFonts w:ascii="Candara" w:eastAsia="Times New Roman" w:hAnsi="Candara"/>
              <w:lang w:eastAsia="lv-LV"/>
            </w:rPr>
            <w:t>EKONOMIKAS ATTĪSTĪBAS TENDENCES</w:t>
          </w:r>
          <w:r w:rsidR="001A6C18">
            <w:rPr>
              <w:rStyle w:val="Hyperlink"/>
              <w:rFonts w:ascii="Candara" w:eastAsia="Times New Roman" w:hAnsi="Candara"/>
              <w:lang w:eastAsia="lv-LV"/>
            </w:rPr>
            <w:t>,</w:t>
          </w:r>
          <w:r w:rsidR="00A400D3">
            <w:rPr>
              <w:rStyle w:val="Hyperlink"/>
              <w:rFonts w:ascii="Candara" w:eastAsia="Times New Roman" w:hAnsi="Candara"/>
              <w:lang w:eastAsia="lv-LV"/>
            </w:rPr>
            <w:t xml:space="preserve"> MĒRĶI</w:t>
          </w:r>
          <w:r w:rsidR="001A6C18">
            <w:rPr>
              <w:rStyle w:val="Hyperlink"/>
              <w:rFonts w:ascii="Candara" w:eastAsia="Times New Roman" w:hAnsi="Candara"/>
              <w:lang w:eastAsia="lv-LV"/>
            </w:rPr>
            <w:t xml:space="preserve"> UN IZAICINĀJUMI</w:t>
          </w:r>
          <w:r>
            <w:tab/>
          </w:r>
          <w:r>
            <w:fldChar w:fldCharType="begin"/>
          </w:r>
          <w:r>
            <w:instrText xml:space="preserve"> PAGEREF _Toc256000022 \h </w:instrText>
          </w:r>
          <w:r>
            <w:fldChar w:fldCharType="separate"/>
          </w:r>
          <w:r>
            <w:t>14</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"_Toc256000023" </w:instrText>
          </w:r>
          <w:r>
            <w:fldChar w:fldCharType="separate"/>
          </w:r>
          <w:r>
            <w:rPr>
              <w:rStyle w:val="Hyperlink"/>
              <w:rFonts w:ascii="Candara" w:eastAsia="Times New Roman" w:hAnsi="Candara"/>
              <w:lang w:eastAsia="lv-LV"/>
            </w:rPr>
            <w:t xml:space="preserve">5. </w:t>
          </w:r>
          <w:r w:rsidR="00965C0A">
            <w:rPr>
              <w:rStyle w:val="Hyperlink"/>
              <w:rFonts w:ascii="Candara" w:eastAsia="Times New Roman" w:hAnsi="Candara"/>
              <w:lang w:eastAsia="lv-LV"/>
            </w:rPr>
            <w:t>TAUTSAIMNIECĪBAS STRUKTURĀLĀS TRANSFORMĀCIJAS VIRZIENI</w:t>
          </w:r>
          <w:r>
            <w:tab/>
          </w:r>
          <w:r>
            <w:fldChar w:fldCharType="begin"/>
          </w:r>
          <w:r>
            <w:instrText xml:space="preserve"> PAGEREF _Toc256000023 \h </w:instrText>
          </w:r>
          <w:r>
            <w:fldChar w:fldCharType="separate"/>
          </w:r>
          <w:r>
            <w:t>18</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"_Toc256000024" </w:instrText>
          </w:r>
          <w:r>
            <w:fldChar w:fldCharType="separate"/>
          </w:r>
          <w:r>
            <w:rPr>
              <w:rStyle w:val="Hyperlink"/>
              <w:rFonts w:ascii="Candara" w:eastAsia="Times New Roman" w:hAnsi="Candara"/>
              <w:lang w:eastAsia="lv-LV"/>
            </w:rPr>
            <w:t xml:space="preserve">6. </w:t>
          </w:r>
          <w:r w:rsidR="00DF2882">
            <w:rPr>
              <w:rStyle w:val="Hyperlink"/>
              <w:rFonts w:ascii="Candara" w:eastAsia="Times New Roman" w:hAnsi="Candara"/>
              <w:lang w:eastAsia="lv-LV"/>
            </w:rPr>
            <w:t>RIS3 MONITORINGA IETVARS</w:t>
          </w:r>
          <w:r>
            <w:tab/>
          </w:r>
          <w:r>
            <w:fldChar w:fldCharType="begin"/>
          </w:r>
          <w:r>
            <w:instrText xml:space="preserve"> PAGEREF _Toc256000024 \h </w:instrText>
          </w:r>
          <w:r>
            <w:fldChar w:fldCharType="separate"/>
          </w:r>
          <w:r>
            <w:t>20</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"_Toc256000025" </w:instrText>
          </w:r>
          <w:r>
            <w:fldChar w:fldCharType="separate"/>
          </w:r>
          <w:r>
            <w:rPr>
              <w:rStyle w:val="Hyperlink"/>
              <w:rFonts w:ascii="Candara" w:eastAsia="Times New Roman" w:hAnsi="Candara"/>
              <w:lang w:eastAsia="lv-LV"/>
            </w:rPr>
            <w:t xml:space="preserve">7. </w:t>
          </w:r>
          <w:r w:rsidRPr="00883473" w:rsidR="00FE3AB2">
            <w:rPr>
              <w:rStyle w:val="Hyperlink"/>
              <w:rFonts w:ascii="Candara" w:eastAsia="Times New Roman" w:hAnsi="Candara"/>
              <w:lang w:eastAsia="lv-LV"/>
            </w:rPr>
            <w:t>MĒRĶA RĀDĪTĀJ</w:t>
          </w:r>
          <w:r w:rsidR="00FE3AB2">
            <w:rPr>
              <w:rStyle w:val="Hyperlink"/>
              <w:rFonts w:ascii="Candara" w:eastAsia="Times New Roman" w:hAnsi="Candara"/>
              <w:lang w:eastAsia="lv-LV"/>
            </w:rPr>
            <w:t>U HIERARHIJA</w:t>
          </w:r>
          <w:r>
            <w:tab/>
          </w:r>
          <w:r>
            <w:fldChar w:fldCharType="begin"/>
          </w:r>
          <w:r>
            <w:instrText xml:space="preserve"> PAGEREF _Toc256000025 \h </w:instrText>
          </w:r>
          <w:r>
            <w:fldChar w:fldCharType="separate"/>
          </w:r>
          <w:r>
            <w:t>21</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"_Toc256000026" </w:instrText>
          </w:r>
          <w:r>
            <w:fldChar w:fldCharType="separate"/>
          </w:r>
          <w:r>
            <w:rPr>
              <w:rStyle w:val="Hyperlink"/>
              <w:rFonts w:ascii="Candara" w:eastAsia="Times New Roman" w:hAnsi="Candara"/>
              <w:lang w:eastAsia="lv-LV"/>
            </w:rPr>
            <w:t xml:space="preserve">8. </w:t>
          </w:r>
          <w:r w:rsidRPr="00B4303E" w:rsidR="00B4303E">
            <w:rPr>
              <w:rStyle w:val="Hyperlink"/>
              <w:rFonts w:ascii="Candara" w:eastAsia="Times New Roman" w:hAnsi="Candara"/>
              <w:lang w:eastAsia="lv-LV"/>
            </w:rPr>
            <w:t xml:space="preserve">POLITIKAS REZULTĀTU </w:t>
          </w:r>
          <w:r w:rsidR="00B4303E">
            <w:rPr>
              <w:rStyle w:val="Hyperlink"/>
              <w:rFonts w:ascii="Candara" w:eastAsia="Times New Roman" w:hAnsi="Candara"/>
              <w:lang w:eastAsia="lv-LV"/>
            </w:rPr>
            <w:t>MĒRĶU SASNIEGŠANAS RĀDĪTĀJI</w:t>
          </w:r>
          <w:r>
            <w:tab/>
          </w:r>
          <w:r>
            <w:fldChar w:fldCharType="begin"/>
          </w:r>
          <w:r>
            <w:instrText xml:space="preserve"> PAGEREF _Toc256000026 \h </w:instrText>
          </w:r>
          <w:r>
            <w:fldChar w:fldCharType="separate"/>
          </w:r>
          <w:r>
            <w:t>22</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"_Toc256000027" </w:instrText>
          </w:r>
          <w:r>
            <w:fldChar w:fldCharType="separate"/>
          </w:r>
          <w:r>
            <w:rPr>
              <w:rStyle w:val="Hyperlink"/>
              <w:rFonts w:ascii="Candara" w:eastAsia="Times New Roman" w:hAnsi="Candara"/>
              <w:lang w:eastAsia="lv-LV"/>
            </w:rPr>
            <w:t xml:space="preserve">9. </w:t>
          </w:r>
          <w:r w:rsidR="009A2B13">
            <w:rPr>
              <w:rStyle w:val="Hyperlink"/>
              <w:rFonts w:ascii="Candara" w:eastAsia="Times New Roman" w:hAnsi="Candara"/>
              <w:lang w:eastAsia="lv-LV"/>
            </w:rPr>
            <w:t>RIS3 MIKRO LĪMEŅA RĀDĪTĀJU ANALĪZE</w:t>
          </w:r>
          <w:r>
            <w:tab/>
          </w:r>
          <w:r>
            <w:fldChar w:fldCharType="begin"/>
          </w:r>
          <w:r>
            <w:instrText xml:space="preserve"> PAGEREF _Toc256000027 \h </w:instrText>
          </w:r>
          <w:r>
            <w:fldChar w:fldCharType="separate"/>
          </w:r>
          <w:r>
            <w:t>35</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"_Toc256000028" </w:instrText>
          </w:r>
          <w:r>
            <w:fldChar w:fldCharType="separate"/>
          </w:r>
          <w:r>
            <w:rPr>
              <w:rStyle w:val="Hyperlink"/>
              <w:rFonts w:ascii="Candara" w:eastAsia="Times New Roman" w:hAnsi="Candara"/>
              <w:lang w:eastAsia="lv-LV"/>
            </w:rPr>
            <w:t>PASĀKUMU PLĀNS</w:t>
          </w:r>
          <w:r>
            <w:tab/>
          </w:r>
          <w:r>
            <w:fldChar w:fldCharType="begin"/>
          </w:r>
          <w:r>
            <w:instrText xml:space="preserve"> PAGEREF _Toc256000028 \h </w:instrText>
          </w:r>
          <w:r>
            <w:fldChar w:fldCharType="separate"/>
          </w:r>
          <w:r>
            <w:t>82</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"_Toc256000029" </w:instrText>
          </w:r>
          <w:r>
            <w:fldChar w:fldCharType="separate"/>
          </w:r>
          <w:r w:rsidRPr="00324F94">
            <w:rPr>
              <w:rStyle w:val="Hyperlink"/>
              <w:rFonts w:ascii="Candara" w:eastAsia="Candara" w:hAnsi="Candara" w:cs="Candara"/>
            </w:rPr>
            <w:t>1.2.1.1. pasākums “Atbalsts jaunu produktu un tehnoloģiju izstrādei kompetences centru ietvaros” (72,3 milj. EUR)</w:t>
          </w:r>
          <w:r>
            <w:tab/>
          </w:r>
          <w:r>
            <w:fldChar w:fldCharType="begin"/>
          </w:r>
          <w:r>
            <w:instrText xml:space="preserve"> PAGEREF _Toc256000029 \h </w:instrText>
          </w:r>
          <w:r>
            <w:fldChar w:fldCharType="separate"/>
          </w:r>
          <w:r>
            <w:t>84</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"_Toc256000030" </w:instrText>
          </w:r>
          <w:r>
            <w:fldChar w:fldCharType="separate"/>
          </w:r>
          <w:r w:rsidRPr="00324F94">
            <w:rPr>
              <w:rStyle w:val="Hyperlink"/>
              <w:rFonts w:ascii="Candara" w:eastAsia="Candara" w:hAnsi="Candara" w:cs="Candara"/>
            </w:rPr>
            <w:t>EM</w:t>
          </w:r>
          <w:r>
            <w:tab/>
          </w:r>
          <w:r>
            <w:fldChar w:fldCharType="begin"/>
          </w:r>
          <w:r>
            <w:instrText xml:space="preserve"> PAGEREF _Toc256000030 \h </w:instrText>
          </w:r>
          <w:r>
            <w:fldChar w:fldCharType="separate"/>
          </w:r>
          <w:r>
            <w:t>84</w:t>
          </w:r>
          <w:r>
            <w:fldChar w:fldCharType="end"/>
          </w:r>
          <w:r>
            <w:fldChar w:fldCharType="end"/>
          </w:r>
        </w:p>
        <w:p>
          <w:pPr>
            <w:pStyle w:val="TOC1"/>
            <w:tabs>
              <w:tab w:val="right" w:leader="dot" w:pos="9685"/>
            </w:tabs>
            <w:rPr>
              <w:rFonts w:asciiTheme="minorHAnsi" w:hAnsiTheme="minorHAnsi"/>
              <w:noProof/>
              <w:sz w:val="22"/>
            </w:rPr>
          </w:pPr>
          <w:r>
            <w:fldChar w:fldCharType="begin"/>
          </w:r>
          <w:r>
            <w:instrText xml:space="preserve"> HYPERLINK \l "_Toc256000031" </w:instrText>
          </w:r>
          <w:r>
            <w:fldChar w:fldCharType="separate"/>
          </w:r>
          <w:r w:rsidRPr="00324F94">
            <w:rPr>
              <w:rStyle w:val="Hyperlink"/>
              <w:rFonts w:ascii="Candara" w:eastAsia="Candara" w:hAnsi="Candara" w:cs="Candara"/>
            </w:rPr>
            <w:t>2023</w:t>
          </w:r>
          <w:r>
            <w:tab/>
          </w:r>
          <w:r>
            <w:fldChar w:fldCharType="begin"/>
          </w:r>
          <w:r>
            <w:instrText xml:space="preserve"> PAGEREF _Toc256000031 \h </w:instrText>
          </w:r>
          <w:r>
            <w:fldChar w:fldCharType="separate"/>
          </w:r>
          <w:r>
            <w:t>84</w:t>
          </w:r>
          <w:r>
            <w:fldChar w:fldCharType="end"/>
          </w:r>
          <w:r>
            <w:fldChar w:fldCharType="end"/>
          </w:r>
        </w:p>
        <w:p w:rsidRPr="00552465" w:rsidP="00DC2587">
          <w:pPr>
            <w:spacing w:after="0" w:line="240" w:lineRule="auto"/>
            <w:rPr>
              <w:rFonts w:ascii="Arial Narrow" w:hAnsi="Arial Narrow"/>
              <w:sz w:val="24"/>
              <w:szCs w:val="24"/>
            </w:rPr>
          </w:pPr>
          <w:r w:rsidRPr="00552465">
            <w:rPr>
              <w:rFonts w:ascii="Arial Narrow" w:hAnsi="Arial Narrow"/>
              <w:sz w:val="24"/>
              <w:szCs w:val="24"/>
            </w:rPr>
            <w:fldChar w:fldCharType="end"/>
          </w:r>
        </w:p>
      </w:sdtContent>
    </w:sdt>
    <w:p w:rsidR="00F93115" w:rsidRPr="00DC2587" w14:paraId="081F7D00" w14:textId="77777777">
      <w:pPr>
        <w:rPr>
          <w:rFonts w:ascii="Candara" w:eastAsia="Times New Roman" w:hAnsi="Candara" w:cs="Times New Roman"/>
          <w:bCs/>
          <w:lang w:eastAsia="lv-LV"/>
        </w:rPr>
      </w:pPr>
      <w:r w:rsidRPr="00DC2587">
        <w:rPr>
          <w:rFonts w:ascii="Candara" w:eastAsia="Times New Roman" w:hAnsi="Candara" w:cs="Times New Roman"/>
          <w:bCs/>
          <w:lang w:eastAsia="lv-LV"/>
        </w:rPr>
        <w:t>PIELIKUMI</w:t>
      </w:r>
    </w:p>
    <w:p w:rsidR="00F93115" w:rsidRPr="00DC2587" w:rsidP="00DC2587" w14:paraId="3B0B174E" w14:textId="77777777">
      <w:pPr>
        <w:ind w:left="1134" w:hanging="1134"/>
        <w:jc w:val="both"/>
        <w:rPr>
          <w:rFonts w:ascii="Candara" w:eastAsia="Times New Roman" w:hAnsi="Candara" w:cs="Times New Roman"/>
          <w:bCs/>
          <w:lang w:eastAsia="lv-LV"/>
        </w:rPr>
      </w:pPr>
      <w:r w:rsidRPr="00DC2587">
        <w:rPr>
          <w:rFonts w:ascii="Candara" w:eastAsia="Times New Roman" w:hAnsi="Candara" w:cs="Times New Roman"/>
          <w:bCs/>
          <w:lang w:eastAsia="lv-LV"/>
        </w:rPr>
        <w:t xml:space="preserve">1. pielikums. </w:t>
      </w:r>
      <w:r w:rsidRPr="00DC2587">
        <w:rPr>
          <w:rFonts w:ascii="Candara" w:hAnsi="Candara" w:cs="Times New Roman"/>
          <w:bCs/>
          <w:lang w:eastAsia="lv-LV"/>
        </w:rPr>
        <w:t>Nozaru makro analīze</w:t>
      </w:r>
    </w:p>
    <w:p w:rsidR="00F93115" w:rsidRPr="00DC2587" w:rsidP="00DC2587" w14:paraId="3389EEEB" w14:textId="77777777">
      <w:pPr>
        <w:ind w:left="1134" w:hanging="1134"/>
        <w:jc w:val="both"/>
        <w:rPr>
          <w:rFonts w:ascii="Candara" w:hAnsi="Candara" w:cs="Times New Roman"/>
          <w:bCs/>
          <w:lang w:eastAsia="lv-LV"/>
        </w:rPr>
      </w:pPr>
      <w:r w:rsidRPr="00DC2587">
        <w:rPr>
          <w:rFonts w:ascii="Candara" w:eastAsia="Times New Roman" w:hAnsi="Candara" w:cs="Times New Roman"/>
          <w:bCs/>
          <w:lang w:eastAsia="lv-LV"/>
        </w:rPr>
        <w:t xml:space="preserve">2. pielikums. </w:t>
      </w:r>
      <w:r w:rsidRPr="00DC2587">
        <w:rPr>
          <w:rFonts w:ascii="Candara" w:hAnsi="Candara" w:cs="Times New Roman"/>
          <w:bCs/>
          <w:lang w:eastAsia="lv-LV"/>
        </w:rPr>
        <w:t>Zinātnes, tehnoloģiju attīstības un inovācijas pamatnostādņu 2014. – 2020. gadam turpmākās rīcības plānojumā noteikto uzdevumu izpilde</w:t>
      </w:r>
    </w:p>
    <w:p w:rsidR="00F93115" w:rsidRPr="00DC2587" w:rsidP="00DC2587" w14:paraId="4D9F7035" w14:textId="77777777">
      <w:pPr>
        <w:ind w:left="1134" w:hanging="1134"/>
        <w:jc w:val="both"/>
        <w:rPr>
          <w:rFonts w:ascii="Candara" w:hAnsi="Candara" w:cs="Times New Roman"/>
          <w:bCs/>
          <w:lang w:eastAsia="lv-LV"/>
        </w:rPr>
      </w:pPr>
      <w:r w:rsidRPr="00DC2587">
        <w:rPr>
          <w:rFonts w:ascii="Candara" w:hAnsi="Candara" w:cs="Times New Roman"/>
          <w:bCs/>
          <w:lang w:eastAsia="lv-LV"/>
        </w:rPr>
        <w:t>3. pielikums. Nacionālās industriālās politikas pamatnostādņu uzdevumu un pasākumu īstenošanas progress 2014.-2016.gadam</w:t>
      </w:r>
    </w:p>
    <w:p w:rsidR="00F93115" w:rsidRPr="00DC2587" w:rsidP="00DC2587" w14:paraId="78A07BFD" w14:textId="77777777">
      <w:pPr>
        <w:ind w:left="1134" w:hanging="1134"/>
        <w:jc w:val="both"/>
        <w:rPr>
          <w:rFonts w:ascii="Candara" w:eastAsia="Times New Roman" w:hAnsi="Candara" w:cs="Times New Roman"/>
          <w:bCs/>
          <w:lang w:eastAsia="lv-LV"/>
        </w:rPr>
      </w:pPr>
      <w:r w:rsidRPr="00DC2587">
        <w:rPr>
          <w:rFonts w:ascii="Candara" w:hAnsi="Candara" w:cs="Times New Roman"/>
          <w:bCs/>
          <w:lang w:eastAsia="lv-LV"/>
        </w:rPr>
        <w:t xml:space="preserve">4. pielikums. </w:t>
      </w:r>
      <w:r w:rsidRPr="00DC2587">
        <w:rPr>
          <w:rFonts w:ascii="Candara" w:eastAsia="Times New Roman" w:hAnsi="Candara" w:cs="Times New Roman"/>
          <w:bCs/>
          <w:lang w:eastAsia="lv-LV"/>
        </w:rPr>
        <w:t>Nozaru diskusiju platforma – uzņēmējdarbības atklājuma principa ieviešana</w:t>
      </w:r>
    </w:p>
    <w:p w:rsidR="00F93115" w:rsidP="00DC2587" w14:paraId="3FC197D7" w14:textId="77777777">
      <w:pPr>
        <w:ind w:left="1134" w:hanging="1134"/>
        <w:jc w:val="both"/>
        <w:rPr>
          <w:rFonts w:ascii="Candara" w:eastAsia="Times New Roman" w:hAnsi="Candara" w:cs="Times New Roman"/>
          <w:bCs/>
          <w:lang w:eastAsia="lv-LV"/>
        </w:rPr>
      </w:pPr>
      <w:r w:rsidRPr="00DC2587">
        <w:rPr>
          <w:rFonts w:ascii="Candara" w:eastAsia="Times New Roman" w:hAnsi="Candara" w:cs="Times New Roman"/>
          <w:bCs/>
          <w:lang w:eastAsia="lv-LV"/>
        </w:rPr>
        <w:t xml:space="preserve">5. pielikums. </w:t>
      </w:r>
      <w:r w:rsidRPr="00DC2587" w:rsidR="00DC2587">
        <w:rPr>
          <w:rFonts w:ascii="Candara" w:eastAsia="Times New Roman" w:hAnsi="Candara" w:cs="Times New Roman"/>
          <w:bCs/>
          <w:lang w:eastAsia="lv-LV"/>
        </w:rPr>
        <w:t>Eiropas inovācijas rezultātu pārskats</w:t>
      </w:r>
    </w:p>
    <w:p w:rsidR="00D736D1" w:rsidRPr="00DC2587" w:rsidP="00DC2587" w14:paraId="00EAE18F" w14:textId="77777777">
      <w:pPr>
        <w:ind w:left="1134" w:hanging="1134"/>
        <w:jc w:val="both"/>
        <w:rPr>
          <w:rFonts w:ascii="Candara" w:eastAsia="Times New Roman" w:hAnsi="Candara" w:cs="Times New Roman"/>
          <w:bCs/>
          <w:lang w:eastAsia="lv-LV"/>
        </w:rPr>
      </w:pPr>
      <w:r>
        <w:rPr>
          <w:rFonts w:ascii="Candara" w:eastAsia="Times New Roman" w:hAnsi="Candara" w:cs="Times New Roman"/>
          <w:bCs/>
          <w:lang w:eastAsia="lv-LV"/>
        </w:rPr>
        <w:t xml:space="preserve">6. pielikums. </w:t>
      </w:r>
      <w:r w:rsidR="00CD0BC9">
        <w:rPr>
          <w:rFonts w:ascii="Candara" w:eastAsia="Times New Roman" w:hAnsi="Candara" w:cs="Times New Roman"/>
          <w:bCs/>
          <w:lang w:eastAsia="lv-LV"/>
        </w:rPr>
        <w:t>RIS3 mērķa sasniegšanas rādītāju vērtības 2008. – 201</w:t>
      </w:r>
      <w:r w:rsidR="00FA484B">
        <w:rPr>
          <w:rFonts w:ascii="Candara" w:eastAsia="Times New Roman" w:hAnsi="Candara" w:cs="Times New Roman"/>
          <w:bCs/>
          <w:lang w:eastAsia="lv-LV"/>
        </w:rPr>
        <w:t>5</w:t>
      </w:r>
      <w:r w:rsidR="00CD0BC9">
        <w:rPr>
          <w:rFonts w:ascii="Candara" w:eastAsia="Times New Roman" w:hAnsi="Candara" w:cs="Times New Roman"/>
          <w:bCs/>
          <w:lang w:eastAsia="lv-LV"/>
        </w:rPr>
        <w:t>. gads</w:t>
      </w:r>
      <w:r>
        <w:rPr>
          <w:rFonts w:ascii="Candara" w:eastAsia="Times New Roman" w:hAnsi="Candara" w:cs="Times New Roman"/>
          <w:bCs/>
          <w:lang w:eastAsia="lv-LV"/>
        </w:rPr>
        <w:t xml:space="preserve"> </w:t>
      </w:r>
    </w:p>
    <w:p w:rsidR="006B0DE1" w:rsidRPr="00215E19" w14:paraId="4DDBE53E" w14:textId="77777777">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rsidR="00756D7C" w:rsidP="00756D7C" w14:paraId="07F66181" w14:textId="77777777">
      <w:pPr>
        <w:pStyle w:val="Heading1"/>
        <w:shd w:val="clear" w:color="auto" w:fill="6D1D6A" w:themeFill="accent1" w:themeFillShade="BF"/>
        <w:rPr>
          <w:rFonts w:ascii="Candara" w:eastAsia="Times New Roman" w:hAnsi="Candara"/>
          <w:b/>
          <w:color w:val="FFFFFF" w:themeColor="background1"/>
          <w:lang w:eastAsia="lv-LV"/>
        </w:rPr>
      </w:pPr>
      <w:bookmarkStart w:id="0" w:name="_Toc484445184"/>
      <w:bookmarkStart w:id="1" w:name="_Toc256000000"/>
      <w:bookmarkStart w:id="2" w:name="_Toc256000016"/>
      <w:r>
        <w:rPr>
          <w:rFonts w:ascii="Candara" w:eastAsia="Times New Roman" w:hAnsi="Candara"/>
          <w:b/>
          <w:color w:val="FFFFFF" w:themeColor="background1"/>
          <w:lang w:eastAsia="lv-LV"/>
        </w:rPr>
        <w:t>IEVADS</w:t>
      </w:r>
      <w:bookmarkEnd w:id="2"/>
      <w:bookmarkEnd w:id="1"/>
      <w:bookmarkEnd w:id="0"/>
    </w:p>
    <w:p w:rsidR="00756D7C" w:rsidP="00756D7C" w14:paraId="120758F9" w14:textId="77777777">
      <w:pPr>
        <w:spacing w:after="0"/>
        <w:jc w:val="both"/>
        <w:rPr>
          <w:rFonts w:ascii="Candara" w:eastAsia="Times New Roman" w:hAnsi="Candara" w:cs="Times New Roman"/>
          <w:bCs/>
          <w:lang w:eastAsia="lv-LV"/>
        </w:rPr>
      </w:pPr>
    </w:p>
    <w:p w:rsidR="00215E19" w:rsidP="00214364" w14:paraId="3EED0A65" w14:textId="77777777">
      <w:pPr>
        <w:spacing w:after="0" w:line="240" w:lineRule="auto"/>
        <w:ind w:firstLine="426"/>
        <w:jc w:val="both"/>
        <w:rPr>
          <w:rFonts w:ascii="Candara" w:eastAsia="Times New Roman" w:hAnsi="Candara" w:cs="Times New Roman"/>
          <w:bCs/>
          <w:lang w:eastAsia="lv-LV"/>
        </w:rPr>
      </w:pPr>
      <w:r w:rsidRPr="004D34BC">
        <w:rPr>
          <w:rFonts w:ascii="Candara" w:hAnsi="Candara"/>
          <w:lang w:bidi="lo-LA"/>
        </w:rPr>
        <w:t xml:space="preserve">Informatīvais ziņojums “Viedās specializācijas stratēģijas monitorings” </w:t>
      </w:r>
      <w:r w:rsidR="00DA2C5B">
        <w:rPr>
          <w:rFonts w:ascii="Candara" w:hAnsi="Candara"/>
          <w:lang w:bidi="lo-LA"/>
        </w:rPr>
        <w:t xml:space="preserve">(turpmāk – ziņojums) </w:t>
      </w:r>
      <w:r w:rsidR="007E0393">
        <w:rPr>
          <w:rFonts w:ascii="Candara" w:eastAsia="Times New Roman" w:hAnsi="Candara" w:cs="Times New Roman"/>
          <w:bCs/>
          <w:lang w:eastAsia="lv-LV"/>
        </w:rPr>
        <w:t>ir</w:t>
      </w:r>
      <w:r w:rsidR="003A093C">
        <w:rPr>
          <w:rFonts w:ascii="Candara" w:eastAsia="Times New Roman" w:hAnsi="Candara" w:cs="Times New Roman"/>
          <w:bCs/>
          <w:lang w:eastAsia="lv-LV"/>
        </w:rPr>
        <w:t xml:space="preserve"> pirmais Latvijas Viedās Specializācijas stratēģijas (turpmāk – RIS3) ieviešanas izvērtējums. Tas </w:t>
      </w:r>
      <w:r w:rsidRPr="00215E19">
        <w:rPr>
          <w:rFonts w:ascii="Candara" w:eastAsia="Times New Roman" w:hAnsi="Candara" w:cs="Times New Roman"/>
          <w:bCs/>
          <w:lang w:eastAsia="lv-LV"/>
        </w:rPr>
        <w:t>izstrādāts</w:t>
      </w:r>
      <w:r w:rsidR="003A093C">
        <w:rPr>
          <w:rFonts w:ascii="Candara" w:eastAsia="Times New Roman" w:hAnsi="Candara" w:cs="Times New Roman"/>
          <w:bCs/>
          <w:lang w:eastAsia="lv-LV"/>
        </w:rPr>
        <w:t xml:space="preserve"> atbilstoši </w:t>
      </w:r>
      <w:r w:rsidR="00636EF4">
        <w:rPr>
          <w:rFonts w:ascii="Candara" w:eastAsia="Times New Roman" w:hAnsi="Candara" w:cs="Times New Roman"/>
          <w:bCs/>
          <w:lang w:eastAsia="lv-LV"/>
        </w:rPr>
        <w:t>Ministru</w:t>
      </w:r>
      <w:r w:rsidRPr="00215E19">
        <w:rPr>
          <w:rFonts w:ascii="Candara" w:eastAsia="Times New Roman" w:hAnsi="Candara" w:cs="Times New Roman"/>
          <w:bCs/>
          <w:lang w:eastAsia="lv-LV"/>
        </w:rPr>
        <w:t xml:space="preserve"> kabineta 2015.gada 15.septembr</w:t>
      </w:r>
      <w:r w:rsidR="003A093C">
        <w:rPr>
          <w:rFonts w:ascii="Candara" w:eastAsia="Times New Roman" w:hAnsi="Candara" w:cs="Times New Roman"/>
          <w:bCs/>
          <w:lang w:eastAsia="lv-LV"/>
        </w:rPr>
        <w:t>a</w:t>
      </w:r>
      <w:r w:rsidRPr="00215E19">
        <w:rPr>
          <w:rFonts w:ascii="Candara" w:eastAsia="Times New Roman" w:hAnsi="Candara" w:cs="Times New Roman"/>
          <w:bCs/>
          <w:lang w:eastAsia="lv-LV"/>
        </w:rPr>
        <w:t xml:space="preserve"> </w:t>
      </w:r>
      <w:r w:rsidR="003A093C">
        <w:rPr>
          <w:rFonts w:ascii="Candara" w:eastAsia="Times New Roman" w:hAnsi="Candara" w:cs="Times New Roman"/>
          <w:bCs/>
          <w:lang w:eastAsia="lv-LV"/>
        </w:rPr>
        <w:t xml:space="preserve">uzdevumam – </w:t>
      </w:r>
      <w:r w:rsidRPr="00215E19">
        <w:rPr>
          <w:rFonts w:ascii="Candara" w:eastAsia="Times New Roman" w:hAnsi="Candara" w:cs="Times New Roman"/>
          <w:bCs/>
          <w:lang w:eastAsia="lv-LV"/>
        </w:rPr>
        <w:t>Izglītības un zinātnes ministrijai un Ekonomikas ministrijai nodrošināt RIS3 monitoringa īstenošanu, tostarp RIS3 progresa ziņojumu izstrādi un ietekmes vērtēšanu, un nepieciešamo tematisko pētījumu pasūtīšanu (prot. Nr. 47, 35 §).</w:t>
      </w:r>
    </w:p>
    <w:p w:rsidR="00636EF4" w:rsidRPr="00636EF4" w:rsidP="00214364" w14:paraId="26B4988A" w14:textId="77777777">
      <w:pPr>
        <w:spacing w:after="0" w:line="240" w:lineRule="auto"/>
        <w:ind w:firstLine="426"/>
        <w:jc w:val="both"/>
        <w:rPr>
          <w:rFonts w:ascii="Candara" w:eastAsia="Times New Roman" w:hAnsi="Candara" w:cs="Times New Roman"/>
          <w:bCs/>
          <w:lang w:eastAsia="lv-LV"/>
        </w:rPr>
      </w:pPr>
      <w:r>
        <w:rPr>
          <w:rFonts w:ascii="Candara" w:eastAsia="Times New Roman" w:hAnsi="Candara" w:cs="Times New Roman"/>
          <w:bCs/>
          <w:lang w:eastAsia="lv-LV"/>
        </w:rPr>
        <w:t xml:space="preserve">Ziņojumā ietverta informācija par Latvijas ekonomikas </w:t>
      </w:r>
      <w:r w:rsidRPr="00215E19">
        <w:rPr>
          <w:rFonts w:ascii="Candara" w:eastAsia="Times New Roman" w:hAnsi="Candara" w:cs="Times New Roman"/>
          <w:bCs/>
          <w:lang w:eastAsia="lv-LV"/>
        </w:rPr>
        <w:t>attīstības</w:t>
      </w:r>
      <w:r>
        <w:rPr>
          <w:rFonts w:ascii="Candara" w:eastAsia="Times New Roman" w:hAnsi="Candara" w:cs="Times New Roman"/>
          <w:bCs/>
          <w:lang w:eastAsia="lv-LV"/>
        </w:rPr>
        <w:t xml:space="preserve"> tendencēm, mērķiem un</w:t>
      </w:r>
      <w:r w:rsidRPr="00215E19">
        <w:rPr>
          <w:rFonts w:ascii="Candara" w:eastAsia="Times New Roman" w:hAnsi="Candara" w:cs="Times New Roman"/>
          <w:bCs/>
          <w:lang w:eastAsia="lv-LV"/>
        </w:rPr>
        <w:t xml:space="preserve"> izaicinājumiem</w:t>
      </w:r>
      <w:r>
        <w:rPr>
          <w:rFonts w:ascii="Candara" w:eastAsia="Times New Roman" w:hAnsi="Candara" w:cs="Times New Roman"/>
          <w:bCs/>
          <w:lang w:eastAsia="lv-LV"/>
        </w:rPr>
        <w:t>,</w:t>
      </w:r>
      <w:r w:rsidRPr="00636EF4">
        <w:rPr>
          <w:rFonts w:ascii="Candara" w:eastAsia="Times New Roman" w:hAnsi="Candara" w:cs="Times New Roman"/>
          <w:bCs/>
          <w:lang w:eastAsia="lv-LV"/>
        </w:rPr>
        <w:t xml:space="preserve"> RIS3</w:t>
      </w:r>
      <w:r>
        <w:rPr>
          <w:rFonts w:ascii="Candara" w:eastAsia="Times New Roman" w:hAnsi="Candara" w:cs="Times New Roman"/>
          <w:bCs/>
          <w:lang w:eastAsia="lv-LV"/>
        </w:rPr>
        <w:t xml:space="preserve"> </w:t>
      </w:r>
      <w:r w:rsidRPr="00636EF4">
        <w:rPr>
          <w:rFonts w:ascii="Candara" w:eastAsia="Times New Roman" w:hAnsi="Candara" w:cs="Times New Roman"/>
          <w:bCs/>
          <w:lang w:eastAsia="lv-LV"/>
        </w:rPr>
        <w:t xml:space="preserve">programmu </w:t>
      </w:r>
      <w:r>
        <w:rPr>
          <w:rFonts w:ascii="Candara" w:eastAsia="Times New Roman" w:hAnsi="Candara" w:cs="Times New Roman"/>
          <w:bCs/>
          <w:lang w:eastAsia="lv-LV"/>
        </w:rPr>
        <w:t xml:space="preserve">un pasākumu </w:t>
      </w:r>
      <w:r w:rsidRPr="00636EF4">
        <w:rPr>
          <w:rFonts w:ascii="Candara" w:eastAsia="Times New Roman" w:hAnsi="Candara" w:cs="Times New Roman"/>
          <w:bCs/>
          <w:lang w:eastAsia="lv-LV"/>
        </w:rPr>
        <w:t>īstenošanas gaitu un virzību uz mērķu sasniegšanu</w:t>
      </w:r>
      <w:r>
        <w:rPr>
          <w:rFonts w:ascii="Candara" w:eastAsia="Times New Roman" w:hAnsi="Candara" w:cs="Times New Roman"/>
          <w:bCs/>
          <w:lang w:eastAsia="lv-LV"/>
        </w:rPr>
        <w:t xml:space="preserve">, kā arī </w:t>
      </w:r>
      <w:r w:rsidRPr="00636EF4">
        <w:rPr>
          <w:rFonts w:ascii="Candara" w:eastAsia="Times New Roman" w:hAnsi="Candara" w:cs="Times New Roman"/>
          <w:bCs/>
          <w:lang w:eastAsia="lv-LV"/>
        </w:rPr>
        <w:t xml:space="preserve"> </w:t>
      </w:r>
      <w:r>
        <w:rPr>
          <w:rFonts w:ascii="Candara" w:eastAsia="Times New Roman" w:hAnsi="Candara" w:cs="Times New Roman"/>
          <w:bCs/>
          <w:lang w:eastAsia="lv-LV"/>
        </w:rPr>
        <w:t>RIS3</w:t>
      </w:r>
      <w:r w:rsidRPr="00636EF4">
        <w:rPr>
          <w:rFonts w:ascii="Candara" w:eastAsia="Times New Roman" w:hAnsi="Candara" w:cs="Times New Roman"/>
          <w:bCs/>
          <w:lang w:eastAsia="lv-LV"/>
        </w:rPr>
        <w:t xml:space="preserve"> rādītāj</w:t>
      </w:r>
      <w:r>
        <w:rPr>
          <w:rFonts w:ascii="Candara" w:eastAsia="Times New Roman" w:hAnsi="Candara" w:cs="Times New Roman"/>
          <w:bCs/>
          <w:lang w:eastAsia="lv-LV"/>
        </w:rPr>
        <w:t>u analīze un turpmāko pasākumu plāns</w:t>
      </w:r>
      <w:r w:rsidR="00214364">
        <w:rPr>
          <w:rFonts w:ascii="Candara" w:eastAsia="Times New Roman" w:hAnsi="Candara" w:cs="Times New Roman"/>
          <w:bCs/>
          <w:lang w:eastAsia="lv-LV"/>
        </w:rPr>
        <w:t>.</w:t>
      </w:r>
      <w:r w:rsidR="006D1D87">
        <w:rPr>
          <w:rFonts w:ascii="Candara" w:eastAsia="Times New Roman" w:hAnsi="Candara" w:cs="Times New Roman"/>
          <w:bCs/>
          <w:lang w:eastAsia="lv-LV"/>
        </w:rPr>
        <w:t xml:space="preserve"> </w:t>
      </w:r>
    </w:p>
    <w:p w:rsidR="00215E19" w:rsidRPr="00215E19" w:rsidP="00214364" w14:paraId="794CA36C" w14:textId="67FB623A">
      <w:pPr>
        <w:spacing w:after="0" w:line="240" w:lineRule="auto"/>
        <w:ind w:firstLine="426"/>
        <w:jc w:val="both"/>
        <w:rPr>
          <w:rFonts w:ascii="Candara" w:eastAsia="Times New Roman" w:hAnsi="Candara" w:cs="Times New Roman"/>
          <w:bCs/>
          <w:lang w:eastAsia="lv-LV"/>
        </w:rPr>
      </w:pPr>
      <w:r>
        <w:rPr>
          <w:rFonts w:ascii="Candara" w:eastAsia="Times New Roman" w:hAnsi="Candara" w:cs="Times New Roman"/>
          <w:bCs/>
          <w:lang w:eastAsia="lv-LV"/>
        </w:rPr>
        <w:t>Ņemot vērā RIS3 mērķus un tvērumu</w:t>
      </w:r>
      <w:r w:rsidR="00F161A4">
        <w:rPr>
          <w:rFonts w:ascii="Candara" w:eastAsia="Times New Roman" w:hAnsi="Candara" w:cs="Times New Roman"/>
          <w:bCs/>
          <w:lang w:eastAsia="lv-LV"/>
        </w:rPr>
        <w:t xml:space="preserve"> (</w:t>
      </w:r>
      <w:r w:rsidRPr="00E3471F" w:rsidR="00901832">
        <w:rPr>
          <w:rFonts w:ascii="Candara" w:eastAsia="Times New Roman" w:hAnsi="Candara" w:cs="Times New Roman"/>
          <w:bCs/>
          <w:i/>
          <w:lang w:eastAsia="lv-LV"/>
        </w:rPr>
        <w:t>R</w:t>
      </w:r>
      <w:r w:rsidR="00901832">
        <w:rPr>
          <w:rFonts w:ascii="Candara" w:eastAsia="Times New Roman" w:hAnsi="Candara" w:cs="Times New Roman"/>
          <w:bCs/>
          <w:i/>
          <w:lang w:eastAsia="lv-LV"/>
        </w:rPr>
        <w:t>IS</w:t>
      </w:r>
      <w:r w:rsidRPr="00E3471F" w:rsidR="00901832">
        <w:rPr>
          <w:rFonts w:ascii="Candara" w:eastAsia="Times New Roman" w:hAnsi="Candara" w:cs="Times New Roman"/>
          <w:bCs/>
          <w:i/>
          <w:lang w:eastAsia="lv-LV"/>
        </w:rPr>
        <w:t xml:space="preserve">3 </w:t>
      </w:r>
      <w:r w:rsidRPr="00E3471F" w:rsidR="00F161A4">
        <w:rPr>
          <w:rFonts w:ascii="Candara" w:eastAsia="Times New Roman" w:hAnsi="Candara" w:cs="Times New Roman"/>
          <w:bCs/>
          <w:i/>
          <w:lang w:eastAsia="lv-LV"/>
        </w:rPr>
        <w:t xml:space="preserve">ir tautsaimniecības transformācijas stratēģija uz augstāku pievienoto vērtību, produktivitāti un efektīvāku resursu </w:t>
      </w:r>
      <w:r w:rsidRPr="00E3471F" w:rsidR="001563E4">
        <w:rPr>
          <w:rFonts w:ascii="Candara" w:eastAsia="Times New Roman" w:hAnsi="Candara" w:cs="Times New Roman"/>
          <w:bCs/>
          <w:i/>
          <w:lang w:eastAsia="lv-LV"/>
        </w:rPr>
        <w:t>izmantošan</w:t>
      </w:r>
      <w:r w:rsidR="001563E4">
        <w:rPr>
          <w:rFonts w:ascii="Candara" w:eastAsia="Times New Roman" w:hAnsi="Candara" w:cs="Times New Roman"/>
          <w:bCs/>
          <w:i/>
          <w:lang w:eastAsia="lv-LV"/>
        </w:rPr>
        <w:t>u</w:t>
      </w:r>
      <w:r w:rsidR="00F161A4">
        <w:rPr>
          <w:rFonts w:ascii="Candara" w:eastAsia="Times New Roman" w:hAnsi="Candara" w:cs="Times New Roman"/>
          <w:bCs/>
          <w:lang w:eastAsia="lv-LV"/>
        </w:rPr>
        <w:t>)</w:t>
      </w:r>
      <w:r>
        <w:rPr>
          <w:rFonts w:ascii="Candara" w:eastAsia="Times New Roman" w:hAnsi="Candara" w:cs="Times New Roman"/>
          <w:bCs/>
          <w:lang w:eastAsia="lv-LV"/>
        </w:rPr>
        <w:t xml:space="preserve">, </w:t>
      </w:r>
      <w:r w:rsidRPr="00215E19">
        <w:rPr>
          <w:rFonts w:ascii="Candara" w:eastAsia="Times New Roman" w:hAnsi="Candara" w:cs="Times New Roman"/>
          <w:bCs/>
          <w:lang w:eastAsia="lv-LV"/>
        </w:rPr>
        <w:t xml:space="preserve">ziņojums ietver Zinātnes, tehnoloģijas attīstības un inovācijas pamatnostādņu 2014. – 2020.gadam (turpmāk – ZTAI pamatnostādnes) </w:t>
      </w:r>
      <w:r w:rsidR="00F161A4">
        <w:rPr>
          <w:rFonts w:ascii="Candara" w:eastAsia="Times New Roman" w:hAnsi="Candara" w:cs="Times New Roman"/>
          <w:bCs/>
          <w:lang w:eastAsia="lv-LV"/>
        </w:rPr>
        <w:t>un</w:t>
      </w:r>
      <w:r w:rsidRPr="00215E19">
        <w:rPr>
          <w:rFonts w:ascii="Candara" w:eastAsia="Times New Roman" w:hAnsi="Candara" w:cs="Times New Roman"/>
          <w:bCs/>
          <w:lang w:eastAsia="lv-LV"/>
        </w:rPr>
        <w:t xml:space="preserve"> Nacionālās industriālās politikas pamatnostādņu 2014. – 2020.gadam (turpmāk – NIP) rīcības plānā ietverto pasākumu īstenošanas gaitu laika periodā no 2014. līdz 2016.gadam un pasākumu plānu </w:t>
      </w:r>
      <w:r w:rsidR="001563E4">
        <w:rPr>
          <w:rFonts w:ascii="Candara" w:eastAsia="Times New Roman" w:hAnsi="Candara" w:cs="Times New Roman"/>
          <w:bCs/>
          <w:lang w:eastAsia="lv-LV"/>
        </w:rPr>
        <w:t>2018</w:t>
      </w:r>
      <w:r w:rsidRPr="00215E19">
        <w:rPr>
          <w:rFonts w:ascii="Candara" w:eastAsia="Times New Roman" w:hAnsi="Candara" w:cs="Times New Roman"/>
          <w:bCs/>
          <w:lang w:eastAsia="lv-LV"/>
        </w:rPr>
        <w:t>.</w:t>
      </w:r>
      <w:r w:rsidR="00BB6DBD">
        <w:rPr>
          <w:rFonts w:ascii="Candara" w:eastAsia="Times New Roman" w:hAnsi="Candara" w:cs="Times New Roman"/>
          <w:bCs/>
          <w:lang w:eastAsia="lv-LV"/>
        </w:rPr>
        <w:t xml:space="preserve"> – </w:t>
      </w:r>
      <w:r w:rsidRPr="00215E19">
        <w:rPr>
          <w:rFonts w:ascii="Candara" w:eastAsia="Times New Roman" w:hAnsi="Candara" w:cs="Times New Roman"/>
          <w:bCs/>
          <w:lang w:eastAsia="lv-LV"/>
        </w:rPr>
        <w:t xml:space="preserve">2020.gadam. </w:t>
      </w:r>
    </w:p>
    <w:p w:rsidR="00B01408" w:rsidP="00214364" w14:paraId="0C265668" w14:textId="77777777">
      <w:pPr>
        <w:spacing w:after="0" w:line="240" w:lineRule="auto"/>
        <w:ind w:firstLine="426"/>
        <w:jc w:val="both"/>
        <w:rPr>
          <w:rFonts w:ascii="Candara" w:eastAsia="Times New Roman" w:hAnsi="Candara" w:cs="Times New Roman"/>
          <w:bCs/>
          <w:lang w:eastAsia="lv-LV"/>
        </w:rPr>
      </w:pPr>
      <w:r w:rsidRPr="00215E19">
        <w:rPr>
          <w:rFonts w:ascii="Candara" w:eastAsia="Times New Roman" w:hAnsi="Candara" w:cs="Times New Roman"/>
          <w:bCs/>
          <w:lang w:eastAsia="lv-LV"/>
        </w:rPr>
        <w:t xml:space="preserve">ZTAI pamatnostādnes ir apstiprinātas ar </w:t>
      </w:r>
      <w:r w:rsidR="0040682A">
        <w:rPr>
          <w:rFonts w:ascii="Candara" w:eastAsia="Times New Roman" w:hAnsi="Candara" w:cs="Times New Roman"/>
          <w:bCs/>
          <w:lang w:eastAsia="lv-LV"/>
        </w:rPr>
        <w:t>MK</w:t>
      </w:r>
      <w:r w:rsidRPr="00215E19">
        <w:rPr>
          <w:rFonts w:ascii="Candara" w:eastAsia="Times New Roman" w:hAnsi="Candara" w:cs="Times New Roman"/>
          <w:bCs/>
          <w:lang w:eastAsia="lv-LV"/>
        </w:rPr>
        <w:t xml:space="preserve"> 2013.gada 28.decembra  rīkojumu Nr.685 (prot. Nr.67, 97.§); turpat arī noteikts, ka Izglītības un zinātnes ministrija iesniedz ZTAI pamatnostādņu īstenošanas starpposma novērtējumu </w:t>
      </w:r>
      <w:r w:rsidR="0040682A">
        <w:rPr>
          <w:rFonts w:ascii="Candara" w:eastAsia="Times New Roman" w:hAnsi="Candara" w:cs="Times New Roman"/>
          <w:bCs/>
          <w:lang w:eastAsia="lv-LV"/>
        </w:rPr>
        <w:t>MK</w:t>
      </w:r>
      <w:r w:rsidRPr="00215E19">
        <w:rPr>
          <w:rFonts w:ascii="Candara" w:eastAsia="Times New Roman" w:hAnsi="Candara" w:cs="Times New Roman"/>
          <w:bCs/>
          <w:lang w:eastAsia="lv-LV"/>
        </w:rPr>
        <w:t xml:space="preserve"> līdz 2017.gada 1.jūnijam. </w:t>
      </w:r>
      <w:r w:rsidRPr="00215E19">
        <w:rPr>
          <w:rFonts w:ascii="Candara" w:eastAsia="Times New Roman" w:hAnsi="Candara" w:cs="Times New Roman"/>
          <w:bCs/>
          <w:lang w:eastAsia="lv-LV"/>
        </w:rPr>
        <w:t xml:space="preserve">NIP ir apstiprinātas ar </w:t>
      </w:r>
      <w:r w:rsidR="0040682A">
        <w:rPr>
          <w:rFonts w:ascii="Candara" w:eastAsia="Times New Roman" w:hAnsi="Candara" w:cs="Times New Roman"/>
          <w:bCs/>
          <w:lang w:eastAsia="lv-LV"/>
        </w:rPr>
        <w:t>MK</w:t>
      </w:r>
      <w:r w:rsidRPr="00215E19">
        <w:rPr>
          <w:rFonts w:ascii="Candara" w:eastAsia="Times New Roman" w:hAnsi="Candara" w:cs="Times New Roman"/>
          <w:bCs/>
          <w:lang w:eastAsia="lv-LV"/>
        </w:rPr>
        <w:t xml:space="preserve"> 2013.gada 28.jūnija rīkojumu Nr.282 (prot. Nr.32  62.§); turpat arī noteikts, ka Ekonomikas ministrija iesniedz </w:t>
      </w:r>
      <w:r w:rsidR="0040682A">
        <w:rPr>
          <w:rFonts w:ascii="Candara" w:eastAsia="Times New Roman" w:hAnsi="Candara" w:cs="Times New Roman"/>
          <w:bCs/>
          <w:lang w:eastAsia="lv-LV"/>
        </w:rPr>
        <w:t>MK</w:t>
      </w:r>
      <w:r w:rsidRPr="00215E19">
        <w:rPr>
          <w:rFonts w:ascii="Candara" w:eastAsia="Times New Roman" w:hAnsi="Candara" w:cs="Times New Roman"/>
          <w:bCs/>
          <w:lang w:eastAsia="lv-LV"/>
        </w:rPr>
        <w:t xml:space="preserve"> informatīvo ziņojumu par NIP īstenošanas starpposma novērtējumu, kā arī paredzēto uzdevumu un pasākumu plānu 2018.-2020.gadam līdz 2017.gada 1.oktobrim. NIP galvenais mērķis ir veicināt ekonomikas strukturālās izmaiņas par labu augstāka ienesīguma preču un pakalpojumu ražošanai, t.sk. rūpniecības lomas palielināšanai, rūpniecības un pakalpojumu modernizācijai un eksporta sarežģītības attīstībai. NIP galvenie mērķi un uzstādījumi ir integrēti arī Nacionālajā a</w:t>
      </w:r>
      <w:r>
        <w:rPr>
          <w:rFonts w:ascii="Candara" w:eastAsia="Times New Roman" w:hAnsi="Candara" w:cs="Times New Roman"/>
          <w:bCs/>
          <w:lang w:eastAsia="lv-LV"/>
        </w:rPr>
        <w:t>ttīstības plānā</w:t>
      </w:r>
      <w:r w:rsidR="00DA2C5B">
        <w:rPr>
          <w:rFonts w:ascii="Candara" w:eastAsia="Times New Roman" w:hAnsi="Candara" w:cs="Times New Roman"/>
          <w:bCs/>
          <w:lang w:eastAsia="lv-LV"/>
        </w:rPr>
        <w:t xml:space="preserve"> </w:t>
      </w:r>
      <w:r>
        <w:rPr>
          <w:rFonts w:ascii="Candara" w:eastAsia="Times New Roman" w:hAnsi="Candara" w:cs="Times New Roman"/>
          <w:bCs/>
          <w:lang w:eastAsia="lv-LV"/>
        </w:rPr>
        <w:t>2014.</w:t>
      </w:r>
      <w:r w:rsidR="00DA2C5B">
        <w:rPr>
          <w:rFonts w:ascii="Candara" w:eastAsia="Times New Roman" w:hAnsi="Candara" w:cs="Times New Roman"/>
          <w:bCs/>
          <w:lang w:eastAsia="lv-LV"/>
        </w:rPr>
        <w:t xml:space="preserve"> – </w:t>
      </w:r>
      <w:r>
        <w:rPr>
          <w:rFonts w:ascii="Candara" w:eastAsia="Times New Roman" w:hAnsi="Candara" w:cs="Times New Roman"/>
          <w:bCs/>
          <w:lang w:eastAsia="lv-LV"/>
        </w:rPr>
        <w:t>2020.gadam.</w:t>
      </w:r>
    </w:p>
    <w:p w:rsidR="00215E19" w:rsidRPr="00215E19" w:rsidP="00214364" w14:paraId="35CD841C" w14:textId="77777777">
      <w:pPr>
        <w:spacing w:after="0" w:line="240" w:lineRule="auto"/>
        <w:ind w:firstLine="426"/>
        <w:jc w:val="both"/>
        <w:rPr>
          <w:rFonts w:ascii="Candara" w:eastAsia="Times New Roman" w:hAnsi="Candara" w:cs="Times New Roman"/>
          <w:bCs/>
          <w:lang w:eastAsia="lv-LV"/>
        </w:rPr>
      </w:pPr>
      <w:r w:rsidRPr="00215E19">
        <w:rPr>
          <w:rFonts w:ascii="Candara" w:eastAsia="Times New Roman" w:hAnsi="Candara" w:cs="Times New Roman"/>
          <w:bCs/>
          <w:lang w:eastAsia="lv-LV"/>
        </w:rPr>
        <w:t xml:space="preserve">Izstrādājot ziņojumu, informāciju par ZTAI </w:t>
      </w:r>
      <w:r w:rsidR="00636EF4">
        <w:rPr>
          <w:rFonts w:ascii="Candara" w:eastAsia="Times New Roman" w:hAnsi="Candara" w:cs="Times New Roman"/>
          <w:bCs/>
          <w:lang w:eastAsia="lv-LV"/>
        </w:rPr>
        <w:t xml:space="preserve">un NIP </w:t>
      </w:r>
      <w:r w:rsidRPr="00215E19">
        <w:rPr>
          <w:rFonts w:ascii="Candara" w:eastAsia="Times New Roman" w:hAnsi="Candara" w:cs="Times New Roman"/>
          <w:bCs/>
          <w:lang w:eastAsia="lv-LV"/>
        </w:rPr>
        <w:t xml:space="preserve">pamatnostādnēs noteikto uzdevumu un pasākumu izpildes gaitu un rezultātiem atbilstoši kompetencei ir sniegušas Ekonomikas ministrija, Finanšu ministrija, </w:t>
      </w:r>
      <w:r w:rsidR="001563E4">
        <w:rPr>
          <w:rFonts w:ascii="Candara" w:eastAsia="Times New Roman" w:hAnsi="Candara" w:cs="Times New Roman"/>
          <w:bCs/>
          <w:lang w:eastAsia="lv-LV"/>
        </w:rPr>
        <w:t xml:space="preserve">Iekšlietu ministrija, Izglītības un zinātnes ministrija, </w:t>
      </w:r>
      <w:r>
        <w:rPr>
          <w:rFonts w:ascii="Candara" w:eastAsia="Times New Roman" w:hAnsi="Candara" w:cs="Times New Roman"/>
          <w:bCs/>
          <w:lang w:eastAsia="lv-LV"/>
        </w:rPr>
        <w:t xml:space="preserve">Kultūras ministrija, </w:t>
      </w:r>
      <w:r w:rsidR="00636EF4">
        <w:rPr>
          <w:rFonts w:ascii="Candara" w:eastAsia="Times New Roman" w:hAnsi="Candara" w:cs="Times New Roman"/>
          <w:bCs/>
          <w:lang w:eastAsia="lv-LV"/>
        </w:rPr>
        <w:t xml:space="preserve">Labklājības ministrija, </w:t>
      </w:r>
      <w:r>
        <w:rPr>
          <w:rFonts w:ascii="Candara" w:eastAsia="Times New Roman" w:hAnsi="Candara" w:cs="Times New Roman"/>
          <w:bCs/>
          <w:lang w:eastAsia="lv-LV"/>
        </w:rPr>
        <w:t xml:space="preserve">Pārresoru koordinācijas centrs, Veselības ministrija, </w:t>
      </w:r>
      <w:r w:rsidRPr="00215E19">
        <w:rPr>
          <w:rFonts w:ascii="Candara" w:eastAsia="Times New Roman" w:hAnsi="Candara" w:cs="Times New Roman"/>
          <w:bCs/>
          <w:lang w:eastAsia="lv-LV"/>
        </w:rPr>
        <w:t>Vides aizsardzības un reģionālās attīstības ministrija un Zemkopības ministrija</w:t>
      </w:r>
      <w:r w:rsidR="00636EF4">
        <w:rPr>
          <w:rFonts w:ascii="Candara" w:eastAsia="Times New Roman" w:hAnsi="Candara" w:cs="Times New Roman"/>
          <w:bCs/>
          <w:lang w:eastAsia="lv-LV"/>
        </w:rPr>
        <w:t>, kā arī atbilstošie nozares partneri</w:t>
      </w:r>
      <w:r w:rsidRPr="00215E19">
        <w:rPr>
          <w:rFonts w:ascii="Candara" w:eastAsia="Times New Roman" w:hAnsi="Candara" w:cs="Times New Roman"/>
          <w:bCs/>
          <w:lang w:eastAsia="lv-LV"/>
        </w:rPr>
        <w:t>.</w:t>
      </w:r>
    </w:p>
    <w:p w:rsidR="00C92FE1" w:rsidP="00214364" w14:paraId="28520615" w14:textId="77777777">
      <w:pPr>
        <w:spacing w:after="0" w:line="240" w:lineRule="auto"/>
        <w:ind w:firstLine="426"/>
        <w:jc w:val="both"/>
        <w:rPr>
          <w:rFonts w:ascii="Candara" w:eastAsia="Times New Roman" w:hAnsi="Candara" w:cs="Times New Roman"/>
          <w:bCs/>
          <w:lang w:eastAsia="lv-LV"/>
        </w:rPr>
      </w:pPr>
      <w:r>
        <w:rPr>
          <w:rFonts w:ascii="Candara" w:eastAsia="Times New Roman" w:hAnsi="Candara" w:cs="Times New Roman"/>
          <w:bCs/>
          <w:lang w:eastAsia="lv-LV"/>
        </w:rPr>
        <w:t>Ziņojuma izstrāde nodrošina šādu uzdevumu izpildi:</w:t>
      </w:r>
    </w:p>
    <w:p w:rsidR="00C92FE1" w:rsidP="00214364" w14:paraId="6DC01A49" w14:textId="77777777">
      <w:pPr>
        <w:pStyle w:val="ListParagraph"/>
        <w:numPr>
          <w:ilvl w:val="0"/>
          <w:numId w:val="59"/>
        </w:numPr>
        <w:spacing w:before="0"/>
        <w:ind w:left="709" w:hanging="284"/>
        <w:contextualSpacing w:val="0"/>
        <w:rPr>
          <w:rFonts w:ascii="Candara" w:hAnsi="Candara"/>
          <w:bCs/>
          <w:sz w:val="22"/>
          <w:szCs w:val="22"/>
          <w:lang w:eastAsia="lv-LV"/>
        </w:rPr>
      </w:pPr>
      <w:r>
        <w:rPr>
          <w:rFonts w:ascii="Candara" w:hAnsi="Candara"/>
          <w:bCs/>
          <w:i/>
          <w:sz w:val="22"/>
          <w:szCs w:val="22"/>
          <w:lang w:eastAsia="lv-LV"/>
        </w:rPr>
        <w:t>E</w:t>
      </w:r>
      <w:r w:rsidRPr="004D34BC">
        <w:rPr>
          <w:rFonts w:ascii="Candara" w:hAnsi="Candara"/>
          <w:bCs/>
          <w:i/>
          <w:sz w:val="22"/>
          <w:szCs w:val="22"/>
          <w:lang w:eastAsia="lv-LV"/>
        </w:rPr>
        <w:t>x-ante</w:t>
      </w:r>
      <w:r w:rsidRPr="004D34BC">
        <w:rPr>
          <w:rFonts w:ascii="Candara" w:hAnsi="Candara"/>
          <w:bCs/>
          <w:sz w:val="22"/>
          <w:szCs w:val="22"/>
          <w:lang w:eastAsia="lv-LV"/>
        </w:rPr>
        <w:t xml:space="preserve"> nosacījumu Eiropas Savienības Kohēzijas politikas 2014. – 2020.gada plānošanas </w:t>
      </w:r>
      <w:r w:rsidRPr="004D34BC">
        <w:rPr>
          <w:rFonts w:ascii="Candara" w:hAnsi="Candara" w:eastAsiaTheme="minorHAnsi" w:cstheme="minorBidi"/>
          <w:sz w:val="22"/>
          <w:szCs w:val="22"/>
        </w:rPr>
        <w:t>periodam</w:t>
      </w:r>
      <w:r>
        <w:rPr>
          <w:rFonts w:ascii="Candara" w:hAnsi="Candara"/>
          <w:bCs/>
          <w:sz w:val="22"/>
          <w:szCs w:val="22"/>
          <w:lang w:eastAsia="lv-LV"/>
        </w:rPr>
        <w:t>, kur uz</w:t>
      </w:r>
      <w:r w:rsidRPr="004D34BC">
        <w:rPr>
          <w:rFonts w:ascii="Candara" w:hAnsi="Candara"/>
          <w:bCs/>
          <w:sz w:val="22"/>
          <w:szCs w:val="22"/>
          <w:lang w:eastAsia="lv-LV"/>
        </w:rPr>
        <w:t xml:space="preserve"> pētniecības un inovāciju jomu attiecināms </w:t>
      </w:r>
      <w:r w:rsidRPr="004D34BC">
        <w:rPr>
          <w:rFonts w:ascii="Candara" w:hAnsi="Candara"/>
          <w:bCs/>
          <w:i/>
          <w:sz w:val="22"/>
          <w:szCs w:val="22"/>
          <w:lang w:eastAsia="lv-LV"/>
        </w:rPr>
        <w:t>ex-ante</w:t>
      </w:r>
      <w:r w:rsidRPr="004D34BC">
        <w:rPr>
          <w:rFonts w:ascii="Candara" w:hAnsi="Candara"/>
          <w:bCs/>
          <w:sz w:val="22"/>
          <w:szCs w:val="22"/>
          <w:lang w:eastAsia="lv-LV"/>
        </w:rPr>
        <w:t xml:space="preserve"> nosacījums ir “jābūt Nacionālajai Reformu Programmai atbilstošai Viedās specializācijas stratēģijai, kas veicinātu privātos ieguldījumus pētījumiem un inovācijai, labi funkcionējošas pētniecības </w:t>
      </w:r>
      <w:r>
        <w:rPr>
          <w:rFonts w:ascii="Candara" w:hAnsi="Candara"/>
          <w:bCs/>
          <w:sz w:val="22"/>
          <w:szCs w:val="22"/>
          <w:lang w:eastAsia="lv-LV"/>
        </w:rPr>
        <w:t>un inovācijas sistēmas ietvarā”;</w:t>
      </w:r>
    </w:p>
    <w:p w:rsidR="00C92FE1" w:rsidRPr="004D34BC" w:rsidP="00214364" w14:paraId="7DBD475F" w14:textId="77777777">
      <w:pPr>
        <w:pStyle w:val="ListParagraph"/>
        <w:numPr>
          <w:ilvl w:val="0"/>
          <w:numId w:val="59"/>
        </w:numPr>
        <w:spacing w:before="0"/>
        <w:ind w:left="709" w:hanging="284"/>
        <w:contextualSpacing w:val="0"/>
        <w:rPr>
          <w:rFonts w:ascii="Candara" w:hAnsi="Candara"/>
          <w:sz w:val="22"/>
          <w:szCs w:val="22"/>
        </w:rPr>
      </w:pPr>
      <w:r w:rsidRPr="004D34BC">
        <w:rPr>
          <w:rFonts w:ascii="Candara" w:hAnsi="Candara"/>
          <w:sz w:val="22"/>
          <w:szCs w:val="22"/>
        </w:rPr>
        <w:t>MK 2013.gada 28.jūnija rīkojum</w:t>
      </w:r>
      <w:r>
        <w:rPr>
          <w:rFonts w:ascii="Candara" w:hAnsi="Candara"/>
          <w:sz w:val="22"/>
          <w:szCs w:val="22"/>
        </w:rPr>
        <w:t>u</w:t>
      </w:r>
      <w:r w:rsidRPr="004D34BC">
        <w:rPr>
          <w:rFonts w:ascii="Candara" w:hAnsi="Candara"/>
          <w:sz w:val="22"/>
          <w:szCs w:val="22"/>
        </w:rPr>
        <w:t xml:space="preserve"> Nr.282 (prot. Nr.32  62.§) “Par Nacionālās industriālās politikas pamatnostādnēm 2014.–2020.gadam” 5.</w:t>
      </w:r>
      <w:r>
        <w:rPr>
          <w:rFonts w:ascii="Candara" w:hAnsi="Candara"/>
          <w:sz w:val="22"/>
          <w:szCs w:val="22"/>
        </w:rPr>
        <w:t>1. apakš</w:t>
      </w:r>
      <w:r w:rsidRPr="004D34BC">
        <w:rPr>
          <w:rFonts w:ascii="Candara" w:hAnsi="Candara"/>
          <w:sz w:val="22"/>
          <w:szCs w:val="22"/>
        </w:rPr>
        <w:t>punkt</w:t>
      </w:r>
      <w:r>
        <w:rPr>
          <w:rFonts w:ascii="Candara" w:hAnsi="Candara"/>
          <w:sz w:val="22"/>
          <w:szCs w:val="22"/>
        </w:rPr>
        <w:t>u, kas nosaka, ka</w:t>
      </w:r>
      <w:r w:rsidRPr="004D34BC">
        <w:rPr>
          <w:rFonts w:ascii="Candara" w:hAnsi="Candara"/>
          <w:sz w:val="22"/>
          <w:szCs w:val="22"/>
        </w:rPr>
        <w:t xml:space="preserve"> Ekonomikas ministrijai jāsagatavo un </w:t>
      </w:r>
      <w:r>
        <w:rPr>
          <w:rFonts w:ascii="Candara" w:hAnsi="Candara"/>
          <w:sz w:val="22"/>
          <w:szCs w:val="22"/>
        </w:rPr>
        <w:t xml:space="preserve">ekonomikas ministram </w:t>
      </w:r>
      <w:r w:rsidRPr="004D34BC">
        <w:rPr>
          <w:rFonts w:ascii="Candara" w:hAnsi="Candara"/>
          <w:sz w:val="22"/>
          <w:szCs w:val="22"/>
        </w:rPr>
        <w:t>līdz 2017.gada 1.oktobrim noteiktā kārtībā MK jāiesniedz informatīvais ziņojums par Nacionālās industriālās politikas pamatnostādņu 2014.</w:t>
      </w:r>
      <w:r w:rsidR="00DA2C5B">
        <w:rPr>
          <w:rFonts w:ascii="Candara" w:hAnsi="Candara"/>
          <w:sz w:val="22"/>
          <w:szCs w:val="22"/>
        </w:rPr>
        <w:t xml:space="preserve"> </w:t>
      </w:r>
      <w:r w:rsidRPr="004D34BC">
        <w:rPr>
          <w:rFonts w:ascii="Candara" w:hAnsi="Candara"/>
          <w:sz w:val="22"/>
          <w:szCs w:val="22"/>
        </w:rPr>
        <w:t>–</w:t>
      </w:r>
      <w:r w:rsidR="00DA2C5B">
        <w:rPr>
          <w:rFonts w:ascii="Candara" w:hAnsi="Candara"/>
          <w:sz w:val="22"/>
          <w:szCs w:val="22"/>
        </w:rPr>
        <w:t xml:space="preserve"> </w:t>
      </w:r>
      <w:r w:rsidRPr="004D34BC">
        <w:rPr>
          <w:rFonts w:ascii="Candara" w:hAnsi="Candara"/>
          <w:sz w:val="22"/>
          <w:szCs w:val="22"/>
        </w:rPr>
        <w:t xml:space="preserve">2020.gadam īstenošanas starpposma novērtējumu, kā arī paredzēto uzdevumu un </w:t>
      </w:r>
      <w:r>
        <w:rPr>
          <w:rFonts w:ascii="Candara" w:hAnsi="Candara"/>
          <w:sz w:val="22"/>
          <w:szCs w:val="22"/>
        </w:rPr>
        <w:t>pasākumu plāns 2018.</w:t>
      </w:r>
      <w:r w:rsidR="00003013">
        <w:rPr>
          <w:rFonts w:ascii="Candara" w:hAnsi="Candara"/>
          <w:sz w:val="22"/>
          <w:szCs w:val="22"/>
        </w:rPr>
        <w:t> </w:t>
      </w:r>
      <w:r w:rsidR="00DA2C5B">
        <w:rPr>
          <w:rFonts w:ascii="Candara" w:hAnsi="Candara"/>
          <w:sz w:val="22"/>
          <w:szCs w:val="22"/>
        </w:rPr>
        <w:t>–</w:t>
      </w:r>
      <w:r w:rsidR="00003013">
        <w:rPr>
          <w:rFonts w:ascii="Candara" w:hAnsi="Candara"/>
          <w:sz w:val="22"/>
          <w:szCs w:val="22"/>
        </w:rPr>
        <w:t> </w:t>
      </w:r>
      <w:r>
        <w:rPr>
          <w:rFonts w:ascii="Candara" w:hAnsi="Candara"/>
          <w:sz w:val="22"/>
          <w:szCs w:val="22"/>
        </w:rPr>
        <w:t>2020.gadam;</w:t>
      </w:r>
    </w:p>
    <w:p w:rsidR="00C92FE1" w:rsidP="00214364" w14:paraId="6167F43B" w14:textId="77777777">
      <w:pPr>
        <w:pStyle w:val="ListParagraph"/>
        <w:numPr>
          <w:ilvl w:val="0"/>
          <w:numId w:val="59"/>
        </w:numPr>
        <w:spacing w:before="0"/>
        <w:ind w:left="709" w:hanging="284"/>
        <w:contextualSpacing w:val="0"/>
        <w:rPr>
          <w:rFonts w:ascii="Candara" w:hAnsi="Candara"/>
          <w:sz w:val="22"/>
          <w:szCs w:val="22"/>
        </w:rPr>
      </w:pPr>
      <w:r w:rsidRPr="004D34BC">
        <w:rPr>
          <w:rFonts w:ascii="Candara" w:hAnsi="Candara"/>
          <w:sz w:val="22"/>
          <w:szCs w:val="22"/>
        </w:rPr>
        <w:t>MK 2013.gada 28.decembr</w:t>
      </w:r>
      <w:r>
        <w:rPr>
          <w:rFonts w:ascii="Candara" w:hAnsi="Candara"/>
          <w:sz w:val="22"/>
          <w:szCs w:val="22"/>
        </w:rPr>
        <w:t>a</w:t>
      </w:r>
      <w:r w:rsidRPr="004D34BC">
        <w:rPr>
          <w:rFonts w:ascii="Candara" w:hAnsi="Candara"/>
          <w:sz w:val="22"/>
          <w:szCs w:val="22"/>
        </w:rPr>
        <w:t xml:space="preserve"> rīkojuma Nr.685 (prot. Nr.67; 97.§) </w:t>
      </w:r>
      <w:r>
        <w:rPr>
          <w:rFonts w:ascii="Candara" w:hAnsi="Candara"/>
          <w:sz w:val="22"/>
          <w:szCs w:val="22"/>
        </w:rPr>
        <w:t>“</w:t>
      </w:r>
      <w:r w:rsidRPr="004D34BC">
        <w:rPr>
          <w:rFonts w:ascii="Candara" w:hAnsi="Candara"/>
          <w:sz w:val="22"/>
          <w:szCs w:val="22"/>
        </w:rPr>
        <w:t>Par Zinātnes, tehnoloģijas attīstības un inovācijas pamatnostādnēm 2014.–2020. gadam</w:t>
      </w:r>
      <w:r>
        <w:rPr>
          <w:rFonts w:ascii="Candara" w:hAnsi="Candara"/>
          <w:sz w:val="22"/>
          <w:szCs w:val="22"/>
        </w:rPr>
        <w:t>”</w:t>
      </w:r>
      <w:r w:rsidRPr="004D34BC">
        <w:rPr>
          <w:rFonts w:ascii="Candara" w:hAnsi="Candara"/>
          <w:sz w:val="22"/>
          <w:szCs w:val="22"/>
        </w:rPr>
        <w:t xml:space="preserve"> 4.1. apakšpunktu</w:t>
      </w:r>
      <w:r>
        <w:rPr>
          <w:rFonts w:ascii="Candara" w:hAnsi="Candara"/>
          <w:sz w:val="22"/>
          <w:szCs w:val="22"/>
        </w:rPr>
        <w:t xml:space="preserve"> un 2017.gada 19.aprīļa MK rīkojumu Nr. 191 </w:t>
      </w:r>
      <w:r w:rsidRPr="004D34BC">
        <w:rPr>
          <w:rFonts w:ascii="Candara" w:hAnsi="Candara"/>
          <w:sz w:val="22"/>
          <w:szCs w:val="22"/>
        </w:rPr>
        <w:t>(prot. Nr. 20  8. §)</w:t>
      </w:r>
      <w:r>
        <w:rPr>
          <w:rFonts w:ascii="Candara" w:hAnsi="Candara"/>
          <w:sz w:val="22"/>
          <w:szCs w:val="22"/>
        </w:rPr>
        <w:t>, kas nosaka Izglītības un zinātnes ministrijai sagatavot un izglītības un zinātnes ministram iesniegt Zinātnes, tehnoloģijas attīstības un inovācijas pamatnostādņu</w:t>
      </w:r>
      <w:r w:rsidRPr="004D34BC">
        <w:rPr>
          <w:rFonts w:ascii="Candara" w:hAnsi="Candara"/>
          <w:sz w:val="22"/>
          <w:szCs w:val="22"/>
        </w:rPr>
        <w:t xml:space="preserve"> 2014.–2020.gadam īstenošanas starpposma novērtējumu</w:t>
      </w:r>
      <w:r>
        <w:rPr>
          <w:rFonts w:ascii="Candara" w:hAnsi="Candara"/>
          <w:sz w:val="22"/>
          <w:szCs w:val="22"/>
        </w:rPr>
        <w:t>.</w:t>
      </w:r>
    </w:p>
    <w:p w:rsidR="00C44794" w:rsidRPr="00C44794" w:rsidP="00214364" w14:paraId="6C116AD9" w14:textId="77777777">
      <w:pPr>
        <w:spacing w:after="0" w:line="240" w:lineRule="auto"/>
        <w:rPr>
          <w:rFonts w:ascii="Candara" w:eastAsia="Times New Roman" w:hAnsi="Candara" w:cs="Times New Roman"/>
          <w:bCs/>
          <w:sz w:val="10"/>
          <w:lang w:eastAsia="lv-LV"/>
        </w:rPr>
      </w:pPr>
    </w:p>
    <w:p w:rsidR="00C44794" w:rsidP="00214364" w14:paraId="733D0ADA" w14:textId="77777777">
      <w:pPr>
        <w:ind w:firstLine="426"/>
        <w:jc w:val="both"/>
        <w:rPr>
          <w:rFonts w:ascii="Candara" w:eastAsia="Times New Roman" w:hAnsi="Candara" w:cs="Times New Roman"/>
          <w:bCs/>
          <w:lang w:eastAsia="lv-LV"/>
        </w:rPr>
      </w:pPr>
      <w:r>
        <w:rPr>
          <w:rFonts w:ascii="Candara" w:eastAsia="Times New Roman" w:hAnsi="Candara" w:cs="Times New Roman"/>
          <w:bCs/>
          <w:lang w:eastAsia="lv-LV"/>
        </w:rPr>
        <w:t xml:space="preserve">Ziņojumā ir </w:t>
      </w:r>
      <w:r w:rsidR="00D736D1">
        <w:rPr>
          <w:rFonts w:ascii="Candara" w:eastAsia="Times New Roman" w:hAnsi="Candara" w:cs="Times New Roman"/>
          <w:bCs/>
          <w:lang w:eastAsia="lv-LV"/>
        </w:rPr>
        <w:t xml:space="preserve">10 </w:t>
      </w:r>
      <w:r>
        <w:rPr>
          <w:rFonts w:ascii="Candara" w:eastAsia="Times New Roman" w:hAnsi="Candara" w:cs="Times New Roman"/>
          <w:bCs/>
          <w:lang w:eastAsia="lv-LV"/>
        </w:rPr>
        <w:t xml:space="preserve">pamatnodaļas, kurās aprakstīts RIS3 koncepts un sasaiste ar politikas plānošanas dokumentiem, raksturoti tautsaimniecības attīstības izaicinājumi un strukturālās transformācijas virzieni,  </w:t>
      </w:r>
      <w:r>
        <w:rPr>
          <w:rFonts w:ascii="Candara" w:eastAsia="Times New Roman" w:hAnsi="Candara" w:cs="Times New Roman"/>
          <w:bCs/>
          <w:lang w:eastAsia="lv-LV"/>
        </w:rPr>
        <w:t xml:space="preserve">izvērtēti politikas rezultātu mērķa sasniegšanas rādītāji, kā arī analizēti </w:t>
      </w:r>
      <w:r w:rsidR="00D736D1">
        <w:rPr>
          <w:rFonts w:ascii="Candara" w:eastAsia="Times New Roman" w:hAnsi="Candara" w:cs="Times New Roman"/>
          <w:bCs/>
          <w:lang w:eastAsia="lv-LV"/>
        </w:rPr>
        <w:t xml:space="preserve">RIS3 </w:t>
      </w:r>
      <w:r>
        <w:rPr>
          <w:rFonts w:ascii="Candara" w:eastAsia="Times New Roman" w:hAnsi="Candara" w:cs="Times New Roman"/>
          <w:bCs/>
          <w:lang w:eastAsia="lv-LV"/>
        </w:rPr>
        <w:t>mikro līmeņa rādītāji. Ziņojuma nobeigumā ir</w:t>
      </w:r>
      <w:r w:rsidR="00350536">
        <w:rPr>
          <w:rFonts w:ascii="Candara" w:eastAsia="Times New Roman" w:hAnsi="Candara" w:cs="Times New Roman"/>
          <w:bCs/>
          <w:lang w:eastAsia="lv-LV"/>
        </w:rPr>
        <w:t xml:space="preserve"> iekļauts turpmāko </w:t>
      </w:r>
      <w:r>
        <w:rPr>
          <w:rFonts w:ascii="Candara" w:eastAsia="Times New Roman" w:hAnsi="Candara" w:cs="Times New Roman"/>
          <w:bCs/>
          <w:lang w:eastAsia="lv-LV"/>
        </w:rPr>
        <w:t>pasākumu plā</w:t>
      </w:r>
      <w:r w:rsidR="00214364">
        <w:rPr>
          <w:rFonts w:ascii="Candara" w:eastAsia="Times New Roman" w:hAnsi="Candara" w:cs="Times New Roman"/>
          <w:bCs/>
          <w:lang w:eastAsia="lv-LV"/>
        </w:rPr>
        <w:t xml:space="preserve">ns. Ziņojumam ir </w:t>
      </w:r>
      <w:r w:rsidR="00D736D1">
        <w:rPr>
          <w:rFonts w:ascii="Candara" w:eastAsia="Times New Roman" w:hAnsi="Candara" w:cs="Times New Roman"/>
          <w:bCs/>
          <w:lang w:eastAsia="lv-LV"/>
        </w:rPr>
        <w:t>6</w:t>
      </w:r>
      <w:r w:rsidR="001563E4">
        <w:rPr>
          <w:rFonts w:ascii="Candara" w:eastAsia="Times New Roman" w:hAnsi="Candara" w:cs="Times New Roman"/>
          <w:bCs/>
          <w:lang w:eastAsia="lv-LV"/>
        </w:rPr>
        <w:t xml:space="preserve"> </w:t>
      </w:r>
      <w:r w:rsidR="00214364">
        <w:rPr>
          <w:rFonts w:ascii="Candara" w:eastAsia="Times New Roman" w:hAnsi="Candara" w:cs="Times New Roman"/>
          <w:bCs/>
          <w:lang w:eastAsia="lv-LV"/>
        </w:rPr>
        <w:t>pielikumi.</w:t>
      </w:r>
    </w:p>
    <w:p w:rsidR="00086B6E" w14:paraId="07D64F80" w14:textId="77777777">
      <w:pPr>
        <w:rPr>
          <w:rFonts w:ascii="Candara" w:eastAsia="Times New Roman" w:hAnsi="Candara" w:cs="Times New Roman"/>
          <w:bCs/>
          <w:lang w:eastAsia="lv-LV"/>
        </w:rPr>
      </w:pPr>
      <w:r>
        <w:rPr>
          <w:rFonts w:ascii="Candara" w:eastAsia="Times New Roman" w:hAnsi="Candara" w:cs="Times New Roman"/>
          <w:bCs/>
          <w:lang w:eastAsia="lv-LV"/>
        </w:rPr>
        <w:br w:type="page"/>
      </w:r>
    </w:p>
    <w:p w:rsidR="00581249" w:rsidRPr="00296348" w:rsidP="006168A2" w14:paraId="43B4902E" w14:textId="77777777">
      <w:pPr>
        <w:pStyle w:val="Heading1"/>
        <w:shd w:val="clear" w:color="auto" w:fill="6D1D6A" w:themeFill="accent1" w:themeFillShade="BF"/>
        <w:rPr>
          <w:rFonts w:ascii="Candara" w:eastAsia="Times New Roman" w:hAnsi="Candara"/>
          <w:b/>
          <w:color w:val="FFFFFF" w:themeColor="background1"/>
          <w:lang w:eastAsia="lv-LV"/>
        </w:rPr>
      </w:pPr>
      <w:bookmarkStart w:id="3" w:name="_Toc484445185"/>
      <w:bookmarkStart w:id="4" w:name="_Toc256000001"/>
      <w:bookmarkStart w:id="5" w:name="_Toc256000017"/>
      <w:r w:rsidRPr="00296348">
        <w:rPr>
          <w:rFonts w:ascii="Candara" w:eastAsia="Times New Roman" w:hAnsi="Candara"/>
          <w:b/>
          <w:color w:val="FFFFFF" w:themeColor="background1"/>
          <w:lang w:eastAsia="lv-LV"/>
        </w:rPr>
        <w:t>IZMANTOTIE SAĪSINĀJUMI UN TERMINI</w:t>
      </w:r>
      <w:bookmarkEnd w:id="5"/>
      <w:bookmarkEnd w:id="4"/>
      <w:bookmarkEnd w:id="3"/>
    </w:p>
    <w:p w:rsidR="00581249" w:rsidRPr="007D09BA" w:rsidP="00581249" w14:paraId="010C14C6" w14:textId="77777777">
      <w:pPr>
        <w:shd w:val="clear" w:color="auto" w:fill="FFFFFF" w:themeFill="background1"/>
        <w:spacing w:after="0" w:line="240" w:lineRule="auto"/>
        <w:rPr>
          <w:rFonts w:ascii="Times New Roman" w:eastAsia="Times New Roman" w:hAnsi="Times New Roman" w:cs="Times New Roman"/>
          <w:b/>
          <w:bCs/>
          <w:sz w:val="24"/>
          <w:szCs w:val="24"/>
          <w:highlight w:val="yellow"/>
          <w:lang w:eastAsia="lv-LV"/>
        </w:rPr>
      </w:pPr>
    </w:p>
    <w:p w:rsidR="006B0DE1" w:rsidRPr="007D09BA" w:rsidP="00A90858" w14:paraId="47859E29" w14:textId="77777777">
      <w:pPr>
        <w:spacing w:after="60" w:line="240" w:lineRule="auto"/>
        <w:ind w:left="851" w:hanging="993"/>
        <w:rPr>
          <w:rFonts w:ascii="Candara" w:hAnsi="Candara" w:cs="Times New Roman"/>
          <w:highlight w:val="yellow"/>
        </w:rPr>
        <w:sectPr w:rsidSect="00C5536D">
          <w:headerReference w:type="default" r:id="rId6"/>
          <w:footerReference w:type="even" r:id="rId7"/>
          <w:footerReference w:type="default" r:id="rId8"/>
          <w:footerReference w:type="first" r:id="rId9"/>
          <w:type w:val="continuous"/>
          <w:pgSz w:w="11906" w:h="16838"/>
          <w:pgMar w:top="993" w:right="907" w:bottom="1418" w:left="1304" w:header="426" w:footer="193" w:gutter="0"/>
          <w:cols w:space="708"/>
          <w:titlePg/>
          <w:docGrid w:linePitch="360"/>
        </w:sectPr>
      </w:pPr>
    </w:p>
    <w:p w:rsidR="00581249" w:rsidRPr="00E3471F" w:rsidP="00A90858" w14:paraId="6C116781"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CSP</w:t>
      </w:r>
      <w:r w:rsidRPr="00E3471F">
        <w:rPr>
          <w:rFonts w:ascii="Candara" w:hAnsi="Candara" w:cs="Times New Roman"/>
          <w:spacing w:val="-10"/>
          <w:sz w:val="20"/>
          <w:szCs w:val="20"/>
        </w:rPr>
        <w:tab/>
        <w:t>Centrālā statistikas pārvalde</w:t>
      </w:r>
    </w:p>
    <w:p w:rsidR="00CD3156" w:rsidRPr="00E3471F" w:rsidP="00A90858" w14:paraId="72BCB8A5"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FBMTKC</w:t>
      </w:r>
      <w:r w:rsidRPr="00E3471F">
        <w:rPr>
          <w:rFonts w:ascii="Candara" w:hAnsi="Candara" w:cs="Times New Roman"/>
          <w:spacing w:val="-10"/>
          <w:sz w:val="20"/>
          <w:szCs w:val="20"/>
        </w:rPr>
        <w:tab/>
        <w:t>Farmācijas, biomedicīnas un medicīnas tehnoloģiju kompetences centrs</w:t>
      </w:r>
    </w:p>
    <w:p w:rsidR="00CF6F4E" w:rsidRPr="00E3471F" w:rsidP="00A90858" w14:paraId="4D048AA7"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ELFLA</w:t>
      </w:r>
      <w:r w:rsidRPr="00E3471F" w:rsidR="00CD3156">
        <w:rPr>
          <w:rFonts w:ascii="Candara" w:hAnsi="Candara" w:cs="Times New Roman"/>
          <w:spacing w:val="-10"/>
          <w:sz w:val="20"/>
          <w:szCs w:val="20"/>
        </w:rPr>
        <w:tab/>
        <w:t>Eiropas Lauksaimniecības fonds lauku attīstībai</w:t>
      </w:r>
    </w:p>
    <w:p w:rsidR="00581249" w:rsidRPr="00E3471F" w:rsidP="00A90858" w14:paraId="4247F41F"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EPO</w:t>
      </w:r>
      <w:r w:rsidRPr="00E3471F">
        <w:rPr>
          <w:rFonts w:ascii="Candara" w:hAnsi="Candara" w:cs="Times New Roman"/>
          <w:spacing w:val="-10"/>
          <w:sz w:val="20"/>
          <w:szCs w:val="20"/>
        </w:rPr>
        <w:tab/>
        <w:t xml:space="preserve">Eiropas Patentu birojs </w:t>
      </w:r>
    </w:p>
    <w:p w:rsidR="00581249" w:rsidRPr="00E3471F" w:rsidP="00A90858" w14:paraId="5D6D1FBA"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 xml:space="preserve">ERAF </w:t>
      </w:r>
      <w:r w:rsidRPr="00E3471F">
        <w:rPr>
          <w:rFonts w:ascii="Candara" w:hAnsi="Candara" w:cs="Times New Roman"/>
          <w:spacing w:val="-10"/>
          <w:sz w:val="20"/>
          <w:szCs w:val="20"/>
        </w:rPr>
        <w:tab/>
        <w:t xml:space="preserve">Eiropas Reģionālās attīstības fonds </w:t>
      </w:r>
    </w:p>
    <w:p w:rsidR="00581249" w:rsidRPr="00E3471F" w:rsidP="00A90858" w14:paraId="3E6713F0"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ES</w:t>
      </w:r>
      <w:r w:rsidRPr="00E3471F">
        <w:rPr>
          <w:rFonts w:ascii="Candara" w:hAnsi="Candara" w:cs="Times New Roman"/>
          <w:spacing w:val="-10"/>
          <w:sz w:val="20"/>
          <w:szCs w:val="20"/>
        </w:rPr>
        <w:tab/>
        <w:t>Eiropas Savienība</w:t>
      </w:r>
    </w:p>
    <w:p w:rsidR="00581249" w:rsidRPr="00E3471F" w:rsidP="00A90858" w14:paraId="1374B136"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EK</w:t>
      </w:r>
      <w:r w:rsidRPr="00E3471F">
        <w:rPr>
          <w:rFonts w:ascii="Candara" w:hAnsi="Candara" w:cs="Times New Roman"/>
          <w:spacing w:val="-10"/>
          <w:sz w:val="20"/>
          <w:szCs w:val="20"/>
        </w:rPr>
        <w:tab/>
        <w:t>Eiropas K</w:t>
      </w:r>
      <w:r w:rsidRPr="00E3471F">
        <w:rPr>
          <w:rFonts w:ascii="Candara" w:hAnsi="Candara" w:cs="Times New Roman"/>
          <w:spacing w:val="-10"/>
          <w:sz w:val="20"/>
          <w:szCs w:val="20"/>
        </w:rPr>
        <w:t>omisija</w:t>
      </w:r>
    </w:p>
    <w:p w:rsidR="00B4626C" w:rsidRPr="00E3471F" w:rsidP="00A90858" w14:paraId="7EBF21FB"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EM</w:t>
      </w:r>
      <w:r w:rsidRPr="00E3471F">
        <w:rPr>
          <w:rFonts w:ascii="Candara" w:hAnsi="Candara" w:cs="Times New Roman"/>
          <w:spacing w:val="-10"/>
          <w:sz w:val="20"/>
          <w:szCs w:val="20"/>
        </w:rPr>
        <w:tab/>
        <w:t>Ekonomikas ministrija</w:t>
      </w:r>
    </w:p>
    <w:p w:rsidR="00581249" w:rsidRPr="00E3471F" w:rsidP="00A90858" w14:paraId="05879153"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ESFRI</w:t>
      </w:r>
      <w:r w:rsidRPr="00E3471F">
        <w:rPr>
          <w:rFonts w:ascii="Candara" w:hAnsi="Candara" w:cs="Times New Roman"/>
          <w:spacing w:val="-10"/>
          <w:sz w:val="20"/>
          <w:szCs w:val="20"/>
        </w:rPr>
        <w:tab/>
        <w:t xml:space="preserve">Eiropas stratēģiskais forums par Pētniecības infrastruktūrām </w:t>
      </w:r>
      <w:r w:rsidRPr="00E3471F" w:rsidR="00A90858">
        <w:rPr>
          <w:rFonts w:ascii="Candara" w:hAnsi="Candara" w:cs="Times New Roman"/>
          <w:spacing w:val="-10"/>
          <w:sz w:val="20"/>
          <w:szCs w:val="20"/>
        </w:rPr>
        <w:t>(</w:t>
      </w:r>
      <w:r w:rsidRPr="00E3471F">
        <w:rPr>
          <w:rFonts w:ascii="Candara" w:hAnsi="Candara" w:cs="Times New Roman"/>
          <w:i/>
          <w:spacing w:val="-10"/>
          <w:sz w:val="20"/>
          <w:szCs w:val="20"/>
        </w:rPr>
        <w:t>European Strategy Forum on Research Infrastructures</w:t>
      </w:r>
      <w:r w:rsidRPr="00E3471F">
        <w:rPr>
          <w:rFonts w:ascii="Candara" w:hAnsi="Candara" w:cs="Times New Roman"/>
          <w:spacing w:val="-10"/>
          <w:sz w:val="20"/>
          <w:szCs w:val="20"/>
        </w:rPr>
        <w:t>)</w:t>
      </w:r>
    </w:p>
    <w:p w:rsidR="00581249" w:rsidRPr="00E3471F" w:rsidP="00A90858" w14:paraId="3CDEC96F"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ERIC</w:t>
      </w:r>
      <w:r w:rsidRPr="00E3471F">
        <w:rPr>
          <w:rFonts w:ascii="Candara" w:hAnsi="Candara" w:cs="Times New Roman"/>
          <w:spacing w:val="-10"/>
          <w:sz w:val="20"/>
          <w:szCs w:val="20"/>
        </w:rPr>
        <w:tab/>
        <w:t>Eiropas Pētniecības infrastruktūras konsorcijs</w:t>
      </w:r>
    </w:p>
    <w:p w:rsidR="00B4626C" w:rsidRPr="00E3471F" w:rsidP="00A90858" w14:paraId="49E28E93"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FM</w:t>
      </w:r>
      <w:r w:rsidRPr="00E3471F">
        <w:rPr>
          <w:rFonts w:ascii="Candara" w:hAnsi="Candara" w:cs="Times New Roman"/>
          <w:spacing w:val="-10"/>
          <w:sz w:val="20"/>
          <w:szCs w:val="20"/>
        </w:rPr>
        <w:tab/>
        <w:t>Finanšu ministrija</w:t>
      </w:r>
    </w:p>
    <w:p w:rsidR="00581249" w:rsidRPr="00E3471F" w:rsidP="00A90858" w14:paraId="138482C9"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IIN</w:t>
      </w:r>
      <w:r w:rsidRPr="00E3471F">
        <w:rPr>
          <w:rFonts w:ascii="Candara" w:hAnsi="Candara" w:cs="Times New Roman"/>
          <w:spacing w:val="-10"/>
          <w:sz w:val="20"/>
          <w:szCs w:val="20"/>
        </w:rPr>
        <w:tab/>
      </w:r>
      <w:r w:rsidRPr="00E3471F" w:rsidR="00990024">
        <w:rPr>
          <w:rFonts w:ascii="Candara" w:hAnsi="Candara" w:cs="Times New Roman"/>
          <w:spacing w:val="-10"/>
          <w:sz w:val="20"/>
          <w:szCs w:val="20"/>
        </w:rPr>
        <w:t>i</w:t>
      </w:r>
      <w:r w:rsidRPr="00E3471F">
        <w:rPr>
          <w:rFonts w:ascii="Candara" w:hAnsi="Candara" w:cs="Times New Roman"/>
          <w:spacing w:val="-10"/>
          <w:sz w:val="20"/>
          <w:szCs w:val="20"/>
        </w:rPr>
        <w:t>edzīvotāju ienākuma nodoklis</w:t>
      </w:r>
    </w:p>
    <w:p w:rsidR="00581249" w:rsidRPr="00E3471F" w:rsidP="00A90858" w14:paraId="5D9A0347"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IKP</w:t>
      </w:r>
      <w:r w:rsidRPr="00E3471F">
        <w:rPr>
          <w:rFonts w:ascii="Candara" w:hAnsi="Candara" w:cs="Times New Roman"/>
          <w:spacing w:val="-10"/>
          <w:sz w:val="20"/>
          <w:szCs w:val="20"/>
        </w:rPr>
        <w:tab/>
      </w:r>
      <w:r w:rsidRPr="00E3471F" w:rsidR="00990024">
        <w:rPr>
          <w:rFonts w:ascii="Candara" w:hAnsi="Candara" w:cs="Times New Roman"/>
          <w:spacing w:val="-10"/>
          <w:sz w:val="20"/>
          <w:szCs w:val="20"/>
        </w:rPr>
        <w:t>i</w:t>
      </w:r>
      <w:r w:rsidRPr="00E3471F">
        <w:rPr>
          <w:rFonts w:ascii="Candara" w:hAnsi="Candara" w:cs="Times New Roman"/>
          <w:spacing w:val="-10"/>
          <w:sz w:val="20"/>
          <w:szCs w:val="20"/>
        </w:rPr>
        <w:t>ekšzemes kopprodukts</w:t>
      </w:r>
    </w:p>
    <w:p w:rsidR="00581249" w:rsidRPr="00E3471F" w:rsidP="00A90858" w14:paraId="787CA5B6"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IKT</w:t>
      </w:r>
      <w:r w:rsidRPr="00E3471F">
        <w:rPr>
          <w:rFonts w:ascii="Candara" w:hAnsi="Candara" w:cs="Times New Roman"/>
          <w:spacing w:val="-10"/>
          <w:sz w:val="20"/>
          <w:szCs w:val="20"/>
        </w:rPr>
        <w:tab/>
        <w:t>Informācijas un komunikācijas tehnoloģijas</w:t>
      </w:r>
    </w:p>
    <w:p w:rsidR="00581249" w:rsidRPr="00E3471F" w:rsidP="00A90858" w14:paraId="60EE3F09"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IT</w:t>
      </w:r>
      <w:r w:rsidRPr="00E3471F">
        <w:rPr>
          <w:rFonts w:ascii="Candara" w:hAnsi="Candara" w:cs="Times New Roman"/>
          <w:spacing w:val="-10"/>
          <w:sz w:val="20"/>
          <w:szCs w:val="20"/>
        </w:rPr>
        <w:tab/>
      </w:r>
      <w:r w:rsidRPr="00E3471F" w:rsidR="00990024">
        <w:rPr>
          <w:rFonts w:ascii="Candara" w:hAnsi="Candara" w:cs="Times New Roman"/>
          <w:spacing w:val="-10"/>
          <w:sz w:val="20"/>
          <w:szCs w:val="20"/>
        </w:rPr>
        <w:t>i</w:t>
      </w:r>
      <w:r w:rsidRPr="00E3471F">
        <w:rPr>
          <w:rFonts w:ascii="Candara" w:hAnsi="Candara" w:cs="Times New Roman"/>
          <w:spacing w:val="-10"/>
          <w:sz w:val="20"/>
          <w:szCs w:val="20"/>
        </w:rPr>
        <w:t>nformācijas tehnoloģijas</w:t>
      </w:r>
    </w:p>
    <w:p w:rsidR="00CD3156" w:rsidRPr="00E3471F" w:rsidP="00A90858" w14:paraId="2EF5294B"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ITKC</w:t>
      </w:r>
      <w:r w:rsidRPr="00E3471F">
        <w:rPr>
          <w:rFonts w:ascii="Candara" w:hAnsi="Candara" w:cs="Times New Roman"/>
          <w:spacing w:val="-10"/>
          <w:sz w:val="20"/>
          <w:szCs w:val="20"/>
        </w:rPr>
        <w:tab/>
        <w:t>IT kompetences centrs</w:t>
      </w:r>
    </w:p>
    <w:p w:rsidR="00581249" w:rsidRPr="00E3471F" w:rsidP="00A90858" w14:paraId="0E3DE0BD"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IP</w:t>
      </w:r>
      <w:r w:rsidRPr="00E3471F">
        <w:rPr>
          <w:rFonts w:ascii="Candara" w:hAnsi="Candara" w:cs="Times New Roman"/>
          <w:spacing w:val="-10"/>
          <w:sz w:val="20"/>
          <w:szCs w:val="20"/>
        </w:rPr>
        <w:tab/>
        <w:t xml:space="preserve">ES Ietvara programma </w:t>
      </w:r>
    </w:p>
    <w:p w:rsidR="00581249" w:rsidRPr="00E3471F" w:rsidP="00A90858" w14:paraId="76E378DD"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IZM</w:t>
      </w:r>
      <w:r w:rsidRPr="00E3471F">
        <w:rPr>
          <w:rFonts w:ascii="Candara" w:hAnsi="Candara" w:cs="Times New Roman"/>
          <w:spacing w:val="-10"/>
          <w:sz w:val="20"/>
          <w:szCs w:val="20"/>
        </w:rPr>
        <w:tab/>
        <w:t>Izglītības un zinātnes ministrija</w:t>
      </w:r>
    </w:p>
    <w:p w:rsidR="00B224B3" w:rsidRPr="00E3471F" w:rsidP="00A90858" w14:paraId="0FA0BE0F"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JPR</w:t>
      </w:r>
      <w:r w:rsidRPr="00E3471F">
        <w:rPr>
          <w:rFonts w:ascii="Candara" w:hAnsi="Candara" w:cs="Times New Roman"/>
          <w:spacing w:val="-10"/>
          <w:sz w:val="20"/>
          <w:szCs w:val="20"/>
        </w:rPr>
        <w:tab/>
        <w:t>1.2.1.4. pasākums “Jaunu produktu ieviešana ražošanā”</w:t>
      </w:r>
    </w:p>
    <w:p w:rsidR="00581249" w:rsidRPr="00E3471F" w:rsidP="00A90858" w14:paraId="24A7FE06"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KM</w:t>
      </w:r>
      <w:r w:rsidRPr="00E3471F">
        <w:rPr>
          <w:rFonts w:ascii="Candara" w:hAnsi="Candara" w:cs="Times New Roman"/>
          <w:spacing w:val="-10"/>
          <w:sz w:val="20"/>
          <w:szCs w:val="20"/>
        </w:rPr>
        <w:tab/>
        <w:t>Kultūras ministrija</w:t>
      </w:r>
    </w:p>
    <w:p w:rsidR="00B224B3" w:rsidRPr="00E3471F" w:rsidP="00A90858" w14:paraId="5BC8E4F9"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LAKIFA</w:t>
      </w:r>
      <w:r w:rsidRPr="00E3471F">
        <w:rPr>
          <w:rFonts w:ascii="Candara" w:hAnsi="Candara" w:cs="Times New Roman"/>
          <w:spacing w:val="-10"/>
          <w:sz w:val="20"/>
          <w:szCs w:val="20"/>
        </w:rPr>
        <w:tab/>
        <w:t>Latvijas Ķīmijas un farmācijas uzņēmēju asociācija</w:t>
      </w:r>
    </w:p>
    <w:p w:rsidR="00581249" w:rsidRPr="00E3471F" w:rsidP="00A90858" w14:paraId="45051885"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LDDK</w:t>
      </w:r>
      <w:r w:rsidRPr="00E3471F">
        <w:rPr>
          <w:rFonts w:ascii="Candara" w:hAnsi="Candara" w:cs="Times New Roman"/>
          <w:spacing w:val="-10"/>
          <w:sz w:val="20"/>
          <w:szCs w:val="20"/>
        </w:rPr>
        <w:tab/>
        <w:t>Latvijas darba devēju konfederācija</w:t>
      </w:r>
    </w:p>
    <w:p w:rsidR="00990024" w:rsidRPr="00E3471F" w:rsidP="00A90858" w14:paraId="6F8A8E04"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LETERA</w:t>
      </w:r>
      <w:r w:rsidRPr="00E3471F">
        <w:rPr>
          <w:rFonts w:ascii="Candara" w:hAnsi="Candara" w:cs="Times New Roman"/>
          <w:spacing w:val="-10"/>
          <w:sz w:val="20"/>
          <w:szCs w:val="20"/>
        </w:rPr>
        <w:tab/>
        <w:t>Latvijas Elektrotehnikas un elektronikas rūpniecības asociācija</w:t>
      </w:r>
    </w:p>
    <w:p w:rsidR="00B224B3" w:rsidRPr="00E3471F" w:rsidP="00A90858" w14:paraId="31771847"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LEO</w:t>
      </w:r>
      <w:r w:rsidRPr="00E3471F">
        <w:rPr>
          <w:rFonts w:ascii="Candara" w:hAnsi="Candara" w:cs="Times New Roman"/>
          <w:spacing w:val="-10"/>
          <w:sz w:val="20"/>
          <w:szCs w:val="20"/>
        </w:rPr>
        <w:tab/>
        <w:t>LEO pētījumu centrs</w:t>
      </w:r>
    </w:p>
    <w:p w:rsidR="00581249" w:rsidRPr="00E3471F" w:rsidP="00A90858" w14:paraId="40EB3A21"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LIAA</w:t>
      </w:r>
      <w:r w:rsidRPr="00E3471F">
        <w:rPr>
          <w:rFonts w:ascii="Candara" w:hAnsi="Candara" w:cs="Times New Roman"/>
          <w:spacing w:val="-10"/>
          <w:sz w:val="20"/>
          <w:szCs w:val="20"/>
        </w:rPr>
        <w:tab/>
        <w:t>Latvijas Investīciju un attīstības aģentūra</w:t>
      </w:r>
    </w:p>
    <w:p w:rsidR="00B224B3" w:rsidRPr="00E3471F" w:rsidP="00A90858" w14:paraId="1B21D1C4"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LIKTA</w:t>
      </w:r>
      <w:r w:rsidRPr="00E3471F">
        <w:rPr>
          <w:rFonts w:ascii="Candara" w:hAnsi="Candara" w:cs="Times New Roman"/>
          <w:spacing w:val="-10"/>
          <w:sz w:val="20"/>
          <w:szCs w:val="20"/>
        </w:rPr>
        <w:tab/>
        <w:t>Latvijas Informācijas un komunik</w:t>
      </w:r>
      <w:r w:rsidRPr="00E3471F">
        <w:rPr>
          <w:rFonts w:ascii="Candara" w:hAnsi="Candara" w:cs="Candara"/>
          <w:spacing w:val="-10"/>
          <w:sz w:val="20"/>
          <w:szCs w:val="20"/>
        </w:rPr>
        <w:t>ā</w:t>
      </w:r>
      <w:r w:rsidRPr="00E3471F">
        <w:rPr>
          <w:rFonts w:ascii="Candara" w:hAnsi="Candara" w:cs="Times New Roman"/>
          <w:spacing w:val="-10"/>
          <w:sz w:val="20"/>
          <w:szCs w:val="20"/>
        </w:rPr>
        <w:t>cijas tehnolo</w:t>
      </w:r>
      <w:r w:rsidRPr="00E3471F">
        <w:rPr>
          <w:rFonts w:ascii="Candara" w:hAnsi="Candara" w:cs="Candara"/>
          <w:spacing w:val="-10"/>
          <w:sz w:val="20"/>
          <w:szCs w:val="20"/>
        </w:rPr>
        <w:t>ģ</w:t>
      </w:r>
      <w:r w:rsidRPr="00E3471F">
        <w:rPr>
          <w:rFonts w:ascii="Candara" w:hAnsi="Candara" w:cs="Times New Roman"/>
          <w:spacing w:val="-10"/>
          <w:sz w:val="20"/>
          <w:szCs w:val="20"/>
        </w:rPr>
        <w:t>ijas asoci</w:t>
      </w:r>
      <w:r w:rsidRPr="00E3471F">
        <w:rPr>
          <w:rFonts w:ascii="Candara" w:hAnsi="Candara" w:cs="Candara"/>
          <w:spacing w:val="-10"/>
          <w:sz w:val="20"/>
          <w:szCs w:val="20"/>
        </w:rPr>
        <w:t>ā</w:t>
      </w:r>
      <w:r w:rsidRPr="00E3471F">
        <w:rPr>
          <w:rFonts w:ascii="Candara" w:hAnsi="Candara" w:cs="Times New Roman"/>
          <w:spacing w:val="-10"/>
          <w:sz w:val="20"/>
          <w:szCs w:val="20"/>
        </w:rPr>
        <w:t>cija</w:t>
      </w:r>
    </w:p>
    <w:p w:rsidR="00B224B3" w:rsidRPr="00E3471F" w:rsidP="00A90858" w14:paraId="7B791481"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LLDRA</w:t>
      </w:r>
      <w:r w:rsidRPr="00E3471F">
        <w:rPr>
          <w:rFonts w:ascii="Candara" w:hAnsi="Candara" w:cs="Times New Roman"/>
          <w:spacing w:val="-10"/>
          <w:sz w:val="20"/>
          <w:szCs w:val="20"/>
        </w:rPr>
        <w:tab/>
        <w:t>Latvijas Logu un durvju ražotāju asociācija</w:t>
      </w:r>
    </w:p>
    <w:p w:rsidR="00B4626C" w:rsidRPr="00E3471F" w:rsidP="00A90858" w14:paraId="6F14A3ED"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LM</w:t>
      </w:r>
      <w:r w:rsidRPr="00E3471F">
        <w:rPr>
          <w:rFonts w:ascii="Candara" w:hAnsi="Candara" w:cs="Times New Roman"/>
          <w:spacing w:val="-10"/>
          <w:sz w:val="20"/>
          <w:szCs w:val="20"/>
        </w:rPr>
        <w:tab/>
        <w:t>Labklājības ministrija</w:t>
      </w:r>
    </w:p>
    <w:p w:rsidR="00581249" w:rsidRPr="00E3471F" w:rsidP="00A90858" w14:paraId="05E1C019"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LPISP</w:t>
      </w:r>
      <w:r w:rsidRPr="00E3471F">
        <w:rPr>
          <w:rFonts w:ascii="Candara" w:hAnsi="Candara" w:cs="Times New Roman"/>
          <w:spacing w:val="-10"/>
          <w:sz w:val="20"/>
          <w:szCs w:val="20"/>
        </w:rPr>
        <w:tab/>
        <w:t xml:space="preserve">Latvijas </w:t>
      </w:r>
      <w:r w:rsidRPr="00E3471F">
        <w:rPr>
          <w:rFonts w:ascii="Candara" w:hAnsi="Candara" w:cs="Times New Roman"/>
          <w:spacing w:val="-10"/>
          <w:sz w:val="20"/>
          <w:szCs w:val="20"/>
        </w:rPr>
        <w:t xml:space="preserve">Pētniecības un </w:t>
      </w:r>
      <w:r w:rsidRPr="00E3471F" w:rsidR="00B74E14">
        <w:rPr>
          <w:rFonts w:ascii="Candara" w:hAnsi="Candara" w:cs="Times New Roman"/>
          <w:spacing w:val="-10"/>
          <w:sz w:val="20"/>
          <w:szCs w:val="20"/>
        </w:rPr>
        <w:t>inovācij</w:t>
      </w:r>
      <w:r w:rsidR="00B74E14">
        <w:rPr>
          <w:rFonts w:ascii="Candara" w:hAnsi="Candara" w:cs="Times New Roman"/>
          <w:spacing w:val="-10"/>
          <w:sz w:val="20"/>
          <w:szCs w:val="20"/>
        </w:rPr>
        <w:t>as</w:t>
      </w:r>
      <w:r w:rsidRPr="00E3471F" w:rsidR="00B74E14">
        <w:rPr>
          <w:rFonts w:ascii="Candara" w:hAnsi="Candara" w:cs="Times New Roman"/>
          <w:spacing w:val="-10"/>
          <w:sz w:val="20"/>
          <w:szCs w:val="20"/>
        </w:rPr>
        <w:t xml:space="preserve"> </w:t>
      </w:r>
      <w:r w:rsidRPr="00E3471F">
        <w:rPr>
          <w:rFonts w:ascii="Candara" w:hAnsi="Candara" w:cs="Times New Roman"/>
          <w:spacing w:val="-10"/>
          <w:sz w:val="20"/>
          <w:szCs w:val="20"/>
        </w:rPr>
        <w:t>stratēģiskā padome</w:t>
      </w:r>
    </w:p>
    <w:p w:rsidR="00CD3156" w:rsidRPr="00E3471F" w:rsidP="00A90858" w14:paraId="40934271"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LPKC</w:t>
      </w:r>
      <w:r w:rsidRPr="00E3471F">
        <w:rPr>
          <w:rFonts w:ascii="Candara" w:hAnsi="Candara" w:cs="Times New Roman"/>
          <w:spacing w:val="-10"/>
          <w:sz w:val="20"/>
          <w:szCs w:val="20"/>
        </w:rPr>
        <w:tab/>
        <w:t>Latvijas pārtikas kompetences centrs</w:t>
      </w:r>
    </w:p>
    <w:p w:rsidR="00B4626C" w:rsidRPr="00E3471F" w:rsidP="00A90858" w14:paraId="6C68CE34"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 xml:space="preserve">LPPEVĀVP </w:t>
      </w:r>
      <w:r w:rsidR="00BB6DBD">
        <w:rPr>
          <w:rFonts w:ascii="Candara" w:hAnsi="Candara" w:cs="Times New Roman"/>
          <w:spacing w:val="-10"/>
          <w:sz w:val="20"/>
          <w:szCs w:val="20"/>
        </w:rPr>
        <w:tab/>
      </w:r>
      <w:r w:rsidRPr="00E3471F">
        <w:rPr>
          <w:rFonts w:ascii="Candara" w:hAnsi="Candara" w:cs="Times New Roman"/>
          <w:spacing w:val="-10"/>
          <w:sz w:val="20"/>
          <w:szCs w:val="20"/>
        </w:rPr>
        <w:t>Latvijas preču un pakalpojumu eksporta veicināšanas un ārvalstu investīciju piesaistes pamatnostādnes</w:t>
      </w:r>
    </w:p>
    <w:p w:rsidR="00B224B3" w:rsidRPr="00E3471F" w:rsidP="00A90858" w14:paraId="0BBB82FA"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LPUA</w:t>
      </w:r>
      <w:r w:rsidRPr="00E3471F">
        <w:rPr>
          <w:rFonts w:ascii="Candara" w:hAnsi="Candara" w:cs="Times New Roman"/>
          <w:spacing w:val="-10"/>
          <w:sz w:val="20"/>
          <w:szCs w:val="20"/>
        </w:rPr>
        <w:tab/>
        <w:t>Latvijas Poligrāfijas uzņēmumu asociācija</w:t>
      </w:r>
    </w:p>
    <w:p w:rsidR="00B224B3" w:rsidRPr="00E3471F" w:rsidP="00A90858" w14:paraId="339C5B75"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LPUF</w:t>
      </w:r>
      <w:r w:rsidRPr="00E3471F">
        <w:rPr>
          <w:rFonts w:ascii="Candara" w:hAnsi="Candara" w:cs="Times New Roman"/>
          <w:spacing w:val="-10"/>
          <w:sz w:val="20"/>
          <w:szCs w:val="20"/>
        </w:rPr>
        <w:tab/>
        <w:t>Latvijas Pārtikas uzņēmumu federācija</w:t>
      </w:r>
    </w:p>
    <w:p w:rsidR="00581249" w:rsidRPr="00E3471F" w:rsidP="00A90858" w14:paraId="106D588B"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LTRK</w:t>
      </w:r>
      <w:r w:rsidRPr="00E3471F">
        <w:rPr>
          <w:rFonts w:ascii="Candara" w:hAnsi="Candara" w:cs="Times New Roman"/>
          <w:spacing w:val="-10"/>
          <w:sz w:val="20"/>
          <w:szCs w:val="20"/>
        </w:rPr>
        <w:t xml:space="preserve"> </w:t>
      </w:r>
      <w:r w:rsidRPr="00E3471F" w:rsidR="00A90858">
        <w:rPr>
          <w:rFonts w:ascii="Candara" w:hAnsi="Candara" w:cs="Times New Roman"/>
          <w:spacing w:val="-10"/>
          <w:sz w:val="20"/>
          <w:szCs w:val="20"/>
        </w:rPr>
        <w:tab/>
      </w:r>
      <w:r w:rsidRPr="00E3471F">
        <w:rPr>
          <w:rFonts w:ascii="Candara" w:hAnsi="Candara" w:cs="Times New Roman"/>
          <w:spacing w:val="-10"/>
          <w:sz w:val="20"/>
          <w:szCs w:val="20"/>
        </w:rPr>
        <w:t xml:space="preserve">Latvijas </w:t>
      </w:r>
      <w:r w:rsidRPr="00E3471F">
        <w:rPr>
          <w:rFonts w:ascii="Candara" w:hAnsi="Candara" w:cs="Times New Roman"/>
          <w:spacing w:val="-10"/>
          <w:sz w:val="20"/>
          <w:szCs w:val="20"/>
        </w:rPr>
        <w:t>Tirdzniecības un rūpniecības</w:t>
      </w:r>
      <w:r w:rsidRPr="00E3471F">
        <w:rPr>
          <w:rFonts w:ascii="Candara" w:hAnsi="Candara" w:cs="Times New Roman"/>
          <w:spacing w:val="-10"/>
          <w:sz w:val="20"/>
          <w:szCs w:val="20"/>
        </w:rPr>
        <w:t xml:space="preserve"> kamera</w:t>
      </w:r>
    </w:p>
    <w:p w:rsidR="00B224B3" w:rsidRPr="00E3471F" w:rsidP="00A90858" w14:paraId="4DEA9972"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LVRA</w:t>
      </w:r>
      <w:r w:rsidRPr="00E3471F">
        <w:rPr>
          <w:rFonts w:ascii="Candara" w:hAnsi="Candara" w:cs="Times New Roman"/>
          <w:spacing w:val="-10"/>
          <w:sz w:val="20"/>
          <w:szCs w:val="20"/>
        </w:rPr>
        <w:tab/>
        <w:t>Latvijas Viesnīcu un restorānu asociācija</w:t>
      </w:r>
    </w:p>
    <w:p w:rsidR="00B224B3" w:rsidRPr="00E3471F" w:rsidP="00A90858" w14:paraId="3C0D9929"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MASOC</w:t>
      </w:r>
      <w:r w:rsidRPr="00E3471F">
        <w:rPr>
          <w:rFonts w:ascii="Candara" w:hAnsi="Candara" w:cs="Times New Roman"/>
          <w:spacing w:val="-10"/>
          <w:sz w:val="20"/>
          <w:szCs w:val="20"/>
        </w:rPr>
        <w:tab/>
        <w:t>Mašīnbūves un metālapstrādes Rūpniecības Asociācija</w:t>
      </w:r>
    </w:p>
    <w:p w:rsidR="00581249" w:rsidRPr="00E3471F" w:rsidP="00A90858" w14:paraId="70B97F33"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MK</w:t>
      </w:r>
      <w:r w:rsidRPr="00E3471F">
        <w:rPr>
          <w:rFonts w:ascii="Candara" w:hAnsi="Candara" w:cs="Times New Roman"/>
          <w:spacing w:val="-10"/>
          <w:sz w:val="20"/>
          <w:szCs w:val="20"/>
        </w:rPr>
        <w:tab/>
        <w:t>Ministru kabinets</w:t>
      </w:r>
    </w:p>
    <w:p w:rsidR="00CD3156" w:rsidRPr="00E3471F" w:rsidP="00A90858" w14:paraId="1751C868"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MKC</w:t>
      </w:r>
      <w:r w:rsidRPr="00E3471F">
        <w:rPr>
          <w:rFonts w:ascii="Candara" w:hAnsi="Candara" w:cs="Times New Roman"/>
          <w:spacing w:val="-10"/>
          <w:sz w:val="20"/>
          <w:szCs w:val="20"/>
        </w:rPr>
        <w:tab/>
        <w:t>Mašīnbūves kompetences centrs</w:t>
      </w:r>
    </w:p>
    <w:p w:rsidR="00CF6F4E" w:rsidRPr="00E3471F" w:rsidP="00A90858" w14:paraId="37820171"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MKN</w:t>
      </w:r>
      <w:r w:rsidRPr="00E3471F">
        <w:rPr>
          <w:rFonts w:ascii="Candara" w:hAnsi="Candara" w:cs="Times New Roman"/>
          <w:spacing w:val="-10"/>
          <w:sz w:val="20"/>
          <w:szCs w:val="20"/>
        </w:rPr>
        <w:tab/>
        <w:t>Ministru kabineta noteikumi</w:t>
      </w:r>
    </w:p>
    <w:p w:rsidR="00581249" w:rsidRPr="00E3471F" w:rsidP="00A90858" w14:paraId="117E26B8"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 xml:space="preserve">MVK </w:t>
      </w:r>
      <w:r w:rsidRPr="00E3471F" w:rsidR="00A90858">
        <w:rPr>
          <w:rFonts w:ascii="Candara" w:hAnsi="Candara" w:cs="Times New Roman"/>
          <w:spacing w:val="-10"/>
          <w:sz w:val="20"/>
          <w:szCs w:val="20"/>
        </w:rPr>
        <w:tab/>
      </w:r>
      <w:r w:rsidRPr="00E3471F" w:rsidR="00990024">
        <w:rPr>
          <w:rFonts w:ascii="Candara" w:hAnsi="Candara" w:cs="Times New Roman"/>
          <w:spacing w:val="-10"/>
          <w:sz w:val="20"/>
          <w:szCs w:val="20"/>
        </w:rPr>
        <w:t>m</w:t>
      </w:r>
      <w:r w:rsidRPr="00E3471F">
        <w:rPr>
          <w:rFonts w:ascii="Candara" w:hAnsi="Candara" w:cs="Times New Roman"/>
          <w:spacing w:val="-10"/>
          <w:sz w:val="20"/>
          <w:szCs w:val="20"/>
        </w:rPr>
        <w:t>azie un vidējie komersanti</w:t>
      </w:r>
    </w:p>
    <w:p w:rsidR="00581249" w:rsidRPr="00E3471F" w:rsidP="00A90858" w14:paraId="2FA00C14"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NAP</w:t>
      </w:r>
      <w:r w:rsidRPr="00E3471F">
        <w:rPr>
          <w:rFonts w:ascii="Candara" w:hAnsi="Candara" w:cs="Times New Roman"/>
          <w:spacing w:val="-10"/>
          <w:sz w:val="20"/>
          <w:szCs w:val="20"/>
        </w:rPr>
        <w:tab/>
        <w:t xml:space="preserve">Latvijas Nacionālais attīstības plāns </w:t>
      </w:r>
    </w:p>
    <w:p w:rsidR="00B4626C" w:rsidRPr="00E3471F" w:rsidP="00A90858" w14:paraId="29FC2DB0"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NIP</w:t>
      </w:r>
      <w:r w:rsidRPr="00E3471F">
        <w:rPr>
          <w:rFonts w:ascii="Candara" w:hAnsi="Candara" w:cs="Times New Roman"/>
          <w:spacing w:val="-10"/>
          <w:sz w:val="20"/>
          <w:szCs w:val="20"/>
        </w:rPr>
        <w:tab/>
        <w:t>Nacionālās Industriālās politikas pamatnostādnes</w:t>
      </w:r>
      <w:r w:rsidRPr="00E3471F" w:rsidR="00990024">
        <w:rPr>
          <w:rFonts w:ascii="Candara" w:hAnsi="Candara" w:cs="Times New Roman"/>
          <w:spacing w:val="-10"/>
          <w:sz w:val="20"/>
          <w:szCs w:val="20"/>
        </w:rPr>
        <w:t xml:space="preserve"> 2014.</w:t>
      </w:r>
      <w:r w:rsidR="00DA2C5B">
        <w:rPr>
          <w:rFonts w:ascii="Candara" w:hAnsi="Candara" w:cs="Times New Roman"/>
          <w:spacing w:val="-10"/>
          <w:sz w:val="20"/>
          <w:szCs w:val="20"/>
        </w:rPr>
        <w:t xml:space="preserve"> – </w:t>
      </w:r>
      <w:r w:rsidRPr="00E3471F" w:rsidR="00990024">
        <w:rPr>
          <w:rFonts w:ascii="Candara" w:hAnsi="Candara" w:cs="Times New Roman"/>
          <w:spacing w:val="-10"/>
          <w:sz w:val="20"/>
          <w:szCs w:val="20"/>
        </w:rPr>
        <w:t>2020.gadam</w:t>
      </w:r>
    </w:p>
    <w:p w:rsidR="00581249" w:rsidRPr="00E3471F" w:rsidP="00A90858" w14:paraId="4A718B49"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NIS</w:t>
      </w:r>
      <w:r w:rsidRPr="00E3471F">
        <w:rPr>
          <w:rFonts w:ascii="Candara" w:hAnsi="Candara" w:cs="Times New Roman"/>
          <w:spacing w:val="-10"/>
          <w:sz w:val="20"/>
          <w:szCs w:val="20"/>
        </w:rPr>
        <w:tab/>
        <w:t>Nacionālā inovācijas sistēma</w:t>
      </w:r>
    </w:p>
    <w:p w:rsidR="00581249" w:rsidRPr="00E3471F" w:rsidP="00A90858" w14:paraId="00F93AE7"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NKP</w:t>
      </w:r>
      <w:r w:rsidRPr="00E3471F">
        <w:rPr>
          <w:rFonts w:ascii="Candara" w:hAnsi="Candara" w:cs="Times New Roman"/>
          <w:spacing w:val="-10"/>
          <w:sz w:val="20"/>
          <w:szCs w:val="20"/>
        </w:rPr>
        <w:tab/>
        <w:t>Nacionālais kontaktpunkts ES Ietvara programmā</w:t>
      </w:r>
    </w:p>
    <w:p w:rsidR="00581249" w:rsidRPr="00E3471F" w:rsidP="00A90858" w14:paraId="7455590D"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NVO</w:t>
      </w:r>
      <w:r w:rsidRPr="00E3471F">
        <w:rPr>
          <w:rFonts w:ascii="Candara" w:hAnsi="Candara" w:cs="Times New Roman"/>
          <w:spacing w:val="-10"/>
          <w:sz w:val="20"/>
          <w:szCs w:val="20"/>
        </w:rPr>
        <w:tab/>
      </w:r>
      <w:r w:rsidRPr="00E3471F" w:rsidR="00990024">
        <w:rPr>
          <w:rFonts w:ascii="Candara" w:hAnsi="Candara" w:cs="Times New Roman"/>
          <w:spacing w:val="-10"/>
          <w:sz w:val="20"/>
          <w:szCs w:val="20"/>
        </w:rPr>
        <w:t>n</w:t>
      </w:r>
      <w:r w:rsidRPr="00E3471F">
        <w:rPr>
          <w:rFonts w:ascii="Candara" w:hAnsi="Candara" w:cs="Times New Roman"/>
          <w:spacing w:val="-10"/>
          <w:sz w:val="20"/>
          <w:szCs w:val="20"/>
        </w:rPr>
        <w:t>evalstiskās organizācijas</w:t>
      </w:r>
    </w:p>
    <w:p w:rsidR="00581249" w:rsidRPr="00E3471F" w:rsidP="00A90858" w14:paraId="09463D37"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OECD</w:t>
      </w:r>
      <w:r w:rsidRPr="00E3471F">
        <w:rPr>
          <w:rFonts w:ascii="Candara" w:hAnsi="Candara" w:cs="Times New Roman"/>
          <w:spacing w:val="-10"/>
          <w:sz w:val="20"/>
          <w:szCs w:val="20"/>
        </w:rPr>
        <w:tab/>
        <w:t>Ekonomiskās sadarbības un attīstības organizācija</w:t>
      </w:r>
    </w:p>
    <w:p w:rsidR="00B4626C" w:rsidRPr="00E3471F" w:rsidP="00A90858" w14:paraId="66A71ECD"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P&amp;A</w:t>
      </w:r>
      <w:r w:rsidRPr="00E3471F">
        <w:rPr>
          <w:rFonts w:ascii="Candara" w:hAnsi="Candara" w:cs="Times New Roman"/>
          <w:spacing w:val="-10"/>
          <w:sz w:val="20"/>
          <w:szCs w:val="20"/>
        </w:rPr>
        <w:tab/>
      </w:r>
      <w:r w:rsidRPr="00E3471F" w:rsidR="00990024">
        <w:rPr>
          <w:rFonts w:ascii="Candara" w:hAnsi="Candara" w:cs="Times New Roman"/>
          <w:spacing w:val="-10"/>
          <w:sz w:val="20"/>
          <w:szCs w:val="20"/>
        </w:rPr>
        <w:t>p</w:t>
      </w:r>
      <w:r w:rsidRPr="00E3471F">
        <w:rPr>
          <w:rFonts w:ascii="Candara" w:hAnsi="Candara" w:cs="Times New Roman"/>
          <w:spacing w:val="-10"/>
          <w:sz w:val="20"/>
          <w:szCs w:val="20"/>
        </w:rPr>
        <w:t>ētniecība un attīstība</w:t>
      </w:r>
    </w:p>
    <w:p w:rsidR="00990024" w:rsidRPr="00E3471F" w:rsidP="00A90858" w14:paraId="345584AD"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P&amp;A&amp;I</w:t>
      </w:r>
      <w:r w:rsidRPr="00E3471F">
        <w:rPr>
          <w:rFonts w:ascii="Candara" w:hAnsi="Candara" w:cs="Times New Roman"/>
          <w:spacing w:val="-10"/>
          <w:sz w:val="20"/>
          <w:szCs w:val="20"/>
        </w:rPr>
        <w:tab/>
        <w:t>pētniecība un attīstība un inovācijas</w:t>
      </w:r>
    </w:p>
    <w:p w:rsidR="00581249" w:rsidRPr="00E3471F" w:rsidP="00A90858" w14:paraId="4FCFB165"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PKC</w:t>
      </w:r>
      <w:r w:rsidRPr="00E3471F">
        <w:rPr>
          <w:rFonts w:ascii="Candara" w:hAnsi="Candara" w:cs="Times New Roman"/>
          <w:spacing w:val="-10"/>
          <w:sz w:val="20"/>
          <w:szCs w:val="20"/>
        </w:rPr>
        <w:tab/>
        <w:t>Pārresoru koordinācijas centrs</w:t>
      </w:r>
    </w:p>
    <w:p w:rsidR="00581249" w:rsidRPr="00E3471F" w:rsidP="00A90858" w14:paraId="6DD553A5"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PLE</w:t>
      </w:r>
      <w:r w:rsidRPr="00E3471F">
        <w:rPr>
          <w:rFonts w:ascii="Candara" w:hAnsi="Candara" w:cs="Times New Roman"/>
          <w:spacing w:val="-10"/>
          <w:sz w:val="20"/>
          <w:szCs w:val="20"/>
        </w:rPr>
        <w:tab/>
      </w:r>
      <w:r w:rsidRPr="00E3471F" w:rsidR="00990024">
        <w:rPr>
          <w:rFonts w:ascii="Candara" w:hAnsi="Candara" w:cs="Times New Roman"/>
          <w:spacing w:val="-10"/>
          <w:sz w:val="20"/>
          <w:szCs w:val="20"/>
        </w:rPr>
        <w:t>p</w:t>
      </w:r>
      <w:r w:rsidRPr="00E3471F">
        <w:rPr>
          <w:rFonts w:ascii="Candara" w:hAnsi="Candara" w:cs="Times New Roman"/>
          <w:spacing w:val="-10"/>
          <w:sz w:val="20"/>
          <w:szCs w:val="20"/>
        </w:rPr>
        <w:t>ilna laika ekvivalents</w:t>
      </w:r>
    </w:p>
    <w:p w:rsidR="00581249" w:rsidRPr="00E3471F" w:rsidP="00A90858" w14:paraId="2BF6C69F"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RIS</w:t>
      </w:r>
      <w:r w:rsidRPr="00E3471F" w:rsidR="00296348">
        <w:rPr>
          <w:rFonts w:ascii="Candara" w:hAnsi="Candara" w:cs="Times New Roman"/>
          <w:spacing w:val="-10"/>
          <w:sz w:val="20"/>
          <w:szCs w:val="20"/>
        </w:rPr>
        <w:t>3</w:t>
      </w:r>
      <w:r w:rsidRPr="00E3471F">
        <w:rPr>
          <w:rFonts w:ascii="Candara" w:hAnsi="Candara" w:cs="Times New Roman"/>
          <w:spacing w:val="-10"/>
          <w:sz w:val="20"/>
          <w:szCs w:val="20"/>
        </w:rPr>
        <w:tab/>
      </w:r>
      <w:r w:rsidRPr="00E3471F" w:rsidR="00296348">
        <w:rPr>
          <w:rFonts w:ascii="Candara" w:hAnsi="Candara" w:cs="Times New Roman"/>
          <w:spacing w:val="-10"/>
          <w:sz w:val="20"/>
          <w:szCs w:val="20"/>
        </w:rPr>
        <w:t xml:space="preserve">Latvijas Viedās specializācijas </w:t>
      </w:r>
      <w:r w:rsidRPr="00E3471F" w:rsidR="00B4626C">
        <w:rPr>
          <w:rFonts w:ascii="Candara" w:hAnsi="Candara" w:cs="Times New Roman"/>
          <w:spacing w:val="-10"/>
          <w:sz w:val="20"/>
          <w:szCs w:val="20"/>
        </w:rPr>
        <w:t>stratēģija</w:t>
      </w:r>
      <w:r w:rsidRPr="00E3471F">
        <w:rPr>
          <w:rFonts w:ascii="Candara" w:hAnsi="Candara" w:cs="Times New Roman"/>
          <w:spacing w:val="-10"/>
          <w:sz w:val="20"/>
          <w:szCs w:val="20"/>
        </w:rPr>
        <w:t xml:space="preserve"> </w:t>
      </w:r>
    </w:p>
    <w:p w:rsidR="00581249" w:rsidRPr="00E3471F" w:rsidP="00A90858" w14:paraId="352E87F8"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RP</w:t>
      </w:r>
      <w:r w:rsidRPr="00E3471F">
        <w:rPr>
          <w:rFonts w:ascii="Candara" w:hAnsi="Candara" w:cs="Times New Roman"/>
          <w:spacing w:val="-10"/>
          <w:sz w:val="20"/>
          <w:szCs w:val="20"/>
        </w:rPr>
        <w:tab/>
        <w:t>Rektoru Padome</w:t>
      </w:r>
    </w:p>
    <w:p w:rsidR="00CF6F4E" w:rsidRPr="00E3471F" w:rsidP="00A90858" w14:paraId="55231680"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 xml:space="preserve">STEM </w:t>
      </w:r>
      <w:r w:rsidRPr="00E3471F" w:rsidR="00CD3156">
        <w:rPr>
          <w:rFonts w:ascii="Candara" w:hAnsi="Candara" w:cs="Times New Roman"/>
          <w:spacing w:val="-10"/>
          <w:sz w:val="20"/>
          <w:szCs w:val="20"/>
        </w:rPr>
        <w:tab/>
      </w:r>
      <w:r w:rsidR="00DA2C5B">
        <w:rPr>
          <w:rFonts w:ascii="Candara" w:hAnsi="Candara" w:cs="Times New Roman"/>
          <w:spacing w:val="-10"/>
          <w:sz w:val="20"/>
          <w:szCs w:val="20"/>
        </w:rPr>
        <w:t>Z</w:t>
      </w:r>
      <w:r w:rsidRPr="00E3471F" w:rsidR="00CD3156">
        <w:rPr>
          <w:rFonts w:ascii="Candara" w:hAnsi="Candara" w:cs="Times New Roman"/>
          <w:spacing w:val="-10"/>
          <w:sz w:val="20"/>
          <w:szCs w:val="20"/>
        </w:rPr>
        <w:t>inātne, tehnoloģijas, inženierzinātnes, matemātika</w:t>
      </w:r>
      <w:r w:rsidR="00DA2C5B">
        <w:rPr>
          <w:rFonts w:ascii="Candara" w:hAnsi="Candara" w:cs="Times New Roman"/>
          <w:spacing w:val="-10"/>
          <w:sz w:val="20"/>
          <w:szCs w:val="20"/>
        </w:rPr>
        <w:t xml:space="preserve"> (</w:t>
      </w:r>
      <w:r w:rsidRPr="00E3471F" w:rsidR="00DA2C5B">
        <w:rPr>
          <w:rFonts w:ascii="Candara" w:hAnsi="Candara" w:cs="Times New Roman"/>
          <w:i/>
          <w:spacing w:val="-10"/>
          <w:sz w:val="20"/>
          <w:szCs w:val="20"/>
        </w:rPr>
        <w:t>Science, Technology, Engineering and Mathematics</w:t>
      </w:r>
      <w:r w:rsidR="00DA2C5B">
        <w:rPr>
          <w:rFonts w:ascii="Candara" w:hAnsi="Candara" w:cs="Times New Roman"/>
          <w:spacing w:val="-10"/>
          <w:sz w:val="20"/>
          <w:szCs w:val="20"/>
        </w:rPr>
        <w:t>)</w:t>
      </w:r>
    </w:p>
    <w:p w:rsidR="00581249" w:rsidRPr="00E3471F" w:rsidP="00A90858" w14:paraId="3E230B6F"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UIN</w:t>
      </w:r>
      <w:r w:rsidRPr="00E3471F">
        <w:rPr>
          <w:rFonts w:ascii="Candara" w:hAnsi="Candara" w:cs="Times New Roman"/>
          <w:spacing w:val="-10"/>
          <w:sz w:val="20"/>
          <w:szCs w:val="20"/>
        </w:rPr>
        <w:tab/>
      </w:r>
      <w:r w:rsidRPr="00E3471F" w:rsidR="00990024">
        <w:rPr>
          <w:rFonts w:ascii="Candara" w:hAnsi="Candara" w:cs="Times New Roman"/>
          <w:spacing w:val="-10"/>
          <w:sz w:val="20"/>
          <w:szCs w:val="20"/>
        </w:rPr>
        <w:t>u</w:t>
      </w:r>
      <w:r w:rsidRPr="00E3471F">
        <w:rPr>
          <w:rFonts w:ascii="Candara" w:hAnsi="Candara" w:cs="Times New Roman"/>
          <w:spacing w:val="-10"/>
          <w:sz w:val="20"/>
          <w:szCs w:val="20"/>
        </w:rPr>
        <w:t>zņēmumu ienākuma nodoklis</w:t>
      </w:r>
    </w:p>
    <w:p w:rsidR="00B4626C" w:rsidP="00A90858" w14:paraId="617A807B"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VARAM</w:t>
      </w:r>
      <w:r w:rsidRPr="00E3471F">
        <w:rPr>
          <w:rFonts w:ascii="Candara" w:hAnsi="Candara" w:cs="Times New Roman"/>
          <w:spacing w:val="-10"/>
          <w:sz w:val="20"/>
          <w:szCs w:val="20"/>
        </w:rPr>
        <w:tab/>
        <w:t>Vides aizsardzības un reģionālās attīstības ministrija</w:t>
      </w:r>
    </w:p>
    <w:p w:rsidR="00D07467" w:rsidRPr="00E3471F" w:rsidP="00A90858" w14:paraId="339FE2C0" w14:textId="77777777">
      <w:pPr>
        <w:spacing w:after="60" w:line="240" w:lineRule="auto"/>
        <w:ind w:left="851" w:hanging="993"/>
        <w:rPr>
          <w:rFonts w:ascii="Candara" w:hAnsi="Candara" w:cs="Times New Roman"/>
          <w:spacing w:val="-10"/>
          <w:sz w:val="20"/>
          <w:szCs w:val="20"/>
        </w:rPr>
      </w:pPr>
      <w:r>
        <w:rPr>
          <w:rFonts w:ascii="Candara" w:hAnsi="Candara" w:cs="Times New Roman"/>
          <w:spacing w:val="-10"/>
          <w:sz w:val="20"/>
          <w:szCs w:val="20"/>
        </w:rPr>
        <w:t>VIAA</w:t>
      </w:r>
      <w:r>
        <w:rPr>
          <w:rFonts w:ascii="Candara" w:hAnsi="Candara" w:cs="Times New Roman"/>
          <w:spacing w:val="-10"/>
          <w:sz w:val="20"/>
          <w:szCs w:val="20"/>
        </w:rPr>
        <w:tab/>
        <w:t>Valsts izglītības attīstības aģentūra</w:t>
      </w:r>
    </w:p>
    <w:p w:rsidR="00B224B3" w:rsidRPr="00E3471F" w:rsidP="00A90858" w14:paraId="17CAA117"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VITEKC</w:t>
      </w:r>
      <w:r w:rsidRPr="00E3471F">
        <w:rPr>
          <w:rFonts w:ascii="Candara" w:hAnsi="Candara" w:cs="Times New Roman"/>
          <w:spacing w:val="-10"/>
          <w:sz w:val="20"/>
          <w:szCs w:val="20"/>
        </w:rPr>
        <w:tab/>
        <w:t>Viedo inženiersistēmu, transporta un enerģētikas kompetences centrs</w:t>
      </w:r>
    </w:p>
    <w:p w:rsidR="00581249" w:rsidRPr="00E3471F" w:rsidP="00A90858" w14:paraId="5392B1D1"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VK</w:t>
      </w:r>
      <w:r w:rsidRPr="00E3471F">
        <w:rPr>
          <w:rFonts w:ascii="Candara" w:hAnsi="Candara" w:cs="Times New Roman"/>
          <w:spacing w:val="-10"/>
          <w:sz w:val="20"/>
          <w:szCs w:val="20"/>
        </w:rPr>
        <w:tab/>
        <w:t>Valsts kanceleja</w:t>
      </w:r>
    </w:p>
    <w:p w:rsidR="00B4626C" w:rsidRPr="00E3471F" w:rsidP="00A90858" w14:paraId="3DBC7D30"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VM</w:t>
      </w:r>
      <w:r w:rsidRPr="00E3471F">
        <w:rPr>
          <w:rFonts w:ascii="Candara" w:hAnsi="Candara" w:cs="Times New Roman"/>
          <w:spacing w:val="-10"/>
          <w:sz w:val="20"/>
          <w:szCs w:val="20"/>
        </w:rPr>
        <w:tab/>
        <w:t>Veselības ministrija</w:t>
      </w:r>
    </w:p>
    <w:p w:rsidR="00B224B3" w:rsidRPr="00E3471F" w:rsidP="00A90858" w14:paraId="031B6140"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VMTKC</w:t>
      </w:r>
      <w:r w:rsidRPr="00E3471F">
        <w:rPr>
          <w:rFonts w:ascii="Candara" w:hAnsi="Candara" w:cs="Times New Roman"/>
          <w:spacing w:val="-10"/>
          <w:sz w:val="20"/>
          <w:szCs w:val="20"/>
        </w:rPr>
        <w:tab/>
        <w:t>Viedo materiālu un tehnoloģiju kompetences centrs</w:t>
      </w:r>
    </w:p>
    <w:p w:rsidR="00B224B3" w:rsidRPr="00E3471F" w:rsidP="00A90858" w14:paraId="4C6E7A50"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VNPC</w:t>
      </w:r>
      <w:r w:rsidRPr="00E3471F">
        <w:rPr>
          <w:rFonts w:ascii="Candara" w:hAnsi="Candara" w:cs="Times New Roman"/>
          <w:spacing w:val="-10"/>
          <w:sz w:val="20"/>
          <w:szCs w:val="20"/>
        </w:rPr>
        <w:tab/>
        <w:t>Valsts nozīmes pētniecības centrs</w:t>
      </w:r>
    </w:p>
    <w:p w:rsidR="00B224B3" w:rsidRPr="00E3471F" w:rsidP="00A90858" w14:paraId="45573365"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VRUA</w:t>
      </w:r>
      <w:r w:rsidRPr="00E3471F">
        <w:rPr>
          <w:rFonts w:ascii="Candara" w:hAnsi="Candara" w:cs="Times New Roman"/>
          <w:spacing w:val="-10"/>
          <w:sz w:val="20"/>
          <w:szCs w:val="20"/>
        </w:rPr>
        <w:tab/>
        <w:t>Vieglās rūpniecības uzņēmumu asociācija</w:t>
      </w:r>
    </w:p>
    <w:p w:rsidR="00B4626C" w:rsidRPr="00E3471F" w:rsidP="00A90858" w14:paraId="3D5B7C7D"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ZM</w:t>
      </w:r>
      <w:r w:rsidRPr="00E3471F">
        <w:rPr>
          <w:rFonts w:ascii="Candara" w:hAnsi="Candara" w:cs="Times New Roman"/>
          <w:spacing w:val="-10"/>
          <w:sz w:val="20"/>
          <w:szCs w:val="20"/>
        </w:rPr>
        <w:tab/>
        <w:t>Zemkopības ministrija</w:t>
      </w:r>
    </w:p>
    <w:p w:rsidR="00883DBB" w:rsidRPr="00E3471F" w:rsidP="00A90858" w14:paraId="79C3963B" w14:textId="77777777">
      <w:pPr>
        <w:spacing w:after="60" w:line="240" w:lineRule="auto"/>
        <w:ind w:left="851" w:hanging="993"/>
        <w:rPr>
          <w:rFonts w:ascii="Candara" w:hAnsi="Candara" w:cs="Times New Roman"/>
          <w:spacing w:val="-10"/>
          <w:sz w:val="20"/>
          <w:szCs w:val="20"/>
        </w:rPr>
      </w:pPr>
      <w:r w:rsidRPr="00E3471F">
        <w:rPr>
          <w:rFonts w:ascii="Candara" w:hAnsi="Candara" w:cs="Times New Roman"/>
          <w:spacing w:val="-10"/>
          <w:sz w:val="20"/>
          <w:szCs w:val="20"/>
        </w:rPr>
        <w:t>ZTAI</w:t>
      </w:r>
      <w:r w:rsidRPr="00E3471F">
        <w:rPr>
          <w:rFonts w:ascii="Candara" w:hAnsi="Candara" w:cs="Times New Roman"/>
          <w:spacing w:val="-10"/>
          <w:sz w:val="20"/>
          <w:szCs w:val="20"/>
        </w:rPr>
        <w:tab/>
        <w:t>Zinātne, tehnoloģiju attīstība un inovācijas</w:t>
      </w:r>
    </w:p>
    <w:p w:rsidR="00883DBB" w:rsidRPr="00E3471F" w:rsidP="009A2B13" w14:paraId="5F6758EE" w14:textId="77777777">
      <w:pPr>
        <w:spacing w:after="60" w:line="240" w:lineRule="auto"/>
        <w:ind w:left="851" w:hanging="993"/>
        <w:rPr>
          <w:rFonts w:ascii="Candara" w:eastAsia="Times New Roman" w:hAnsi="Candara" w:cs="Times New Roman"/>
          <w:bCs/>
          <w:spacing w:val="-10"/>
          <w:sz w:val="20"/>
          <w:szCs w:val="20"/>
          <w:lang w:eastAsia="lv-LV"/>
        </w:rPr>
      </w:pPr>
      <w:r w:rsidRPr="00E3471F">
        <w:rPr>
          <w:rFonts w:ascii="Candara" w:eastAsia="Times New Roman" w:hAnsi="Candara" w:cs="Times New Roman"/>
          <w:bCs/>
          <w:spacing w:val="-10"/>
          <w:sz w:val="20"/>
          <w:szCs w:val="20"/>
          <w:lang w:eastAsia="lv-LV"/>
        </w:rPr>
        <w:t>ZTAI pamatnostādnes</w:t>
      </w:r>
      <w:r w:rsidR="00C844F8">
        <w:rPr>
          <w:rFonts w:ascii="Candara" w:eastAsia="Times New Roman" w:hAnsi="Candara" w:cs="Times New Roman"/>
          <w:bCs/>
          <w:spacing w:val="-10"/>
          <w:sz w:val="20"/>
          <w:szCs w:val="20"/>
          <w:lang w:eastAsia="lv-LV"/>
        </w:rPr>
        <w:t xml:space="preserve">    </w:t>
      </w:r>
      <w:r w:rsidRPr="00E3471F" w:rsidR="00296348">
        <w:rPr>
          <w:rFonts w:ascii="Candara" w:eastAsia="Times New Roman" w:hAnsi="Candara" w:cs="Times New Roman"/>
          <w:bCs/>
          <w:spacing w:val="-10"/>
          <w:sz w:val="20"/>
          <w:szCs w:val="20"/>
          <w:lang w:eastAsia="lv-LV"/>
        </w:rPr>
        <w:t xml:space="preserve"> </w:t>
      </w:r>
      <w:r w:rsidRPr="00E3471F">
        <w:rPr>
          <w:rFonts w:ascii="Candara" w:eastAsia="Times New Roman" w:hAnsi="Candara" w:cs="Times New Roman"/>
          <w:bCs/>
          <w:spacing w:val="-10"/>
          <w:sz w:val="20"/>
          <w:szCs w:val="20"/>
          <w:lang w:eastAsia="lv-LV"/>
        </w:rPr>
        <w:t xml:space="preserve">Zinātnes, tehnoloģijas </w:t>
      </w:r>
    </w:p>
    <w:p w:rsidR="00883DBB" w:rsidRPr="00E3471F" w:rsidP="00003013" w14:paraId="1ACB9A46" w14:textId="77777777">
      <w:pPr>
        <w:spacing w:after="60" w:line="240" w:lineRule="auto"/>
        <w:ind w:left="851" w:hanging="131"/>
        <w:rPr>
          <w:rFonts w:ascii="Candara" w:eastAsia="Times New Roman" w:hAnsi="Candara" w:cs="Times New Roman"/>
          <w:bCs/>
          <w:spacing w:val="-10"/>
          <w:sz w:val="20"/>
          <w:szCs w:val="20"/>
          <w:lang w:eastAsia="lv-LV"/>
        </w:rPr>
      </w:pPr>
      <w:r w:rsidRPr="00E3471F">
        <w:rPr>
          <w:rFonts w:ascii="Candara" w:eastAsia="Times New Roman" w:hAnsi="Candara" w:cs="Times New Roman"/>
          <w:bCs/>
          <w:spacing w:val="-10"/>
          <w:sz w:val="20"/>
          <w:szCs w:val="20"/>
          <w:lang w:eastAsia="lv-LV"/>
        </w:rPr>
        <w:t>attīstības un inovācijas pamatnostādnes 2014. –</w:t>
      </w:r>
    </w:p>
    <w:p w:rsidR="00883DBB" w:rsidP="00003013" w14:paraId="0FEA33EB" w14:textId="77777777">
      <w:pPr>
        <w:spacing w:after="60" w:line="240" w:lineRule="auto"/>
        <w:ind w:left="851" w:hanging="131"/>
        <w:rPr>
          <w:rFonts w:ascii="Times New Roman" w:eastAsia="Times New Roman" w:hAnsi="Times New Roman" w:cs="Times New Roman"/>
          <w:b/>
          <w:bCs/>
          <w:sz w:val="28"/>
          <w:szCs w:val="24"/>
          <w:shd w:val="clear" w:color="auto" w:fill="FFFFFF" w:themeFill="background1"/>
          <w:lang w:eastAsia="lv-LV"/>
        </w:rPr>
        <w:sectPr w:rsidSect="006B0DE1">
          <w:type w:val="continuous"/>
          <w:pgSz w:w="11906" w:h="16838"/>
          <w:pgMar w:top="993" w:right="907" w:bottom="1418" w:left="1304" w:header="426" w:footer="193" w:gutter="0"/>
          <w:cols w:num="2" w:space="708"/>
          <w:titlePg/>
          <w:docGrid w:linePitch="360"/>
        </w:sectPr>
      </w:pPr>
      <w:r>
        <w:rPr>
          <w:rFonts w:ascii="Candara" w:eastAsia="Times New Roman" w:hAnsi="Candara" w:cs="Times New Roman"/>
          <w:bCs/>
          <w:spacing w:val="-10"/>
          <w:sz w:val="20"/>
          <w:szCs w:val="20"/>
          <w:lang w:eastAsia="lv-LV"/>
        </w:rPr>
        <w:t>2020.gad</w:t>
      </w:r>
      <w:r w:rsidR="00BB6DBD">
        <w:rPr>
          <w:rFonts w:ascii="Candara" w:eastAsia="Times New Roman" w:hAnsi="Candara" w:cs="Times New Roman"/>
          <w:bCs/>
          <w:spacing w:val="-10"/>
          <w:sz w:val="20"/>
          <w:szCs w:val="20"/>
          <w:lang w:eastAsia="lv-LV"/>
        </w:rPr>
        <w:t>am</w:t>
      </w:r>
    </w:p>
    <w:p w:rsidR="007D09BA" w:rsidP="007D09BA" w14:paraId="26D67299" w14:textId="77777777">
      <w:pPr>
        <w:pStyle w:val="Heading1"/>
        <w:shd w:val="clear" w:color="auto" w:fill="6D1D6A" w:themeFill="accent1" w:themeFillShade="BF"/>
        <w:rPr>
          <w:rFonts w:ascii="Candara" w:eastAsia="Times New Roman" w:hAnsi="Candara"/>
          <w:b/>
          <w:color w:val="FFFFFF" w:themeColor="background1"/>
          <w:lang w:eastAsia="lv-LV"/>
        </w:rPr>
      </w:pPr>
      <w:bookmarkStart w:id="6" w:name="_Toc483604187"/>
      <w:bookmarkStart w:id="7" w:name="_Toc484445186"/>
      <w:bookmarkStart w:id="8" w:name="_Toc256000002"/>
      <w:bookmarkStart w:id="9" w:name="_Toc256000018"/>
      <w:r>
        <w:rPr>
          <w:rFonts w:ascii="Candara" w:eastAsia="Times New Roman" w:hAnsi="Candara"/>
          <w:b/>
          <w:color w:val="FFFFFF" w:themeColor="background1"/>
          <w:lang w:eastAsia="lv-LV"/>
        </w:rPr>
        <w:t>KOPSAVILKUMS</w:t>
      </w:r>
      <w:bookmarkEnd w:id="9"/>
      <w:bookmarkEnd w:id="8"/>
      <w:bookmarkEnd w:id="6"/>
      <w:bookmarkEnd w:id="7"/>
    </w:p>
    <w:p w:rsidR="00AA0989" w:rsidRPr="003C0ABB" w:rsidP="00AA0989" w14:paraId="0BF72237" w14:textId="77777777">
      <w:pPr>
        <w:spacing w:after="0"/>
        <w:jc w:val="both"/>
        <w:rPr>
          <w:rFonts w:ascii="Candara" w:hAnsi="Candara"/>
          <w:sz w:val="10"/>
          <w:lang w:bidi="lo-LA"/>
        </w:rPr>
      </w:pPr>
    </w:p>
    <w:p w:rsidR="00AA0989" w:rsidRPr="004D34BC" w:rsidP="00214364" w14:paraId="22E84829" w14:textId="77777777">
      <w:pPr>
        <w:spacing w:after="20" w:line="240" w:lineRule="auto"/>
        <w:ind w:firstLine="426"/>
        <w:jc w:val="both"/>
        <w:rPr>
          <w:rFonts w:ascii="Candara" w:hAnsi="Candara"/>
          <w:lang w:bidi="lo-LA"/>
        </w:rPr>
      </w:pPr>
      <w:r>
        <w:rPr>
          <w:rFonts w:ascii="Candara" w:hAnsi="Candara"/>
          <w:lang w:bidi="lo-LA"/>
        </w:rPr>
        <w:t>RIS3 ieviešanas izvērtējuma z</w:t>
      </w:r>
      <w:r w:rsidRPr="004D34BC" w:rsidR="00956676">
        <w:rPr>
          <w:rFonts w:ascii="Candara" w:hAnsi="Candara"/>
          <w:lang w:bidi="lo-LA"/>
        </w:rPr>
        <w:t xml:space="preserve">iņojums </w:t>
      </w:r>
      <w:r w:rsidRPr="004D34BC" w:rsidR="00B4626C">
        <w:rPr>
          <w:rFonts w:ascii="Candara" w:hAnsi="Candara"/>
          <w:lang w:bidi="lo-LA"/>
        </w:rPr>
        <w:t>izstrādāts</w:t>
      </w:r>
      <w:r w:rsidR="004D34BC">
        <w:rPr>
          <w:rFonts w:ascii="Candara" w:hAnsi="Candara"/>
          <w:lang w:bidi="lo-LA"/>
        </w:rPr>
        <w:t xml:space="preserve"> saskaņā ar</w:t>
      </w:r>
      <w:r w:rsidR="00645D2E">
        <w:rPr>
          <w:rFonts w:ascii="Candara" w:hAnsi="Candara"/>
          <w:lang w:bidi="lo-LA"/>
        </w:rPr>
        <w:t xml:space="preserve"> </w:t>
      </w:r>
      <w:r w:rsidR="00C92FE1">
        <w:rPr>
          <w:rFonts w:ascii="Candara" w:hAnsi="Candara"/>
          <w:lang w:bidi="lo-LA"/>
        </w:rPr>
        <w:t>to sa</w:t>
      </w:r>
      <w:r w:rsidR="00804CC5">
        <w:rPr>
          <w:rFonts w:ascii="Candara" w:hAnsi="Candara"/>
          <w:lang w:bidi="lo-LA"/>
        </w:rPr>
        <w:t>i</w:t>
      </w:r>
      <w:r w:rsidR="00C92FE1">
        <w:rPr>
          <w:rFonts w:ascii="Candara" w:hAnsi="Candara"/>
          <w:lang w:bidi="lo-LA"/>
        </w:rPr>
        <w:t xml:space="preserve">stītajiem </w:t>
      </w:r>
      <w:r w:rsidR="00645D2E">
        <w:rPr>
          <w:rFonts w:ascii="Candara" w:hAnsi="Candara"/>
          <w:lang w:bidi="lo-LA"/>
        </w:rPr>
        <w:t>ilgtermiņa un vidēja termiņa nacionālajiem plānošanas dokumentiem</w:t>
      </w:r>
      <w:r w:rsidR="00C92FE1">
        <w:rPr>
          <w:rFonts w:ascii="Candara" w:hAnsi="Candara"/>
          <w:lang w:bidi="lo-LA"/>
        </w:rPr>
        <w:t>.</w:t>
      </w:r>
    </w:p>
    <w:p w:rsidR="00056608" w:rsidRPr="00C561E2" w:rsidP="00214364" w14:paraId="44251EDE" w14:textId="77777777">
      <w:pPr>
        <w:pStyle w:val="ListParagraph"/>
        <w:spacing w:before="0" w:after="20"/>
        <w:ind w:left="0" w:firstLine="426"/>
        <w:contextualSpacing w:val="0"/>
        <w:rPr>
          <w:rFonts w:ascii="Candara" w:hAnsi="Candara"/>
          <w:bCs/>
          <w:sz w:val="22"/>
          <w:szCs w:val="22"/>
          <w:lang w:eastAsia="lv-LV"/>
        </w:rPr>
      </w:pPr>
      <w:r w:rsidRPr="00056608">
        <w:rPr>
          <w:rFonts w:ascii="Candara" w:hAnsi="Candara"/>
          <w:bCs/>
          <w:sz w:val="22"/>
          <w:szCs w:val="22"/>
          <w:lang w:eastAsia="lv-LV"/>
        </w:rPr>
        <w:t>Ņemot vērā</w:t>
      </w:r>
      <w:r w:rsidR="00804CC5">
        <w:rPr>
          <w:rFonts w:ascii="Candara" w:hAnsi="Candara"/>
          <w:bCs/>
          <w:sz w:val="22"/>
          <w:szCs w:val="22"/>
          <w:lang w:eastAsia="lv-LV"/>
        </w:rPr>
        <w:t>, ka</w:t>
      </w:r>
      <w:r w:rsidRPr="00056608">
        <w:rPr>
          <w:rFonts w:ascii="Candara" w:hAnsi="Candara"/>
          <w:bCs/>
          <w:sz w:val="22"/>
          <w:szCs w:val="22"/>
          <w:lang w:eastAsia="lv-LV"/>
        </w:rPr>
        <w:t xml:space="preserve"> RIS3 </w:t>
      </w:r>
      <w:r w:rsidRPr="00C44794" w:rsidR="00C44794">
        <w:rPr>
          <w:rFonts w:ascii="Candara" w:hAnsi="Candara"/>
          <w:bCs/>
          <w:sz w:val="22"/>
          <w:szCs w:val="22"/>
          <w:lang w:eastAsia="lv-LV"/>
        </w:rPr>
        <w:t>ir tautsaimniecības transformācijas stratēģija uz augstāku pievienoto vērtību, produktivitāti un</w:t>
      </w:r>
      <w:r w:rsidR="00C44794">
        <w:rPr>
          <w:rFonts w:ascii="Candara" w:hAnsi="Candara"/>
          <w:bCs/>
          <w:sz w:val="22"/>
          <w:szCs w:val="22"/>
          <w:lang w:eastAsia="lv-LV"/>
        </w:rPr>
        <w:t xml:space="preserve"> efektīvāku resursu izmantošanu</w:t>
      </w:r>
      <w:r>
        <w:rPr>
          <w:rFonts w:ascii="Candara" w:hAnsi="Candara"/>
          <w:bCs/>
          <w:sz w:val="22"/>
          <w:szCs w:val="22"/>
          <w:lang w:eastAsia="lv-LV"/>
        </w:rPr>
        <w:t>, i</w:t>
      </w:r>
      <w:r w:rsidRPr="00056608">
        <w:rPr>
          <w:rFonts w:ascii="Candara" w:hAnsi="Candara"/>
          <w:bCs/>
          <w:sz w:val="22"/>
          <w:szCs w:val="22"/>
          <w:lang w:eastAsia="lv-LV"/>
        </w:rPr>
        <w:t xml:space="preserve">nformatīvais ziņojums aptver integrētu </w:t>
      </w:r>
      <w:r w:rsidR="00261ACE">
        <w:rPr>
          <w:rFonts w:ascii="Candara" w:hAnsi="Candara"/>
          <w:bCs/>
          <w:sz w:val="22"/>
          <w:szCs w:val="22"/>
          <w:lang w:eastAsia="lv-LV"/>
        </w:rPr>
        <w:t>analīzi</w:t>
      </w:r>
      <w:r>
        <w:rPr>
          <w:rFonts w:ascii="Candara" w:hAnsi="Candara"/>
          <w:bCs/>
          <w:sz w:val="22"/>
          <w:szCs w:val="22"/>
          <w:lang w:eastAsia="lv-LV"/>
        </w:rPr>
        <w:t xml:space="preserve"> </w:t>
      </w:r>
      <w:r w:rsidR="006A6FDE">
        <w:rPr>
          <w:rFonts w:ascii="Candara" w:hAnsi="Candara"/>
          <w:bCs/>
          <w:sz w:val="22"/>
          <w:szCs w:val="22"/>
          <w:lang w:eastAsia="lv-LV"/>
        </w:rPr>
        <w:t>p</w:t>
      </w:r>
      <w:r w:rsidRPr="00056608">
        <w:rPr>
          <w:rFonts w:ascii="Candara" w:hAnsi="Candara"/>
          <w:bCs/>
          <w:sz w:val="22"/>
          <w:szCs w:val="22"/>
          <w:lang w:eastAsia="lv-LV"/>
        </w:rPr>
        <w:t xml:space="preserve">ar </w:t>
      </w:r>
      <w:r>
        <w:rPr>
          <w:rFonts w:ascii="Candara" w:hAnsi="Candara"/>
          <w:bCs/>
          <w:sz w:val="22"/>
          <w:szCs w:val="22"/>
          <w:lang w:eastAsia="lv-LV"/>
        </w:rPr>
        <w:t xml:space="preserve">RIS3, ZTAI un NIP pamatnostādņu </w:t>
      </w:r>
      <w:r w:rsidR="00316DC1">
        <w:rPr>
          <w:rFonts w:ascii="Candara" w:hAnsi="Candara"/>
          <w:bCs/>
          <w:sz w:val="22"/>
          <w:szCs w:val="22"/>
          <w:lang w:eastAsia="lv-LV"/>
        </w:rPr>
        <w:t>ieviešanas progresu</w:t>
      </w:r>
      <w:r w:rsidR="00261ACE">
        <w:rPr>
          <w:rFonts w:ascii="Candara" w:hAnsi="Candara"/>
          <w:bCs/>
          <w:sz w:val="22"/>
          <w:szCs w:val="22"/>
          <w:lang w:eastAsia="lv-LV"/>
        </w:rPr>
        <w:t xml:space="preserve">, tai skaitā minētajos politikas plānošanas dokumentos </w:t>
      </w:r>
      <w:r w:rsidRPr="00C561E2" w:rsidR="00FE5584">
        <w:rPr>
          <w:rFonts w:ascii="Candara" w:hAnsi="Candara"/>
          <w:bCs/>
          <w:sz w:val="22"/>
          <w:szCs w:val="22"/>
          <w:lang w:eastAsia="lv-LV"/>
        </w:rPr>
        <w:t xml:space="preserve">izvirzīto </w:t>
      </w:r>
      <w:r w:rsidRPr="00C561E2" w:rsidR="00261ACE">
        <w:rPr>
          <w:rFonts w:ascii="Candara" w:hAnsi="Candara"/>
          <w:bCs/>
          <w:sz w:val="22"/>
          <w:szCs w:val="22"/>
          <w:lang w:eastAsia="lv-LV"/>
        </w:rPr>
        <w:t>rīcībpolitikas rezultātu sasniegšanas rādītāju analīzi</w:t>
      </w:r>
      <w:r w:rsidRPr="00C561E2" w:rsidR="00BF3E4E">
        <w:rPr>
          <w:rFonts w:ascii="Candara" w:hAnsi="Candara"/>
          <w:bCs/>
          <w:sz w:val="22"/>
          <w:szCs w:val="22"/>
          <w:lang w:eastAsia="lv-LV"/>
        </w:rPr>
        <w:t xml:space="preserve"> un turpmāko pasākumu plānu</w:t>
      </w:r>
      <w:r w:rsidRPr="00C561E2" w:rsidR="00261ACE">
        <w:rPr>
          <w:rFonts w:ascii="Candara" w:hAnsi="Candara"/>
          <w:bCs/>
          <w:sz w:val="22"/>
          <w:szCs w:val="22"/>
          <w:lang w:eastAsia="lv-LV"/>
        </w:rPr>
        <w:t>.</w:t>
      </w:r>
      <w:r w:rsidRPr="003E5287" w:rsidR="003E5287">
        <w:rPr>
          <w:rFonts w:ascii="Candara" w:hAnsi="Candara"/>
          <w:bCs/>
          <w:sz w:val="22"/>
          <w:szCs w:val="22"/>
          <w:lang w:eastAsia="lv-LV"/>
        </w:rPr>
        <w:t xml:space="preserve"> </w:t>
      </w:r>
      <w:r w:rsidR="003E5287">
        <w:rPr>
          <w:rFonts w:ascii="Candara" w:hAnsi="Candara"/>
          <w:bCs/>
          <w:sz w:val="22"/>
          <w:szCs w:val="22"/>
          <w:lang w:eastAsia="lv-LV"/>
        </w:rPr>
        <w:t xml:space="preserve">Paredzams, ka </w:t>
      </w:r>
      <w:r w:rsidRPr="00C91F38" w:rsidR="003E5287">
        <w:rPr>
          <w:rFonts w:ascii="Candara" w:hAnsi="Candara"/>
          <w:bCs/>
          <w:sz w:val="22"/>
          <w:szCs w:val="22"/>
          <w:lang w:eastAsia="lv-LV"/>
        </w:rPr>
        <w:t xml:space="preserve">NIP </w:t>
      </w:r>
      <w:r w:rsidR="003E5287">
        <w:rPr>
          <w:rFonts w:ascii="Candara" w:hAnsi="Candara"/>
          <w:bCs/>
          <w:sz w:val="22"/>
          <w:szCs w:val="22"/>
          <w:lang w:eastAsia="lv-LV"/>
        </w:rPr>
        <w:t xml:space="preserve">un ZTAI pamatnostādnes tiks </w:t>
      </w:r>
      <w:r w:rsidRPr="00C91F38" w:rsidR="003E5287">
        <w:rPr>
          <w:rFonts w:ascii="Candara" w:hAnsi="Candara"/>
          <w:bCs/>
          <w:sz w:val="22"/>
          <w:szCs w:val="22"/>
          <w:lang w:eastAsia="lv-LV"/>
        </w:rPr>
        <w:t>i</w:t>
      </w:r>
      <w:r w:rsidR="003E5287">
        <w:rPr>
          <w:rFonts w:ascii="Candara" w:hAnsi="Candara"/>
          <w:bCs/>
          <w:sz w:val="22"/>
          <w:szCs w:val="22"/>
          <w:lang w:eastAsia="lv-LV"/>
        </w:rPr>
        <w:t>zstrādātas arī nākamajā</w:t>
      </w:r>
      <w:r w:rsidRPr="00C91F38" w:rsidR="003E5287">
        <w:rPr>
          <w:rFonts w:ascii="Candara" w:hAnsi="Candara"/>
          <w:bCs/>
          <w:sz w:val="22"/>
          <w:szCs w:val="22"/>
          <w:lang w:eastAsia="lv-LV"/>
        </w:rPr>
        <w:t xml:space="preserve"> </w:t>
      </w:r>
      <w:r w:rsidR="003E5287">
        <w:rPr>
          <w:rFonts w:ascii="Candara" w:hAnsi="Candara"/>
          <w:bCs/>
          <w:sz w:val="22"/>
          <w:szCs w:val="22"/>
          <w:lang w:eastAsia="lv-LV"/>
        </w:rPr>
        <w:t>ES struktūrfondu plānošanas periodā</w:t>
      </w:r>
      <w:r w:rsidRPr="00C91F38" w:rsidR="003E5287">
        <w:rPr>
          <w:rFonts w:ascii="Candara" w:hAnsi="Candara"/>
          <w:bCs/>
          <w:sz w:val="22"/>
          <w:szCs w:val="22"/>
          <w:lang w:eastAsia="lv-LV"/>
        </w:rPr>
        <w:t>, vienlaikus vērtējot iespēju konsolidēt vairākus politikas plānošanas dokumentus vienā</w:t>
      </w:r>
      <w:r w:rsidR="003E5287">
        <w:rPr>
          <w:rFonts w:ascii="Candara" w:hAnsi="Candara"/>
          <w:bCs/>
          <w:sz w:val="22"/>
          <w:szCs w:val="22"/>
          <w:lang w:eastAsia="lv-LV"/>
        </w:rPr>
        <w:t>.</w:t>
      </w:r>
    </w:p>
    <w:p w:rsidR="00B85475" w:rsidRPr="00C561E2" w:rsidP="00214364" w14:paraId="5F1DF98C" w14:textId="2B56003A">
      <w:pPr>
        <w:spacing w:after="20" w:line="240" w:lineRule="auto"/>
        <w:ind w:firstLine="426"/>
        <w:jc w:val="both"/>
        <w:rPr>
          <w:rFonts w:ascii="Candara" w:hAnsi="Candara"/>
          <w:lang w:bidi="lo-LA"/>
        </w:rPr>
      </w:pPr>
      <w:r w:rsidRPr="00C561E2">
        <w:rPr>
          <w:rFonts w:ascii="Candara" w:hAnsi="Candara"/>
          <w:lang w:bidi="lo-LA"/>
        </w:rPr>
        <w:t>Latvijas ekonomikas attīstības tendenču analīze parāda, ka Latvijas ekonomikai trūkst straujākas izaugsmes stimul</w:t>
      </w:r>
      <w:r w:rsidRPr="00C561E2" w:rsidR="00951DCF">
        <w:rPr>
          <w:rFonts w:ascii="Candara" w:hAnsi="Candara"/>
          <w:lang w:bidi="lo-LA"/>
        </w:rPr>
        <w:t>u</w:t>
      </w:r>
      <w:r w:rsidRPr="00C561E2">
        <w:rPr>
          <w:rFonts w:ascii="Candara" w:hAnsi="Candara"/>
          <w:lang w:bidi="lo-LA"/>
        </w:rPr>
        <w:t xml:space="preserve">. Konkurētspējas rādītāju dinamika liecina, ka Latvijas ekonomikas modelis nav mainījies un joprojām </w:t>
      </w:r>
      <w:r w:rsidRPr="00C561E2" w:rsidR="00951DCF">
        <w:rPr>
          <w:rFonts w:ascii="Candara" w:hAnsi="Candara"/>
          <w:lang w:bidi="lo-LA"/>
        </w:rPr>
        <w:t xml:space="preserve">balstās </w:t>
      </w:r>
      <w:r w:rsidRPr="00C561E2">
        <w:rPr>
          <w:rFonts w:ascii="Candara" w:hAnsi="Candara"/>
          <w:lang w:bidi="lo-LA"/>
        </w:rPr>
        <w:t xml:space="preserve"> zemo izmak</w:t>
      </w:r>
      <w:r w:rsidRPr="00C561E2" w:rsidR="00350536">
        <w:rPr>
          <w:rFonts w:ascii="Candara" w:hAnsi="Candara"/>
          <w:lang w:bidi="lo-LA"/>
        </w:rPr>
        <w:t>su konkurētspējas priekšrocīb</w:t>
      </w:r>
      <w:r w:rsidRPr="00C561E2" w:rsidR="00951DCF">
        <w:rPr>
          <w:rFonts w:ascii="Candara" w:hAnsi="Candara"/>
          <w:lang w:bidi="lo-LA"/>
        </w:rPr>
        <w:t>ā</w:t>
      </w:r>
      <w:r w:rsidRPr="00C561E2" w:rsidR="00350536">
        <w:rPr>
          <w:rFonts w:ascii="Candara" w:hAnsi="Candara"/>
          <w:lang w:bidi="lo-LA"/>
        </w:rPr>
        <w:t>s</w:t>
      </w:r>
      <w:r w:rsidRPr="00C561E2">
        <w:rPr>
          <w:rFonts w:ascii="Candara" w:hAnsi="Candara"/>
          <w:lang w:bidi="lo-LA"/>
        </w:rPr>
        <w:t>. Ilgtspējīgas un sabalansētas ekonomiskās izaugsmes noteicošais priekšnosacījums ir produktivitātes līmeņa paaugstināšana, kuras pamatā ir  tehnoloģiskās novitātes, ražošanas procesa vadības pilnveidošana</w:t>
      </w:r>
      <w:r w:rsidRPr="00C561E2" w:rsidR="00951DCF">
        <w:rPr>
          <w:rFonts w:ascii="Candara" w:hAnsi="Candara"/>
          <w:lang w:bidi="lo-LA"/>
        </w:rPr>
        <w:t xml:space="preserve"> un, ne mazāk svarīgi -</w:t>
      </w:r>
      <w:r w:rsidR="00914049">
        <w:rPr>
          <w:rFonts w:ascii="Candara" w:hAnsi="Candara"/>
          <w:lang w:bidi="lo-LA"/>
        </w:rPr>
        <w:t xml:space="preserve"> </w:t>
      </w:r>
      <w:r w:rsidRPr="00C561E2">
        <w:rPr>
          <w:rFonts w:ascii="Candara" w:hAnsi="Candara"/>
          <w:lang w:bidi="lo-LA"/>
        </w:rPr>
        <w:t xml:space="preserve">esošo resursu pārdale augstākas pievienotās vērtības produktu ražošanai, t.i., tautsaimniecības strukturālā transformācija. Transformācijas procesa veicējs ir uzņēmējs, kas pieņem lēmumu modernizēt ražošanu </w:t>
      </w:r>
      <w:r w:rsidRPr="00C561E2" w:rsidR="00BB58A1">
        <w:rPr>
          <w:rFonts w:ascii="Candara" w:hAnsi="Candara"/>
          <w:lang w:bidi="lo-LA"/>
        </w:rPr>
        <w:t xml:space="preserve">vai </w:t>
      </w:r>
      <w:r w:rsidRPr="00C561E2">
        <w:rPr>
          <w:rFonts w:ascii="Candara" w:hAnsi="Candara"/>
          <w:lang w:bidi="lo-LA"/>
        </w:rPr>
        <w:t>pārvietot resursus uz citu nozari/reģionu/valsti, tāpēc uzņēmēju motivācijas veicināšana</w:t>
      </w:r>
      <w:r w:rsidRPr="00C561E2" w:rsidR="00951DCF">
        <w:rPr>
          <w:rFonts w:ascii="Candara" w:hAnsi="Candara"/>
          <w:lang w:bidi="lo-LA"/>
        </w:rPr>
        <w:t xml:space="preserve"> ieguldīt </w:t>
      </w:r>
      <w:r w:rsidRPr="00C561E2" w:rsidR="003E5287">
        <w:rPr>
          <w:rFonts w:ascii="Candara" w:hAnsi="Candara"/>
          <w:lang w:bidi="lo-LA"/>
        </w:rPr>
        <w:t>attīstībā</w:t>
      </w:r>
      <w:r w:rsidRPr="00C561E2">
        <w:rPr>
          <w:rFonts w:ascii="Candara" w:hAnsi="Candara"/>
          <w:lang w:bidi="lo-LA"/>
        </w:rPr>
        <w:t xml:space="preserve"> ir galvenais politikas mērķis. Valsts </w:t>
      </w:r>
      <w:r w:rsidRPr="00C561E2" w:rsidR="00C25A22">
        <w:rPr>
          <w:rFonts w:ascii="Candara" w:hAnsi="Candara"/>
          <w:lang w:bidi="lo-LA"/>
        </w:rPr>
        <w:t xml:space="preserve">investīciju un </w:t>
      </w:r>
      <w:r w:rsidRPr="00C561E2">
        <w:rPr>
          <w:rFonts w:ascii="Candara" w:hAnsi="Candara"/>
          <w:lang w:bidi="lo-LA"/>
        </w:rPr>
        <w:t>atbalsta uzdevums ir mazināt transformācijas izdevumus pārsvarā ar</w:t>
      </w:r>
      <w:r w:rsidRPr="00C561E2" w:rsidR="00951DCF">
        <w:rPr>
          <w:rFonts w:ascii="Candara" w:hAnsi="Candara"/>
          <w:lang w:bidi="lo-LA"/>
        </w:rPr>
        <w:t xml:space="preserve"> pieejamu</w:t>
      </w:r>
      <w:r w:rsidRPr="00C561E2">
        <w:rPr>
          <w:rFonts w:ascii="Candara" w:hAnsi="Candara"/>
          <w:lang w:bidi="lo-LA"/>
        </w:rPr>
        <w:t xml:space="preserve"> </w:t>
      </w:r>
      <w:r w:rsidRPr="00C561E2" w:rsidR="00951DCF">
        <w:rPr>
          <w:rFonts w:ascii="Candara" w:hAnsi="Candara"/>
          <w:lang w:bidi="lo-LA"/>
        </w:rPr>
        <w:t xml:space="preserve">zināšanu bāzi,  </w:t>
      </w:r>
      <w:r w:rsidRPr="00C561E2">
        <w:rPr>
          <w:rFonts w:ascii="Candara" w:hAnsi="Candara"/>
          <w:lang w:bidi="lo-LA"/>
        </w:rPr>
        <w:t>kvalitatīv</w:t>
      </w:r>
      <w:r w:rsidRPr="00C561E2" w:rsidR="00951DCF">
        <w:rPr>
          <w:rFonts w:ascii="Candara" w:hAnsi="Candara"/>
          <w:lang w:bidi="lo-LA"/>
        </w:rPr>
        <w:t>u cilvēkkapitālu</w:t>
      </w:r>
      <w:r w:rsidRPr="00C561E2" w:rsidR="00951DCF">
        <w:rPr>
          <w:rFonts w:ascii="Candara" w:hAnsi="Candara"/>
          <w:lang w:bidi="lo-LA"/>
        </w:rPr>
        <w:t xml:space="preserve"> </w:t>
      </w:r>
      <w:r w:rsidRPr="00C561E2" w:rsidR="00951DCF">
        <w:rPr>
          <w:rFonts w:ascii="Candara" w:hAnsi="Candara"/>
          <w:lang w:bidi="lo-LA"/>
        </w:rPr>
        <w:t>un</w:t>
      </w:r>
      <w:r w:rsidRPr="00C561E2">
        <w:rPr>
          <w:rFonts w:ascii="Candara" w:hAnsi="Candara"/>
          <w:lang w:bidi="lo-LA"/>
        </w:rPr>
        <w:t xml:space="preserve"> </w:t>
      </w:r>
      <w:r w:rsidRPr="00C561E2" w:rsidR="001563E4">
        <w:rPr>
          <w:rFonts w:ascii="Candara" w:hAnsi="Candara"/>
          <w:lang w:bidi="lo-LA"/>
        </w:rPr>
        <w:t xml:space="preserve">sabiedriskajiem </w:t>
      </w:r>
      <w:r w:rsidRPr="00C561E2">
        <w:rPr>
          <w:rFonts w:ascii="Candara" w:hAnsi="Candara"/>
          <w:lang w:bidi="lo-LA"/>
        </w:rPr>
        <w:t>pakalpojumiem</w:t>
      </w:r>
      <w:r w:rsidRPr="00C561E2" w:rsidR="00951DCF">
        <w:rPr>
          <w:rFonts w:ascii="Candara" w:hAnsi="Candara"/>
          <w:lang w:bidi="lo-LA"/>
        </w:rPr>
        <w:t>,</w:t>
      </w:r>
      <w:r w:rsidRPr="00C561E2">
        <w:rPr>
          <w:rFonts w:ascii="Candara" w:hAnsi="Candara"/>
          <w:lang w:bidi="lo-LA"/>
        </w:rPr>
        <w:t xml:space="preserve"> un nodrošināt veicinošu biznesa vidi</w:t>
      </w:r>
      <w:r w:rsidRPr="00C561E2" w:rsidR="00BB58A1">
        <w:rPr>
          <w:rFonts w:ascii="Candara" w:hAnsi="Candara"/>
          <w:lang w:bidi="lo-LA"/>
        </w:rPr>
        <w:t xml:space="preserve">, tai skaitā nodrošinot uzņēmējam iespēju primāri fokusēties uz produktīvām investīcijām, atstājot valsts intervencei tās investīcijas, kas primāri nav fokusētas uz produktivitāti, bet nodrošina atbilstošas ekosistēmas radīšanu. Attiecīgi specifiski mērķēti atbalsta instrumenti, piemēram, </w:t>
      </w:r>
      <w:r w:rsidR="00914049">
        <w:rPr>
          <w:rFonts w:ascii="Candara" w:hAnsi="Candara"/>
          <w:lang w:bidi="lo-LA"/>
        </w:rPr>
        <w:t xml:space="preserve">investējot </w:t>
      </w:r>
      <w:r w:rsidRPr="00C561E2" w:rsidR="00914049">
        <w:rPr>
          <w:rFonts w:ascii="Candara" w:hAnsi="Candara"/>
          <w:lang w:bidi="lo-LA"/>
        </w:rPr>
        <w:t xml:space="preserve"> </w:t>
      </w:r>
      <w:r w:rsidRPr="00C561E2" w:rsidR="00BB58A1">
        <w:rPr>
          <w:rFonts w:ascii="Candara" w:hAnsi="Candara"/>
          <w:lang w:bidi="lo-LA"/>
        </w:rPr>
        <w:t>infrastruktūras izveid</w:t>
      </w:r>
      <w:r w:rsidR="00914049">
        <w:rPr>
          <w:rFonts w:ascii="Candara" w:hAnsi="Candara"/>
          <w:lang w:bidi="lo-LA"/>
        </w:rPr>
        <w:t>ē</w:t>
      </w:r>
      <w:r w:rsidRPr="00C561E2" w:rsidR="00BB58A1">
        <w:rPr>
          <w:rFonts w:ascii="Candara" w:hAnsi="Candara"/>
          <w:lang w:bidi="lo-LA"/>
        </w:rPr>
        <w:t xml:space="preserve"> vai modernizācij</w:t>
      </w:r>
      <w:r w:rsidR="00914049">
        <w:rPr>
          <w:rFonts w:ascii="Candara" w:hAnsi="Candara"/>
          <w:lang w:bidi="lo-LA"/>
        </w:rPr>
        <w:t>ā,</w:t>
      </w:r>
      <w:r w:rsidRPr="00C561E2" w:rsidR="00BB58A1">
        <w:rPr>
          <w:rFonts w:ascii="Candara" w:hAnsi="Candara"/>
          <w:lang w:bidi="lo-LA"/>
        </w:rPr>
        <w:t xml:space="preserve"> nodrošinātu uzņēmējiem iespēju iesaistīties augstākas pievienotās vērtības produktu izstrādē un ieviešanā ražošanā</w:t>
      </w:r>
      <w:r w:rsidRPr="00C561E2">
        <w:rPr>
          <w:rFonts w:ascii="Candara" w:hAnsi="Candara"/>
          <w:lang w:bidi="lo-LA"/>
        </w:rPr>
        <w:t>.</w:t>
      </w:r>
    </w:p>
    <w:p w:rsidR="00AA0989" w:rsidP="00214364" w14:paraId="1BFB53F7" w14:textId="77777777">
      <w:pPr>
        <w:spacing w:after="20" w:line="240" w:lineRule="auto"/>
        <w:ind w:firstLine="426"/>
        <w:jc w:val="both"/>
        <w:rPr>
          <w:rFonts w:ascii="Candara" w:hAnsi="Candara"/>
          <w:lang w:bidi="lo-LA"/>
        </w:rPr>
      </w:pPr>
      <w:r w:rsidRPr="00C561E2">
        <w:rPr>
          <w:rFonts w:ascii="Candara" w:hAnsi="Candara"/>
          <w:lang w:bidi="lo-LA"/>
        </w:rPr>
        <w:t xml:space="preserve">Virzību uz </w:t>
      </w:r>
      <w:r w:rsidRPr="00C561E2" w:rsidR="00BF3E4E">
        <w:rPr>
          <w:rFonts w:ascii="Candara" w:hAnsi="Candara"/>
          <w:lang w:bidi="lo-LA"/>
        </w:rPr>
        <w:t xml:space="preserve">RIS3 </w:t>
      </w:r>
      <w:r w:rsidRPr="00C561E2">
        <w:rPr>
          <w:rFonts w:ascii="Candara" w:hAnsi="Candara"/>
          <w:lang w:bidi="lo-LA"/>
        </w:rPr>
        <w:t>mērķu sasniegšanu raksturo</w:t>
      </w:r>
      <w:r>
        <w:rPr>
          <w:rFonts w:ascii="Candara" w:hAnsi="Candara"/>
          <w:lang w:bidi="lo-LA"/>
        </w:rPr>
        <w:t xml:space="preserve"> kopējie ieguldījumi P&amp;A, pozīcija Eiropas inovāciju rādītāju grupā un produktivitāte</w:t>
      </w:r>
      <w:r w:rsidR="00350536">
        <w:rPr>
          <w:rFonts w:ascii="Candara" w:hAnsi="Candara"/>
          <w:lang w:bidi="lo-LA"/>
        </w:rPr>
        <w:t xml:space="preserve">s pieaugums </w:t>
      </w:r>
      <w:r>
        <w:rPr>
          <w:rFonts w:ascii="Candara" w:hAnsi="Candara"/>
          <w:lang w:bidi="lo-LA"/>
        </w:rPr>
        <w:t>apstrādes rūpniecībā. Lai gan Latvijai ir izdevies no pieticīga snieguma</w:t>
      </w:r>
      <w:r w:rsidR="00F60A52">
        <w:rPr>
          <w:rFonts w:ascii="Candara" w:hAnsi="Candara"/>
          <w:lang w:bidi="lo-LA"/>
        </w:rPr>
        <w:t xml:space="preserve"> inovāciju rādītāju grupā</w:t>
      </w:r>
      <w:r>
        <w:rPr>
          <w:rFonts w:ascii="Candara" w:hAnsi="Candara"/>
          <w:lang w:bidi="lo-LA"/>
        </w:rPr>
        <w:t xml:space="preserve"> pakāpties uz </w:t>
      </w:r>
      <w:r w:rsidR="00F60A52">
        <w:rPr>
          <w:rFonts w:ascii="Candara" w:hAnsi="Candara"/>
          <w:lang w:bidi="lo-LA"/>
        </w:rPr>
        <w:t xml:space="preserve">vidēju, galvenais ekonomikas zināšanu un tehnoloģiju ietilpības </w:t>
      </w:r>
      <w:r w:rsidR="00B61A23">
        <w:rPr>
          <w:rFonts w:ascii="Candara" w:hAnsi="Candara"/>
          <w:lang w:bidi="lo-LA"/>
        </w:rPr>
        <w:t>rādītāj</w:t>
      </w:r>
      <w:r w:rsidR="00F60A52">
        <w:rPr>
          <w:rFonts w:ascii="Candara" w:hAnsi="Candara"/>
          <w:lang w:bidi="lo-LA"/>
        </w:rPr>
        <w:t>s</w:t>
      </w:r>
      <w:r w:rsidR="00214364">
        <w:rPr>
          <w:rFonts w:ascii="Candara" w:hAnsi="Candara"/>
          <w:lang w:bidi="lo-LA"/>
        </w:rPr>
        <w:t> </w:t>
      </w:r>
      <w:r>
        <w:rPr>
          <w:rFonts w:ascii="Candara" w:hAnsi="Candara"/>
          <w:lang w:bidi="lo-LA"/>
        </w:rPr>
        <w:t>– ieguldījumi P&amp;A</w:t>
      </w:r>
      <w:r w:rsidR="00804CC5">
        <w:rPr>
          <w:rFonts w:ascii="Candara" w:hAnsi="Candara"/>
          <w:lang w:bidi="lo-LA"/>
        </w:rPr>
        <w:t xml:space="preserve"> –</w:t>
      </w:r>
      <w:r w:rsidR="001347E1">
        <w:rPr>
          <w:rFonts w:ascii="Candara" w:hAnsi="Candara"/>
          <w:lang w:bidi="lo-LA"/>
        </w:rPr>
        <w:t xml:space="preserve"> </w:t>
      </w:r>
      <w:r w:rsidR="00350536">
        <w:rPr>
          <w:rFonts w:ascii="Candara" w:hAnsi="Candara"/>
          <w:lang w:bidi="lo-LA"/>
        </w:rPr>
        <w:t xml:space="preserve">neaug ne </w:t>
      </w:r>
      <w:r w:rsidR="00F60A52">
        <w:rPr>
          <w:rFonts w:ascii="Candara" w:hAnsi="Candara"/>
          <w:lang w:bidi="lo-LA"/>
        </w:rPr>
        <w:t xml:space="preserve">valsts, </w:t>
      </w:r>
      <w:r w:rsidR="00350536">
        <w:rPr>
          <w:rFonts w:ascii="Candara" w:hAnsi="Candara"/>
          <w:lang w:bidi="lo-LA"/>
        </w:rPr>
        <w:t xml:space="preserve">ne </w:t>
      </w:r>
      <w:r w:rsidR="00F60A52">
        <w:rPr>
          <w:rFonts w:ascii="Candara" w:hAnsi="Candara"/>
          <w:lang w:bidi="lo-LA"/>
        </w:rPr>
        <w:t>privātā sektora daļā</w:t>
      </w:r>
      <w:r w:rsidR="00350536">
        <w:rPr>
          <w:rFonts w:ascii="Candara" w:hAnsi="Candara"/>
          <w:lang w:bidi="lo-LA"/>
        </w:rPr>
        <w:t>.</w:t>
      </w:r>
      <w:r w:rsidR="00F60A52">
        <w:rPr>
          <w:rFonts w:ascii="Candara" w:hAnsi="Candara"/>
          <w:lang w:bidi="lo-LA"/>
        </w:rPr>
        <w:t xml:space="preserve"> Pozitīva virzība ir vērojama rādītājā, kas atspoguļo augsto un vidēji augsto tehnoloģiju nozaru īpatsvaru Latvijas preču eksportā (%), kā arī strukturālo reformu rezultātā notikušo pētniecības fragmentācijas mazināšanu, veidojot mazāku skaitu spēcīgāku valsts finansētu zinātnisko institūciju, zinātnisko rakstu</w:t>
      </w:r>
      <w:r w:rsidR="00BB6DBD">
        <w:rPr>
          <w:rFonts w:ascii="Candara" w:hAnsi="Candara"/>
          <w:lang w:bidi="lo-LA"/>
        </w:rPr>
        <w:t xml:space="preserve"> žurnālos</w:t>
      </w:r>
      <w:r w:rsidR="00F60A52">
        <w:rPr>
          <w:rFonts w:ascii="Candara" w:hAnsi="Candara"/>
          <w:lang w:bidi="lo-LA"/>
        </w:rPr>
        <w:t xml:space="preserve">, kas </w:t>
      </w:r>
      <w:r w:rsidR="00BB6DBD">
        <w:rPr>
          <w:rFonts w:ascii="Candara" w:hAnsi="Candara"/>
          <w:lang w:bidi="lo-LA"/>
        </w:rPr>
        <w:t xml:space="preserve">iekļauti </w:t>
      </w:r>
      <w:r w:rsidR="00F60A52">
        <w:rPr>
          <w:rFonts w:ascii="Candara" w:hAnsi="Candara"/>
          <w:lang w:bidi="lo-LA"/>
        </w:rPr>
        <w:t>starptautiskās datu bāzēs</w:t>
      </w:r>
      <w:r w:rsidR="00BB6DBD">
        <w:rPr>
          <w:rFonts w:ascii="Candara" w:hAnsi="Candara"/>
          <w:lang w:bidi="lo-LA"/>
        </w:rPr>
        <w:t>,</w:t>
      </w:r>
      <w:r w:rsidR="00F60A52">
        <w:rPr>
          <w:rFonts w:ascii="Candara" w:hAnsi="Candara"/>
          <w:lang w:bidi="lo-LA"/>
        </w:rPr>
        <w:t xml:space="preserve"> skaitā, kā arī iedzīvotāju īpatsvarā 30-34 gadu vecumā, kuriem ir augstākā izglītība. </w:t>
      </w:r>
      <w:r w:rsidRPr="008D43FE">
        <w:rPr>
          <w:rFonts w:ascii="Candara" w:hAnsi="Candara"/>
          <w:lang w:bidi="lo-LA"/>
        </w:rPr>
        <w:t>Bez turpmākas valsts ieguldījumu apmēra būtiskas palielināšanas nav iespējams nodrošināt ekonomisk</w:t>
      </w:r>
      <w:r w:rsidR="00350536">
        <w:rPr>
          <w:rFonts w:ascii="Candara" w:hAnsi="Candara"/>
          <w:lang w:bidi="lo-LA"/>
        </w:rPr>
        <w:t xml:space="preserve">as straujākai izaugsmei </w:t>
      </w:r>
      <w:r w:rsidRPr="008D43FE">
        <w:rPr>
          <w:rFonts w:ascii="Candara" w:hAnsi="Candara"/>
          <w:lang w:bidi="lo-LA"/>
        </w:rPr>
        <w:t>nepieciešamās zināšanas un tehnoloģijas, cilvēkresursus, kas ilgtermiņā varētu n</w:t>
      </w:r>
      <w:r>
        <w:rPr>
          <w:rFonts w:ascii="Candara" w:hAnsi="Candara"/>
          <w:lang w:bidi="lo-LA"/>
        </w:rPr>
        <w:t>odrošināt arī uzņēmumu biznesa</w:t>
      </w:r>
      <w:r w:rsidRPr="008D43FE">
        <w:rPr>
          <w:rFonts w:ascii="Candara" w:hAnsi="Candara"/>
          <w:lang w:bidi="lo-LA"/>
        </w:rPr>
        <w:t xml:space="preserve"> modeļa maiņu un, secīgi</w:t>
      </w:r>
      <w:r w:rsidR="00BB6DBD">
        <w:rPr>
          <w:rFonts w:ascii="Candara" w:hAnsi="Candara"/>
          <w:lang w:bidi="lo-LA"/>
        </w:rPr>
        <w:t>,</w:t>
      </w:r>
      <w:r w:rsidRPr="008D43FE">
        <w:rPr>
          <w:rFonts w:ascii="Candara" w:hAnsi="Candara"/>
          <w:lang w:bidi="lo-LA"/>
        </w:rPr>
        <w:t xml:space="preserve"> privātā sektora produktu un pakalpojumu zināšanu ietilpību</w:t>
      </w:r>
      <w:r w:rsidR="00FE5584">
        <w:rPr>
          <w:rFonts w:ascii="Candara" w:hAnsi="Candara"/>
          <w:lang w:bidi="lo-LA"/>
        </w:rPr>
        <w:t>.</w:t>
      </w:r>
      <w:r w:rsidR="00B61A23">
        <w:rPr>
          <w:rFonts w:ascii="Candara" w:hAnsi="Candara"/>
          <w:lang w:bidi="lo-LA"/>
        </w:rPr>
        <w:t xml:space="preserve"> Ievērojot minēto, </w:t>
      </w:r>
      <w:r w:rsidR="0057634B">
        <w:rPr>
          <w:rFonts w:ascii="Candara" w:hAnsi="Candara"/>
          <w:lang w:bidi="lo-LA"/>
        </w:rPr>
        <w:t xml:space="preserve">saglabājoties pašreizējiem sociālekonomiskajiem apstākļiem, </w:t>
      </w:r>
      <w:r w:rsidR="00B61A23">
        <w:rPr>
          <w:rFonts w:ascii="Candara" w:hAnsi="Candara"/>
          <w:lang w:bidi="lo-LA"/>
        </w:rPr>
        <w:t xml:space="preserve">identificējami būtiski riski </w:t>
      </w:r>
      <w:r w:rsidR="0057634B">
        <w:rPr>
          <w:rFonts w:ascii="Candara" w:hAnsi="Candara"/>
          <w:lang w:bidi="lo-LA"/>
        </w:rPr>
        <w:t>politikas plānošanas dokumentos izvirzīto</w:t>
      </w:r>
      <w:r w:rsidR="00B61A23">
        <w:rPr>
          <w:rFonts w:ascii="Candara" w:hAnsi="Candara"/>
          <w:lang w:bidi="lo-LA"/>
        </w:rPr>
        <w:t xml:space="preserve"> rādītāju nesasniegšanā</w:t>
      </w:r>
      <w:r w:rsidR="0057634B">
        <w:rPr>
          <w:rFonts w:ascii="Candara" w:hAnsi="Candara"/>
          <w:lang w:bidi="lo-LA"/>
        </w:rPr>
        <w:t xml:space="preserve"> sākotnēji plānotajā apmērā </w:t>
      </w:r>
      <w:r w:rsidR="00D40E84">
        <w:rPr>
          <w:rFonts w:ascii="Candara" w:hAnsi="Candara"/>
          <w:lang w:bidi="lo-LA"/>
        </w:rPr>
        <w:t>2020.</w:t>
      </w:r>
      <w:r w:rsidR="0057634B">
        <w:rPr>
          <w:rFonts w:ascii="Candara" w:hAnsi="Candara"/>
          <w:lang w:bidi="lo-LA"/>
        </w:rPr>
        <w:t>gadā</w:t>
      </w:r>
      <w:r w:rsidR="00B61A23">
        <w:rPr>
          <w:rFonts w:ascii="Candara" w:hAnsi="Candara"/>
          <w:lang w:bidi="lo-LA"/>
        </w:rPr>
        <w:t xml:space="preserve">. </w:t>
      </w:r>
    </w:p>
    <w:p w:rsidR="0057634B" w:rsidP="00214364" w14:paraId="13D0F7FC" w14:textId="26671C74">
      <w:pPr>
        <w:spacing w:after="20" w:line="240" w:lineRule="auto"/>
        <w:ind w:firstLine="426"/>
        <w:jc w:val="both"/>
        <w:rPr>
          <w:rFonts w:ascii="Candara" w:hAnsi="Candara"/>
          <w:lang w:bidi="lo-LA"/>
        </w:rPr>
      </w:pPr>
      <w:r>
        <w:rPr>
          <w:rFonts w:ascii="Candara" w:hAnsi="Candara"/>
          <w:lang w:bidi="lo-LA"/>
        </w:rPr>
        <w:t>Lielākajā daļā RIS3 ieguldījumu programm</w:t>
      </w:r>
      <w:r w:rsidR="00EF485F">
        <w:rPr>
          <w:rFonts w:ascii="Candara" w:hAnsi="Candara"/>
          <w:lang w:bidi="lo-LA"/>
        </w:rPr>
        <w:t>u</w:t>
      </w:r>
      <w:r>
        <w:rPr>
          <w:rFonts w:ascii="Candara" w:hAnsi="Candara"/>
          <w:lang w:bidi="lo-LA"/>
        </w:rPr>
        <w:t xml:space="preserve"> (valsts budžeta un </w:t>
      </w:r>
      <w:r w:rsidR="002F6194">
        <w:rPr>
          <w:rFonts w:ascii="Candara" w:hAnsi="Candara"/>
          <w:lang w:bidi="lo-LA"/>
        </w:rPr>
        <w:t xml:space="preserve">ES </w:t>
      </w:r>
      <w:r>
        <w:rPr>
          <w:rFonts w:ascii="Candara" w:hAnsi="Candara"/>
          <w:lang w:bidi="lo-LA"/>
        </w:rPr>
        <w:t xml:space="preserve">fondu </w:t>
      </w:r>
      <w:r w:rsidR="002F6194">
        <w:rPr>
          <w:rFonts w:ascii="Candara" w:hAnsi="Candara"/>
          <w:lang w:bidi="lo-LA"/>
        </w:rPr>
        <w:t>finansētas</w:t>
      </w:r>
      <w:r>
        <w:rPr>
          <w:rFonts w:ascii="Candara" w:hAnsi="Candara"/>
          <w:lang w:bidi="lo-LA"/>
        </w:rPr>
        <w:t>, kas sniedz tiešu ieguldījumu RIS3 mikro līmeņa rādītāju sasniegšanā) ir iestrādāti stimuli, kas sekmē RIS3 mikro līmeņa rādīt</w:t>
      </w:r>
      <w:r>
        <w:rPr>
          <w:rFonts w:ascii="Candara" w:hAnsi="Candara"/>
          <w:lang w:bidi="lo-LA"/>
        </w:rPr>
        <w:t>āju pieaugumu</w:t>
      </w:r>
      <w:r>
        <w:rPr>
          <w:rFonts w:ascii="Candara" w:hAnsi="Candara"/>
          <w:lang w:bidi="lo-LA"/>
        </w:rPr>
        <w:t xml:space="preserve"> un tādējādi virzību uz RIS3 virsmērķu un tautsaimniecības transformācijas rādītāju sasniegšanu. Tomēr atsevišķās programmās vērojami </w:t>
      </w:r>
      <w:r w:rsidR="0005347E">
        <w:rPr>
          <w:rFonts w:ascii="Candara" w:hAnsi="Candara"/>
          <w:lang w:bidi="lo-LA"/>
        </w:rPr>
        <w:t xml:space="preserve">sākotnējie </w:t>
      </w:r>
      <w:r>
        <w:rPr>
          <w:rFonts w:ascii="Candara" w:hAnsi="Candara"/>
          <w:lang w:bidi="lo-LA"/>
        </w:rPr>
        <w:t>signāli par plānoto rezultatīvo rādītāju neizpildi pilnā apmēr</w:t>
      </w:r>
      <w:r>
        <w:rPr>
          <w:rFonts w:ascii="Candara" w:hAnsi="Candara"/>
          <w:lang w:bidi="lo-LA"/>
        </w:rPr>
        <w:t xml:space="preserve">ā, kas </w:t>
      </w:r>
      <w:r w:rsidR="00364BD3">
        <w:rPr>
          <w:rFonts w:ascii="Candara" w:hAnsi="Candara"/>
          <w:lang w:bidi="lo-LA"/>
        </w:rPr>
        <w:t xml:space="preserve">rada </w:t>
      </w:r>
      <w:r>
        <w:rPr>
          <w:rFonts w:ascii="Candara" w:hAnsi="Candara"/>
          <w:lang w:bidi="lo-LA"/>
        </w:rPr>
        <w:t>nepieciešamību pārskatīt pašreiz noteiktos stimulus</w:t>
      </w:r>
      <w:r>
        <w:rPr>
          <w:rFonts w:ascii="Candara" w:hAnsi="Candara"/>
          <w:lang w:bidi="lo-LA"/>
        </w:rPr>
        <w:t xml:space="preserve"> un iestrādāt </w:t>
      </w:r>
      <w:r w:rsidR="00EF485F">
        <w:rPr>
          <w:rFonts w:ascii="Candara" w:hAnsi="Candara"/>
          <w:lang w:bidi="lo-LA"/>
        </w:rPr>
        <w:t>jaunus</w:t>
      </w:r>
      <w:r>
        <w:rPr>
          <w:rFonts w:ascii="Candara" w:hAnsi="Candara"/>
          <w:lang w:bidi="lo-LA"/>
        </w:rPr>
        <w:t>, kas nodrošin</w:t>
      </w:r>
      <w:r w:rsidR="00364BD3">
        <w:rPr>
          <w:rFonts w:ascii="Candara" w:hAnsi="Candara"/>
          <w:lang w:bidi="lo-LA"/>
        </w:rPr>
        <w:t>ātu</w:t>
      </w:r>
      <w:r>
        <w:rPr>
          <w:rFonts w:ascii="Candara" w:hAnsi="Candara"/>
          <w:lang w:bidi="lo-LA"/>
        </w:rPr>
        <w:t xml:space="preserve"> efektīvāku virzību uz plānoto</w:t>
      </w:r>
      <w:r>
        <w:rPr>
          <w:rFonts w:ascii="Candara" w:hAnsi="Candara"/>
          <w:lang w:bidi="lo-LA"/>
        </w:rPr>
        <w:t xml:space="preserve">. Vienlaikus </w:t>
      </w:r>
      <w:r w:rsidR="00364BD3">
        <w:rPr>
          <w:rFonts w:ascii="Candara" w:hAnsi="Candara"/>
          <w:lang w:bidi="lo-LA"/>
        </w:rPr>
        <w:t>jāņem vērā, ka lielākā daļa investīciju programmu ir uzsākušās 2016.gada 2.pusgadā un 2017.gada 1.pusgadā, attiecīgi pilnvērtīgu vērtējumu par to ietekmi uz rādītāju izpildi vēl nav iespējams veikt. U</w:t>
      </w:r>
      <w:r w:rsidR="0005347E">
        <w:rPr>
          <w:rFonts w:ascii="Candara" w:hAnsi="Candara"/>
          <w:lang w:bidi="lo-LA"/>
        </w:rPr>
        <w:t xml:space="preserve">z </w:t>
      </w:r>
      <w:r w:rsidR="00914049">
        <w:rPr>
          <w:rFonts w:ascii="Candara" w:hAnsi="Candara"/>
          <w:lang w:bidi="lo-LA"/>
        </w:rPr>
        <w:t>2018</w:t>
      </w:r>
      <w:r w:rsidR="0005347E">
        <w:rPr>
          <w:rFonts w:ascii="Candara" w:hAnsi="Candara"/>
          <w:lang w:bidi="lo-LA"/>
        </w:rPr>
        <w:t xml:space="preserve">. gada </w:t>
      </w:r>
      <w:r w:rsidR="00914049">
        <w:rPr>
          <w:rFonts w:ascii="Candara" w:hAnsi="Candara"/>
          <w:lang w:bidi="lo-LA"/>
        </w:rPr>
        <w:t xml:space="preserve">janvāri </w:t>
      </w:r>
      <w:r w:rsidR="00364BD3">
        <w:rPr>
          <w:rFonts w:ascii="Candara" w:hAnsi="Candara"/>
          <w:lang w:bidi="lo-LA"/>
        </w:rPr>
        <w:t xml:space="preserve">ir šāds </w:t>
      </w:r>
      <w:r w:rsidR="0005347E">
        <w:rPr>
          <w:rFonts w:ascii="Candara" w:hAnsi="Candara"/>
          <w:lang w:bidi="lo-LA"/>
        </w:rPr>
        <w:t xml:space="preserve">ES fondu </w:t>
      </w:r>
      <w:r>
        <w:rPr>
          <w:rFonts w:ascii="Candara" w:hAnsi="Candara"/>
          <w:lang w:bidi="lo-LA"/>
        </w:rPr>
        <w:t xml:space="preserve">programmu </w:t>
      </w:r>
      <w:r w:rsidR="00364BD3">
        <w:rPr>
          <w:rFonts w:ascii="Candara" w:hAnsi="Candara"/>
          <w:lang w:bidi="lo-LA"/>
        </w:rPr>
        <w:t>ieviešanas statuss</w:t>
      </w:r>
      <w:r>
        <w:rPr>
          <w:rFonts w:ascii="Candara" w:hAnsi="Candara"/>
          <w:lang w:bidi="lo-LA"/>
        </w:rPr>
        <w:t xml:space="preserve">: </w:t>
      </w:r>
    </w:p>
    <w:p w:rsidR="0057634B" w:rsidP="00214364" w14:paraId="52C63C70" w14:textId="323D9211">
      <w:pPr>
        <w:spacing w:after="0" w:line="240" w:lineRule="auto"/>
        <w:ind w:left="709" w:hanging="283"/>
        <w:jc w:val="both"/>
        <w:rPr>
          <w:rFonts w:ascii="Candara" w:hAnsi="Candara"/>
          <w:lang w:bidi="lo-LA"/>
        </w:rPr>
      </w:pPr>
      <w:r>
        <w:rPr>
          <w:rFonts w:ascii="Candara" w:hAnsi="Candara"/>
          <w:lang w:bidi="lo-LA"/>
        </w:rPr>
        <w:t>1)</w:t>
      </w:r>
      <w:r>
        <w:rPr>
          <w:rFonts w:ascii="Candara" w:hAnsi="Candara"/>
          <w:lang w:bidi="lo-LA"/>
        </w:rPr>
        <w:tab/>
      </w:r>
      <w:r w:rsidR="00364BD3">
        <w:rPr>
          <w:rFonts w:ascii="Candara" w:hAnsi="Candara"/>
          <w:lang w:bidi="lo-LA"/>
        </w:rPr>
        <w:t xml:space="preserve">apstiprinātas </w:t>
      </w:r>
      <w:r w:rsidR="00914049">
        <w:rPr>
          <w:rFonts w:ascii="Candara" w:hAnsi="Candara"/>
          <w:lang w:bidi="lo-LA"/>
        </w:rPr>
        <w:t>visas</w:t>
      </w:r>
      <w:r w:rsidR="00364BD3">
        <w:rPr>
          <w:rFonts w:ascii="Candara" w:hAnsi="Candara"/>
          <w:lang w:bidi="lo-LA"/>
        </w:rPr>
        <w:t xml:space="preserve"> </w:t>
      </w:r>
      <w:r w:rsidR="00914049">
        <w:rPr>
          <w:rFonts w:ascii="Candara" w:hAnsi="Candara"/>
          <w:lang w:bidi="lo-LA"/>
        </w:rPr>
        <w:t>investīciju programmas</w:t>
      </w:r>
      <w:r w:rsidR="00364BD3">
        <w:rPr>
          <w:rFonts w:ascii="Candara" w:hAnsi="Candara"/>
          <w:lang w:bidi="lo-LA"/>
        </w:rPr>
        <w:t xml:space="preserve">, kas vērstas uz </w:t>
      </w:r>
      <w:r>
        <w:rPr>
          <w:rFonts w:ascii="Candara" w:hAnsi="Candara"/>
          <w:lang w:bidi="lo-LA"/>
        </w:rPr>
        <w:t>zinātnes konkurētspējas paaugstināšanu  (</w:t>
      </w:r>
      <w:r w:rsidR="00364BD3">
        <w:rPr>
          <w:rFonts w:ascii="Candara" w:hAnsi="Candara"/>
          <w:lang w:bidi="lo-LA"/>
        </w:rPr>
        <w:t xml:space="preserve">5 </w:t>
      </w:r>
      <w:r>
        <w:rPr>
          <w:rFonts w:ascii="Candara" w:hAnsi="Candara"/>
          <w:lang w:bidi="lo-LA"/>
        </w:rPr>
        <w:t>programm</w:t>
      </w:r>
      <w:r w:rsidR="00914049">
        <w:rPr>
          <w:rFonts w:ascii="Candara" w:hAnsi="Candara"/>
          <w:lang w:bidi="lo-LA"/>
        </w:rPr>
        <w:t>as</w:t>
      </w:r>
      <w:r>
        <w:rPr>
          <w:rFonts w:ascii="Candara" w:hAnsi="Candara"/>
          <w:lang w:bidi="lo-LA"/>
        </w:rPr>
        <w:t>);</w:t>
      </w:r>
    </w:p>
    <w:p w:rsidR="0057634B" w:rsidP="00214364" w14:paraId="1A096FE1" w14:textId="73F6AFD7">
      <w:pPr>
        <w:spacing w:after="0" w:line="240" w:lineRule="auto"/>
        <w:ind w:left="709" w:hanging="283"/>
        <w:jc w:val="both"/>
        <w:rPr>
          <w:rFonts w:ascii="Candara" w:hAnsi="Candara"/>
          <w:lang w:bidi="lo-LA"/>
        </w:rPr>
      </w:pPr>
      <w:r>
        <w:rPr>
          <w:rFonts w:ascii="Candara" w:hAnsi="Candara"/>
          <w:lang w:bidi="lo-LA"/>
        </w:rPr>
        <w:t>2)</w:t>
      </w:r>
      <w:r>
        <w:rPr>
          <w:rFonts w:ascii="Candara" w:hAnsi="Candara"/>
          <w:lang w:bidi="lo-LA"/>
        </w:rPr>
        <w:tab/>
      </w:r>
      <w:r w:rsidR="00364BD3">
        <w:rPr>
          <w:rFonts w:ascii="Candara" w:hAnsi="Candara"/>
          <w:lang w:bidi="lo-LA"/>
        </w:rPr>
        <w:t xml:space="preserve">apstiprinātas </w:t>
      </w:r>
      <w:r w:rsidR="00914049">
        <w:rPr>
          <w:rFonts w:ascii="Candara" w:hAnsi="Candara"/>
          <w:lang w:bidi="lo-LA"/>
        </w:rPr>
        <w:t>visas investīciju</w:t>
      </w:r>
      <w:r w:rsidR="00364BD3">
        <w:rPr>
          <w:rFonts w:ascii="Candara" w:hAnsi="Candara"/>
          <w:lang w:bidi="lo-LA"/>
        </w:rPr>
        <w:t xml:space="preserve"> </w:t>
      </w:r>
      <w:r w:rsidR="00914049">
        <w:rPr>
          <w:rFonts w:ascii="Candara" w:hAnsi="Candara"/>
          <w:lang w:bidi="lo-LA"/>
        </w:rPr>
        <w:t>programmas</w:t>
      </w:r>
      <w:r w:rsidR="00364BD3">
        <w:rPr>
          <w:rFonts w:ascii="Candara" w:hAnsi="Candara"/>
          <w:lang w:bidi="lo-LA"/>
        </w:rPr>
        <w:t xml:space="preserve">, kas </w:t>
      </w:r>
      <w:r w:rsidR="00914049">
        <w:rPr>
          <w:rFonts w:ascii="Candara" w:hAnsi="Candara"/>
          <w:lang w:bidi="lo-LA"/>
        </w:rPr>
        <w:t xml:space="preserve">paredz sekmēt </w:t>
      </w:r>
      <w:r>
        <w:rPr>
          <w:rFonts w:ascii="Candara" w:hAnsi="Candara"/>
          <w:lang w:bidi="lo-LA"/>
        </w:rPr>
        <w:t>inovācijas kapacitātes stiprināšanu</w:t>
      </w:r>
      <w:r w:rsidR="00BF2970">
        <w:rPr>
          <w:rFonts w:ascii="Candara" w:hAnsi="Candara"/>
          <w:lang w:bidi="lo-LA"/>
        </w:rPr>
        <w:t xml:space="preserve"> </w:t>
      </w:r>
      <w:r w:rsidR="0005347E">
        <w:rPr>
          <w:rFonts w:ascii="Candara" w:hAnsi="Candara"/>
          <w:lang w:bidi="lo-LA"/>
        </w:rPr>
        <w:t xml:space="preserve">(4 </w:t>
      </w:r>
      <w:r>
        <w:rPr>
          <w:rFonts w:ascii="Candara" w:hAnsi="Candara"/>
          <w:lang w:bidi="lo-LA"/>
        </w:rPr>
        <w:t xml:space="preserve">programmas); </w:t>
      </w:r>
    </w:p>
    <w:p w:rsidR="006436C9" w:rsidRPr="006436C9" w:rsidP="00214364" w14:paraId="7715C062" w14:textId="6D2E6DA7">
      <w:pPr>
        <w:tabs>
          <w:tab w:val="left" w:pos="720"/>
          <w:tab w:val="left" w:pos="1770"/>
        </w:tabs>
        <w:spacing w:after="0" w:line="240" w:lineRule="auto"/>
        <w:ind w:left="709" w:hanging="283"/>
        <w:jc w:val="both"/>
        <w:rPr>
          <w:rFonts w:ascii="Candara" w:hAnsi="Candara"/>
          <w:lang w:bidi="lo-LA"/>
        </w:rPr>
      </w:pPr>
      <w:r>
        <w:rPr>
          <w:rFonts w:ascii="Candara" w:hAnsi="Candara"/>
          <w:lang w:bidi="lo-LA"/>
        </w:rPr>
        <w:t>3)</w:t>
      </w:r>
      <w:r>
        <w:rPr>
          <w:rFonts w:ascii="Candara" w:hAnsi="Candara"/>
          <w:lang w:bidi="lo-LA"/>
        </w:rPr>
        <w:tab/>
      </w:r>
      <w:r w:rsidR="00364BD3">
        <w:rPr>
          <w:rFonts w:ascii="Candara" w:hAnsi="Candara"/>
          <w:lang w:bidi="lo-LA"/>
        </w:rPr>
        <w:t xml:space="preserve">apstiprinātas </w:t>
      </w:r>
      <w:r w:rsidR="00914049">
        <w:rPr>
          <w:rFonts w:ascii="Candara" w:hAnsi="Candara"/>
          <w:lang w:bidi="lo-LA"/>
        </w:rPr>
        <w:t>visas investīciju</w:t>
      </w:r>
      <w:r w:rsidR="00364BD3">
        <w:rPr>
          <w:rFonts w:ascii="Candara" w:hAnsi="Candara"/>
          <w:lang w:bidi="lo-LA"/>
        </w:rPr>
        <w:t xml:space="preserve"> </w:t>
      </w:r>
      <w:r w:rsidR="00914049">
        <w:rPr>
          <w:rFonts w:ascii="Candara" w:hAnsi="Candara"/>
          <w:lang w:bidi="lo-LA"/>
        </w:rPr>
        <w:t>programmas</w:t>
      </w:r>
      <w:r w:rsidR="00364BD3">
        <w:rPr>
          <w:rFonts w:ascii="Candara" w:hAnsi="Candara"/>
          <w:lang w:bidi="lo-LA"/>
        </w:rPr>
        <w:t xml:space="preserve">, kas vērstas uz </w:t>
      </w:r>
      <w:r w:rsidR="0005347E">
        <w:rPr>
          <w:rFonts w:ascii="Candara" w:hAnsi="Candara"/>
          <w:lang w:bidi="lo-LA"/>
        </w:rPr>
        <w:t>uzņēmējdarbības konkurētspējas</w:t>
      </w:r>
      <w:r w:rsidR="003003A5">
        <w:rPr>
          <w:rFonts w:ascii="Candara" w:hAnsi="Candara"/>
          <w:lang w:bidi="lo-LA"/>
        </w:rPr>
        <w:t xml:space="preserve"> paaugstināšanu (15 programmas).</w:t>
      </w:r>
    </w:p>
    <w:p w:rsidR="00214364" w:rsidRPr="00214364" w:rsidP="00214364" w14:paraId="188271E8" w14:textId="77777777">
      <w:pPr>
        <w:spacing w:after="20" w:line="240" w:lineRule="auto"/>
        <w:ind w:firstLine="567"/>
        <w:jc w:val="both"/>
        <w:rPr>
          <w:rFonts w:ascii="Candara" w:eastAsia="Times New Roman" w:hAnsi="Candara"/>
          <w:sz w:val="8"/>
          <w:lang w:eastAsia="lv-LV"/>
        </w:rPr>
      </w:pPr>
    </w:p>
    <w:p w:rsidR="00B4626C" w:rsidP="00214364" w14:paraId="5F587FF6" w14:textId="29318606">
      <w:pPr>
        <w:spacing w:after="20" w:line="240" w:lineRule="auto"/>
        <w:ind w:firstLine="426"/>
        <w:jc w:val="both"/>
        <w:rPr>
          <w:rFonts w:ascii="Candara" w:eastAsia="Times New Roman" w:hAnsi="Candara"/>
          <w:lang w:eastAsia="lv-LV"/>
        </w:rPr>
      </w:pPr>
      <w:r>
        <w:rPr>
          <w:rFonts w:ascii="Candara" w:eastAsia="Times New Roman" w:hAnsi="Candara"/>
          <w:lang w:eastAsia="lv-LV"/>
        </w:rPr>
        <w:t>Papildu tam l</w:t>
      </w:r>
      <w:r w:rsidR="0005347E">
        <w:rPr>
          <w:rFonts w:ascii="Candara" w:eastAsia="Times New Roman" w:hAnsi="Candara"/>
          <w:lang w:eastAsia="lv-LV"/>
        </w:rPr>
        <w:t>aika posmā no 2</w:t>
      </w:r>
      <w:r w:rsidR="00D40E84">
        <w:rPr>
          <w:rFonts w:ascii="Candara" w:eastAsia="Times New Roman" w:hAnsi="Candara"/>
          <w:lang w:eastAsia="lv-LV"/>
        </w:rPr>
        <w:t>014.gada līdz 2017.</w:t>
      </w:r>
      <w:r w:rsidR="00C36607">
        <w:rPr>
          <w:rFonts w:ascii="Candara" w:eastAsia="Times New Roman" w:hAnsi="Candara"/>
          <w:lang w:eastAsia="lv-LV"/>
        </w:rPr>
        <w:t xml:space="preserve">gada vidum </w:t>
      </w:r>
      <w:r>
        <w:rPr>
          <w:rFonts w:ascii="Candara" w:eastAsia="Times New Roman" w:hAnsi="Candara"/>
          <w:lang w:eastAsia="lv-LV"/>
        </w:rPr>
        <w:t>nodrošināta</w:t>
      </w:r>
      <w:r w:rsidR="00C36607">
        <w:rPr>
          <w:rFonts w:ascii="Candara" w:eastAsia="Times New Roman" w:hAnsi="Candara"/>
          <w:lang w:eastAsia="lv-LV"/>
        </w:rPr>
        <w:t xml:space="preserve"> zinātnes un uzņēmējdarbības nozares ekosistēmas normatīvā ietvara pilnveide</w:t>
      </w:r>
      <w:r w:rsidR="005B6B25">
        <w:rPr>
          <w:rFonts w:ascii="Candara" w:eastAsia="Times New Roman" w:hAnsi="Candara"/>
          <w:lang w:eastAsia="lv-LV"/>
        </w:rPr>
        <w:t>. Būtiskākie paveiktie darbi</w:t>
      </w:r>
      <w:r w:rsidR="00C36607">
        <w:rPr>
          <w:rFonts w:ascii="Candara" w:eastAsia="Times New Roman" w:hAnsi="Candara"/>
          <w:lang w:eastAsia="lv-LV"/>
        </w:rPr>
        <w:t>:</w:t>
      </w:r>
    </w:p>
    <w:p w:rsidR="00C36607" w:rsidRPr="00CD5A19" w:rsidP="00214364" w14:paraId="6131E06C" w14:textId="77777777">
      <w:pPr>
        <w:pStyle w:val="ListParagraph"/>
        <w:numPr>
          <w:ilvl w:val="0"/>
          <w:numId w:val="60"/>
        </w:numPr>
        <w:tabs>
          <w:tab w:val="left" w:pos="1770"/>
        </w:tabs>
        <w:spacing w:before="0" w:after="20"/>
        <w:ind w:left="709" w:hanging="283"/>
        <w:contextualSpacing w:val="0"/>
        <w:rPr>
          <w:rFonts w:ascii="Candara" w:hAnsi="Candara" w:cstheme="minorBidi"/>
          <w:sz w:val="22"/>
          <w:szCs w:val="22"/>
          <w:lang w:eastAsia="lv-LV"/>
        </w:rPr>
      </w:pPr>
      <w:r>
        <w:rPr>
          <w:rFonts w:ascii="Candara" w:hAnsi="Candara"/>
          <w:sz w:val="22"/>
          <w:szCs w:val="22"/>
          <w:lang w:eastAsia="lv-LV"/>
        </w:rPr>
        <w:t>2013.gada 12.</w:t>
      </w:r>
      <w:r w:rsidR="00F21492">
        <w:rPr>
          <w:rFonts w:ascii="Candara" w:hAnsi="Candara"/>
          <w:sz w:val="22"/>
          <w:szCs w:val="22"/>
          <w:lang w:eastAsia="lv-LV"/>
        </w:rPr>
        <w:t xml:space="preserve">novembrī </w:t>
      </w:r>
      <w:r w:rsidRPr="00077238">
        <w:rPr>
          <w:rFonts w:ascii="Candara" w:hAnsi="Candara"/>
          <w:sz w:val="22"/>
          <w:szCs w:val="22"/>
          <w:lang w:eastAsia="lv-LV"/>
        </w:rPr>
        <w:t xml:space="preserve">apstiprināti </w:t>
      </w:r>
      <w:r w:rsidRPr="00077238" w:rsidR="004B01D6">
        <w:rPr>
          <w:rFonts w:ascii="Candara" w:hAnsi="Candara"/>
          <w:sz w:val="22"/>
          <w:szCs w:val="22"/>
          <w:lang w:eastAsia="lv-LV"/>
        </w:rPr>
        <w:t xml:space="preserve">jauni </w:t>
      </w:r>
      <w:r w:rsidRPr="00077238">
        <w:rPr>
          <w:rFonts w:ascii="Candara" w:hAnsi="Candara"/>
          <w:sz w:val="22"/>
          <w:szCs w:val="22"/>
          <w:lang w:eastAsia="lv-LV"/>
        </w:rPr>
        <w:t xml:space="preserve">zinātnes bāzes finansējuma piešķiršanas </w:t>
      </w:r>
      <w:r w:rsidRPr="00077238" w:rsidR="00626A3C">
        <w:rPr>
          <w:rFonts w:ascii="Candara" w:hAnsi="Candara"/>
          <w:sz w:val="22"/>
          <w:szCs w:val="22"/>
          <w:lang w:eastAsia="lv-LV"/>
        </w:rPr>
        <w:t>MK</w:t>
      </w:r>
      <w:r w:rsidRPr="00077238">
        <w:rPr>
          <w:rFonts w:ascii="Candara" w:hAnsi="Candara"/>
          <w:sz w:val="22"/>
          <w:szCs w:val="22"/>
          <w:lang w:eastAsia="lv-LV"/>
        </w:rPr>
        <w:t xml:space="preserve"> noteikumi</w:t>
      </w:r>
      <w:r w:rsidR="00303340">
        <w:rPr>
          <w:rFonts w:ascii="Candara" w:hAnsi="Candara"/>
          <w:sz w:val="22"/>
          <w:szCs w:val="22"/>
          <w:lang w:eastAsia="lv-LV"/>
        </w:rPr>
        <w:t xml:space="preserve"> </w:t>
      </w:r>
      <w:r>
        <w:rPr>
          <w:rFonts w:ascii="Candara" w:hAnsi="Candara"/>
          <w:sz w:val="22"/>
          <w:szCs w:val="22"/>
          <w:lang w:eastAsia="lv-LV"/>
        </w:rPr>
        <w:t>Nr.</w:t>
      </w:r>
      <w:r w:rsidR="00F21492">
        <w:rPr>
          <w:rFonts w:ascii="Candara" w:hAnsi="Candara"/>
          <w:sz w:val="22"/>
          <w:szCs w:val="22"/>
          <w:lang w:eastAsia="lv-LV"/>
        </w:rPr>
        <w:t xml:space="preserve">1316 “Kārtība, kādā aprēķina un piešķir bāzes finansējumu zinātniskajām institūcijām” </w:t>
      </w:r>
      <w:r w:rsidR="00303340">
        <w:rPr>
          <w:rFonts w:ascii="Candara" w:hAnsi="Candara"/>
          <w:sz w:val="22"/>
          <w:szCs w:val="22"/>
          <w:lang w:eastAsia="lv-LV"/>
        </w:rPr>
        <w:t>(t.sk. veicot papildinošus grozījumus</w:t>
      </w:r>
      <w:r w:rsidR="00F21492">
        <w:rPr>
          <w:rFonts w:ascii="Candara" w:hAnsi="Candara"/>
          <w:sz w:val="22"/>
          <w:szCs w:val="22"/>
          <w:lang w:eastAsia="lv-LV"/>
        </w:rPr>
        <w:t xml:space="preserve"> </w:t>
      </w:r>
      <w:r>
        <w:rPr>
          <w:rFonts w:ascii="Candara" w:hAnsi="Candara"/>
          <w:sz w:val="22"/>
          <w:szCs w:val="22"/>
          <w:lang w:eastAsia="lv-LV"/>
        </w:rPr>
        <w:t>2014.gada 28.oktobrī un 2015.gada 24.</w:t>
      </w:r>
      <w:r w:rsidR="00F21492">
        <w:rPr>
          <w:rFonts w:ascii="Candara" w:hAnsi="Candara"/>
          <w:sz w:val="22"/>
          <w:szCs w:val="22"/>
          <w:lang w:eastAsia="lv-LV"/>
        </w:rPr>
        <w:t>novembrī</w:t>
      </w:r>
      <w:r w:rsidR="00303340">
        <w:rPr>
          <w:rFonts w:ascii="Candara" w:hAnsi="Candara"/>
          <w:sz w:val="22"/>
          <w:szCs w:val="22"/>
          <w:lang w:eastAsia="lv-LV"/>
        </w:rPr>
        <w:t>)</w:t>
      </w:r>
      <w:r w:rsidRPr="00077238">
        <w:rPr>
          <w:rFonts w:ascii="Candara" w:hAnsi="Candara"/>
          <w:sz w:val="22"/>
          <w:szCs w:val="22"/>
          <w:lang w:eastAsia="lv-LV"/>
        </w:rPr>
        <w:t>,</w:t>
      </w:r>
      <w:r w:rsidRPr="00077238" w:rsidR="004B01D6">
        <w:rPr>
          <w:rFonts w:ascii="Candara" w:hAnsi="Candara"/>
          <w:sz w:val="22"/>
          <w:szCs w:val="22"/>
          <w:lang w:eastAsia="lv-LV"/>
        </w:rPr>
        <w:t xml:space="preserve"> kas mainīja kritērijus un nosacījumus zinātnes bāzes finansējuma piešķiršanas kārtībai</w:t>
      </w:r>
      <w:r w:rsidRPr="00077238" w:rsidR="00077238">
        <w:rPr>
          <w:rFonts w:ascii="Candara" w:hAnsi="Candara"/>
          <w:sz w:val="22"/>
          <w:szCs w:val="22"/>
          <w:lang w:eastAsia="lv-LV"/>
        </w:rPr>
        <w:t xml:space="preserve">, ieviešot uz izcilību un starptautisko konkurētspēju </w:t>
      </w:r>
      <w:r w:rsidR="00CB0A6D">
        <w:rPr>
          <w:rFonts w:ascii="Candara" w:hAnsi="Candara"/>
          <w:sz w:val="22"/>
          <w:szCs w:val="22"/>
          <w:lang w:eastAsia="lv-LV"/>
        </w:rPr>
        <w:t xml:space="preserve">un </w:t>
      </w:r>
      <w:r w:rsidR="001563E4">
        <w:rPr>
          <w:rFonts w:ascii="Candara" w:hAnsi="Candara"/>
          <w:sz w:val="22"/>
          <w:szCs w:val="22"/>
          <w:lang w:eastAsia="lv-LV"/>
        </w:rPr>
        <w:t xml:space="preserve">sadarbību </w:t>
      </w:r>
      <w:r w:rsidR="00CB0A6D">
        <w:rPr>
          <w:rFonts w:ascii="Candara" w:hAnsi="Candara"/>
          <w:sz w:val="22"/>
          <w:szCs w:val="22"/>
          <w:lang w:eastAsia="lv-LV"/>
        </w:rPr>
        <w:t xml:space="preserve">ar industriju </w:t>
      </w:r>
      <w:r w:rsidRPr="00077238" w:rsidR="00077238">
        <w:rPr>
          <w:rFonts w:ascii="Candara" w:hAnsi="Candara"/>
          <w:sz w:val="22"/>
          <w:szCs w:val="22"/>
          <w:lang w:eastAsia="lv-LV"/>
        </w:rPr>
        <w:t>balstītus stimulus</w:t>
      </w:r>
      <w:r w:rsidRPr="00077238">
        <w:rPr>
          <w:rFonts w:ascii="Candara" w:hAnsi="Candara"/>
          <w:sz w:val="22"/>
          <w:szCs w:val="22"/>
          <w:lang w:eastAsia="lv-LV"/>
        </w:rPr>
        <w:t>;</w:t>
      </w:r>
    </w:p>
    <w:p w:rsidR="00CD5A19" w:rsidRPr="00CD5A19" w:rsidP="00214364" w14:paraId="517B8A31" w14:textId="77777777">
      <w:pPr>
        <w:pStyle w:val="ListParagraph"/>
        <w:numPr>
          <w:ilvl w:val="0"/>
          <w:numId w:val="60"/>
        </w:numPr>
        <w:tabs>
          <w:tab w:val="left" w:pos="1770"/>
        </w:tabs>
        <w:spacing w:before="0" w:after="20"/>
        <w:ind w:left="709" w:hanging="283"/>
        <w:contextualSpacing w:val="0"/>
        <w:rPr>
          <w:rFonts w:ascii="Candara" w:hAnsi="Candara"/>
          <w:sz w:val="22"/>
          <w:szCs w:val="22"/>
          <w:lang w:eastAsia="lv-LV"/>
        </w:rPr>
      </w:pPr>
      <w:r>
        <w:rPr>
          <w:rFonts w:ascii="Candara" w:hAnsi="Candara"/>
          <w:sz w:val="22"/>
          <w:szCs w:val="22"/>
          <w:lang w:eastAsia="lv-LV"/>
        </w:rPr>
        <w:t>2014.gada 1.</w:t>
      </w:r>
      <w:r>
        <w:rPr>
          <w:rFonts w:ascii="Candara" w:hAnsi="Candara"/>
          <w:sz w:val="22"/>
          <w:szCs w:val="22"/>
          <w:lang w:eastAsia="lv-LV"/>
        </w:rPr>
        <w:t xml:space="preserve">jūlijā </w:t>
      </w:r>
      <w:r w:rsidRPr="009F19CB">
        <w:rPr>
          <w:rFonts w:ascii="Candara" w:hAnsi="Candara"/>
          <w:sz w:val="22"/>
          <w:szCs w:val="22"/>
          <w:lang w:eastAsia="lv-LV"/>
        </w:rPr>
        <w:t>apstiprin</w:t>
      </w:r>
      <w:r>
        <w:rPr>
          <w:rFonts w:ascii="Candara" w:hAnsi="Candara"/>
          <w:sz w:val="22"/>
          <w:szCs w:val="22"/>
          <w:lang w:eastAsia="lv-LV"/>
        </w:rPr>
        <w:t>āti MK noteikumi Nr.</w:t>
      </w:r>
      <w:r>
        <w:rPr>
          <w:rFonts w:ascii="Candara" w:hAnsi="Candara"/>
          <w:sz w:val="22"/>
          <w:szCs w:val="22"/>
          <w:lang w:eastAsia="lv-LV"/>
        </w:rPr>
        <w:t>373 “Noteikumi par pētniecības un attīstības darbību uzņēmumu ienākuma nodokļa piemērošanai”, kas nosaka kārtību, kādā piemērojami uzņēmumu ienākuma nodokļa atvieglojumi, ja uzņēmumā veiktas pētniecības un attīstības darbības;</w:t>
      </w:r>
    </w:p>
    <w:p w:rsidR="00C36607" w:rsidRPr="00077238" w:rsidP="00214364" w14:paraId="0B71566A" w14:textId="77777777">
      <w:pPr>
        <w:pStyle w:val="ListParagraph"/>
        <w:numPr>
          <w:ilvl w:val="0"/>
          <w:numId w:val="60"/>
        </w:numPr>
        <w:tabs>
          <w:tab w:val="left" w:pos="1770"/>
        </w:tabs>
        <w:spacing w:before="0" w:after="20"/>
        <w:ind w:left="709" w:hanging="283"/>
        <w:contextualSpacing w:val="0"/>
        <w:rPr>
          <w:rFonts w:ascii="Candara" w:hAnsi="Candara" w:cstheme="minorBidi"/>
          <w:sz w:val="22"/>
          <w:szCs w:val="22"/>
          <w:lang w:eastAsia="lv-LV"/>
        </w:rPr>
      </w:pPr>
      <w:r>
        <w:rPr>
          <w:rFonts w:ascii="Candara" w:hAnsi="Candara"/>
          <w:sz w:val="22"/>
          <w:szCs w:val="22"/>
          <w:lang w:eastAsia="lv-LV"/>
        </w:rPr>
        <w:t>2015.gada 14.</w:t>
      </w:r>
      <w:r w:rsidR="00F21492">
        <w:rPr>
          <w:rFonts w:ascii="Candara" w:hAnsi="Candara"/>
          <w:sz w:val="22"/>
          <w:szCs w:val="22"/>
          <w:lang w:eastAsia="lv-LV"/>
        </w:rPr>
        <w:t xml:space="preserve">jūlijā </w:t>
      </w:r>
      <w:r w:rsidRPr="00077238" w:rsidR="004B01D6">
        <w:rPr>
          <w:rFonts w:ascii="Candara" w:hAnsi="Candara"/>
          <w:sz w:val="22"/>
          <w:szCs w:val="22"/>
          <w:lang w:eastAsia="lv-LV"/>
        </w:rPr>
        <w:t>apstiprināti</w:t>
      </w:r>
      <w:r w:rsidRPr="00077238" w:rsidR="00626A3C">
        <w:rPr>
          <w:rFonts w:ascii="Candara" w:hAnsi="Candara"/>
          <w:sz w:val="22"/>
          <w:szCs w:val="22"/>
          <w:lang w:eastAsia="lv-LV"/>
        </w:rPr>
        <w:t xml:space="preserve"> studiju virzienu akreditācijas kārtību regulējošie MK noteikumi</w:t>
      </w:r>
      <w:r>
        <w:rPr>
          <w:rFonts w:ascii="Candara" w:hAnsi="Candara"/>
          <w:sz w:val="22"/>
          <w:szCs w:val="22"/>
          <w:lang w:eastAsia="lv-LV"/>
        </w:rPr>
        <w:t xml:space="preserve"> Nr.</w:t>
      </w:r>
      <w:r w:rsidR="00F21492">
        <w:rPr>
          <w:rFonts w:ascii="Candara" w:hAnsi="Candara"/>
          <w:sz w:val="22"/>
          <w:szCs w:val="22"/>
          <w:lang w:eastAsia="lv-LV"/>
        </w:rPr>
        <w:t>407 “</w:t>
      </w:r>
      <w:r w:rsidRPr="00F21492" w:rsidR="00F21492">
        <w:rPr>
          <w:rFonts w:ascii="Candara" w:hAnsi="Candara"/>
          <w:sz w:val="22"/>
          <w:szCs w:val="22"/>
          <w:lang w:eastAsia="lv-LV"/>
        </w:rPr>
        <w:t>Augstskolu, koledžu un studiju virzienu akreditācijas noteikumi</w:t>
      </w:r>
      <w:r w:rsidR="00F21492">
        <w:rPr>
          <w:rFonts w:ascii="Candara" w:hAnsi="Candara"/>
          <w:sz w:val="22"/>
          <w:szCs w:val="22"/>
          <w:lang w:eastAsia="lv-LV"/>
        </w:rPr>
        <w:t>”</w:t>
      </w:r>
      <w:r w:rsidRPr="00077238" w:rsidR="004B01D6">
        <w:rPr>
          <w:rFonts w:ascii="Candara" w:hAnsi="Candara"/>
          <w:sz w:val="22"/>
          <w:szCs w:val="22"/>
          <w:lang w:eastAsia="lv-LV"/>
        </w:rPr>
        <w:t>, kas nosaka normatīvo ietvaru, lai nacionālā līmenī ieviestu Eiropas Augstākās izglītības telpas kvalitātes standartus un vadlīnijas augstākās izglītības sistēmas nodrošināšanā;</w:t>
      </w:r>
    </w:p>
    <w:p w:rsidR="00B4626C" w:rsidRPr="00077238" w:rsidP="00214364" w14:paraId="160CE778" w14:textId="77777777">
      <w:pPr>
        <w:pStyle w:val="ListParagraph"/>
        <w:numPr>
          <w:ilvl w:val="0"/>
          <w:numId w:val="60"/>
        </w:numPr>
        <w:tabs>
          <w:tab w:val="left" w:pos="1770"/>
          <w:tab w:val="center" w:pos="4847"/>
        </w:tabs>
        <w:spacing w:before="0" w:after="20"/>
        <w:ind w:left="709" w:hanging="283"/>
        <w:contextualSpacing w:val="0"/>
        <w:rPr>
          <w:b/>
          <w:bCs/>
          <w:sz w:val="22"/>
          <w:szCs w:val="22"/>
          <w:shd w:val="clear" w:color="auto" w:fill="FFFFFF" w:themeFill="background1"/>
          <w:lang w:eastAsia="lv-LV"/>
        </w:rPr>
      </w:pPr>
      <w:r>
        <w:rPr>
          <w:rFonts w:ascii="Candara" w:hAnsi="Candara"/>
          <w:sz w:val="22"/>
          <w:szCs w:val="22"/>
          <w:lang w:eastAsia="lv-LV"/>
        </w:rPr>
        <w:t>2015.gada 28.</w:t>
      </w:r>
      <w:r w:rsidR="00A05900">
        <w:rPr>
          <w:rFonts w:ascii="Candara" w:hAnsi="Candara"/>
          <w:sz w:val="22"/>
          <w:szCs w:val="22"/>
          <w:lang w:eastAsia="lv-LV"/>
        </w:rPr>
        <w:t xml:space="preserve">jūlijā </w:t>
      </w:r>
      <w:r w:rsidRPr="00077238" w:rsidR="004B01D6">
        <w:rPr>
          <w:rFonts w:ascii="Candara" w:hAnsi="Candara"/>
          <w:sz w:val="22"/>
          <w:szCs w:val="22"/>
          <w:lang w:eastAsia="lv-LV"/>
        </w:rPr>
        <w:t>apstiprināti grozījumi MK noteikumos</w:t>
      </w:r>
      <w:r>
        <w:rPr>
          <w:rFonts w:ascii="Candara" w:hAnsi="Candara"/>
          <w:sz w:val="22"/>
          <w:szCs w:val="22"/>
          <w:lang w:eastAsia="lv-LV"/>
        </w:rPr>
        <w:t xml:space="preserve"> Nr.</w:t>
      </w:r>
      <w:r w:rsidR="00A05900">
        <w:rPr>
          <w:rFonts w:ascii="Candara" w:hAnsi="Candara"/>
          <w:sz w:val="22"/>
          <w:szCs w:val="22"/>
          <w:lang w:eastAsia="lv-LV"/>
        </w:rPr>
        <w:t>994 “</w:t>
      </w:r>
      <w:r w:rsidRPr="00A05900" w:rsidR="00A05900">
        <w:rPr>
          <w:rFonts w:ascii="Candara" w:hAnsi="Candara"/>
          <w:sz w:val="22"/>
          <w:szCs w:val="22"/>
          <w:lang w:eastAsia="lv-LV"/>
        </w:rPr>
        <w:t>Kārtība, kādā augstskolas un koledžas tiek finansētas no valsts budžeta līdzekļiem</w:t>
      </w:r>
      <w:r w:rsidR="00A05900">
        <w:rPr>
          <w:rFonts w:ascii="Candara" w:hAnsi="Candara"/>
          <w:sz w:val="22"/>
          <w:szCs w:val="22"/>
          <w:lang w:eastAsia="lv-LV"/>
        </w:rPr>
        <w:t>”</w:t>
      </w:r>
      <w:r w:rsidRPr="00077238" w:rsidR="004B01D6">
        <w:rPr>
          <w:rFonts w:ascii="Candara" w:hAnsi="Candara"/>
          <w:sz w:val="22"/>
          <w:szCs w:val="22"/>
          <w:lang w:eastAsia="lv-LV"/>
        </w:rPr>
        <w:t xml:space="preserve">, kas regulē augstākās izglītības institūciju </w:t>
      </w:r>
      <w:r w:rsidRPr="00077238" w:rsidR="00077238">
        <w:rPr>
          <w:rFonts w:ascii="Candara" w:hAnsi="Candara"/>
          <w:sz w:val="22"/>
          <w:szCs w:val="22"/>
          <w:lang w:eastAsia="lv-LV"/>
        </w:rPr>
        <w:t>valsts budžeta līdzekļu piešķiršanu</w:t>
      </w:r>
      <w:r w:rsidR="00303340">
        <w:rPr>
          <w:rFonts w:ascii="Candara" w:hAnsi="Candara"/>
          <w:sz w:val="22"/>
          <w:szCs w:val="22"/>
          <w:lang w:eastAsia="lv-LV"/>
        </w:rPr>
        <w:t>,</w:t>
      </w:r>
      <w:r w:rsidRPr="00077238" w:rsidR="00077238">
        <w:rPr>
          <w:rFonts w:ascii="Candara" w:hAnsi="Candara"/>
          <w:sz w:val="22"/>
          <w:szCs w:val="22"/>
          <w:lang w:eastAsia="lv-LV"/>
        </w:rPr>
        <w:t xml:space="preserve"> ieviešot uz </w:t>
      </w:r>
      <w:r w:rsidR="00303340">
        <w:rPr>
          <w:rFonts w:ascii="Candara" w:hAnsi="Candara"/>
          <w:sz w:val="22"/>
          <w:szCs w:val="22"/>
          <w:lang w:eastAsia="lv-LV"/>
        </w:rPr>
        <w:t xml:space="preserve">augstākās izglītības institūcijas individuālo </w:t>
      </w:r>
      <w:r w:rsidRPr="00077238" w:rsidR="00077238">
        <w:rPr>
          <w:rFonts w:ascii="Candara" w:hAnsi="Candara"/>
          <w:sz w:val="22"/>
          <w:szCs w:val="22"/>
          <w:lang w:eastAsia="lv-LV"/>
        </w:rPr>
        <w:t>sniegumu balstīta finansējuma piešķīruma komponenti;</w:t>
      </w:r>
    </w:p>
    <w:p w:rsidR="005B6B25" w:rsidP="00214364" w14:paraId="08189A99" w14:textId="77777777">
      <w:pPr>
        <w:pStyle w:val="ListParagraph"/>
        <w:numPr>
          <w:ilvl w:val="0"/>
          <w:numId w:val="60"/>
        </w:numPr>
        <w:tabs>
          <w:tab w:val="left" w:pos="1770"/>
        </w:tabs>
        <w:spacing w:before="0" w:after="20"/>
        <w:ind w:left="709" w:hanging="283"/>
        <w:contextualSpacing w:val="0"/>
        <w:rPr>
          <w:rFonts w:ascii="Candara" w:hAnsi="Candara"/>
          <w:sz w:val="22"/>
          <w:szCs w:val="22"/>
          <w:lang w:eastAsia="lv-LV"/>
        </w:rPr>
      </w:pPr>
      <w:r>
        <w:rPr>
          <w:rFonts w:ascii="Candara" w:hAnsi="Candara"/>
          <w:sz w:val="22"/>
          <w:szCs w:val="22"/>
          <w:lang w:eastAsia="lv-LV"/>
        </w:rPr>
        <w:t>2016.gada 23.</w:t>
      </w:r>
      <w:r w:rsidR="00CD5A19">
        <w:rPr>
          <w:rFonts w:ascii="Candara" w:hAnsi="Candara"/>
          <w:sz w:val="22"/>
          <w:szCs w:val="22"/>
          <w:lang w:eastAsia="lv-LV"/>
        </w:rPr>
        <w:t xml:space="preserve">novembrī </w:t>
      </w:r>
      <w:r>
        <w:rPr>
          <w:rFonts w:ascii="Candara" w:hAnsi="Candara"/>
          <w:sz w:val="22"/>
          <w:szCs w:val="22"/>
          <w:lang w:eastAsia="lv-LV"/>
        </w:rPr>
        <w:t>veikti grozījumi Augstskolu likumā</w:t>
      </w:r>
      <w:r w:rsidR="00CB0A6D">
        <w:rPr>
          <w:rFonts w:ascii="Candara" w:hAnsi="Candara"/>
          <w:sz w:val="22"/>
          <w:szCs w:val="22"/>
          <w:lang w:eastAsia="lv-LV"/>
        </w:rPr>
        <w:t>,</w:t>
      </w:r>
      <w:r>
        <w:rPr>
          <w:rFonts w:ascii="Candara" w:hAnsi="Candara"/>
          <w:sz w:val="22"/>
          <w:szCs w:val="22"/>
          <w:lang w:eastAsia="lv-LV"/>
        </w:rPr>
        <w:t xml:space="preserve"> nosakot Studējošo un absolventu reģistra izveidi un tajā iekļaujamo informācijas apjomu;</w:t>
      </w:r>
    </w:p>
    <w:p w:rsidR="005B6B25" w:rsidP="00214364" w14:paraId="32EF954F" w14:textId="77777777">
      <w:pPr>
        <w:pStyle w:val="ListParagraph"/>
        <w:numPr>
          <w:ilvl w:val="0"/>
          <w:numId w:val="60"/>
        </w:numPr>
        <w:tabs>
          <w:tab w:val="left" w:pos="1770"/>
        </w:tabs>
        <w:spacing w:before="0" w:after="20"/>
        <w:ind w:left="709" w:hanging="283"/>
        <w:contextualSpacing w:val="0"/>
        <w:rPr>
          <w:rFonts w:ascii="Candara" w:hAnsi="Candara"/>
          <w:sz w:val="22"/>
          <w:szCs w:val="22"/>
          <w:lang w:eastAsia="lv-LV"/>
        </w:rPr>
      </w:pPr>
      <w:r>
        <w:rPr>
          <w:rFonts w:ascii="Candara" w:hAnsi="Candara"/>
          <w:sz w:val="22"/>
          <w:szCs w:val="22"/>
          <w:lang w:eastAsia="lv-LV"/>
        </w:rPr>
        <w:t>2016.gada 23.</w:t>
      </w:r>
      <w:r w:rsidR="00CD5A19">
        <w:rPr>
          <w:rFonts w:ascii="Candara" w:hAnsi="Candara"/>
          <w:sz w:val="22"/>
          <w:szCs w:val="22"/>
          <w:lang w:eastAsia="lv-LV"/>
        </w:rPr>
        <w:t xml:space="preserve">novembrī </w:t>
      </w:r>
      <w:r>
        <w:rPr>
          <w:rFonts w:ascii="Candara" w:hAnsi="Candara"/>
          <w:sz w:val="22"/>
          <w:szCs w:val="22"/>
          <w:lang w:eastAsia="lv-LV"/>
        </w:rPr>
        <w:t>pieņemts Jaunuzņēmumu darbības atbalsta likums, ar mērķi veicināt strauji augošu tehnoloģiju uzņēmumu jeb jaunuzņēmumu (</w:t>
      </w:r>
      <w:r>
        <w:rPr>
          <w:rFonts w:ascii="Candara" w:hAnsi="Candara"/>
          <w:i/>
          <w:sz w:val="22"/>
          <w:szCs w:val="22"/>
          <w:lang w:eastAsia="lv-LV"/>
        </w:rPr>
        <w:t>starp-up)</w:t>
      </w:r>
      <w:r>
        <w:rPr>
          <w:rFonts w:ascii="Candara" w:hAnsi="Candara"/>
          <w:sz w:val="22"/>
          <w:szCs w:val="22"/>
          <w:lang w:eastAsia="lv-LV"/>
        </w:rPr>
        <w:t xml:space="preserve"> veidošanos Latvijā, kā arī sekmēt P&amp;A rezultātu komercializāciju;</w:t>
      </w:r>
    </w:p>
    <w:p w:rsidR="00877C12" w:rsidP="00877C12" w14:paraId="2C3FB43E" w14:textId="77777777">
      <w:pPr>
        <w:pStyle w:val="ListParagraph"/>
        <w:numPr>
          <w:ilvl w:val="0"/>
          <w:numId w:val="60"/>
        </w:numPr>
        <w:tabs>
          <w:tab w:val="left" w:pos="1770"/>
        </w:tabs>
        <w:spacing w:before="0" w:after="20"/>
        <w:ind w:left="709" w:hanging="283"/>
        <w:contextualSpacing w:val="0"/>
        <w:rPr>
          <w:rFonts w:ascii="Candara" w:hAnsi="Candara"/>
          <w:sz w:val="22"/>
          <w:szCs w:val="22"/>
          <w:lang w:eastAsia="lv-LV"/>
        </w:rPr>
      </w:pPr>
      <w:r>
        <w:rPr>
          <w:rFonts w:ascii="Candara" w:hAnsi="Candara"/>
          <w:sz w:val="22"/>
          <w:szCs w:val="22"/>
          <w:lang w:eastAsia="lv-LV"/>
        </w:rPr>
        <w:t>2016.gada 8.decembrī veikti grozījumi Zinātniskās darbības likumā, nosakot Nacionālās zinātniskās darbības informācijas sistēmas darbību kā valsts informācijas sistēmu, kas apkopo ziņas par zinātnisko institūciju veikto zinātnisko darbību un tajā iesaistītajām personām;</w:t>
      </w:r>
    </w:p>
    <w:p w:rsidR="00877C12" w:rsidRPr="00003013" w:rsidP="00003013" w14:paraId="22F27F60" w14:textId="77777777">
      <w:pPr>
        <w:pStyle w:val="ListParagraph"/>
        <w:numPr>
          <w:ilvl w:val="0"/>
          <w:numId w:val="60"/>
        </w:numPr>
        <w:tabs>
          <w:tab w:val="left" w:pos="1770"/>
        </w:tabs>
        <w:spacing w:before="0" w:after="20"/>
        <w:ind w:left="709" w:hanging="283"/>
        <w:contextualSpacing w:val="0"/>
        <w:rPr>
          <w:rFonts w:ascii="Candara" w:hAnsi="Candara"/>
          <w:sz w:val="22"/>
          <w:szCs w:val="22"/>
          <w:lang w:eastAsia="lv-LV"/>
        </w:rPr>
      </w:pPr>
      <w:r>
        <w:rPr>
          <w:rFonts w:ascii="Candara" w:hAnsi="Candara"/>
          <w:sz w:val="22"/>
          <w:szCs w:val="22"/>
          <w:lang w:eastAsia="lv-LV"/>
        </w:rPr>
        <w:t>Izstrādāts un pieņemts jauns Publisko iepirkumu likums, kas tostarp paredz atvieglotāku kārtību P&amp;A projektu vērtēšanai, piesaistot ārvalstu ekspertus, tādējādi sekmējot starptautiskiem standartiem atbilstošu procedūru ieviešanu P&amp;A projektu atlasē;</w:t>
      </w:r>
    </w:p>
    <w:p w:rsidR="005B6B25" w:rsidP="00214364" w14:paraId="4C0D38FA" w14:textId="77777777">
      <w:pPr>
        <w:pStyle w:val="ListParagraph"/>
        <w:numPr>
          <w:ilvl w:val="0"/>
          <w:numId w:val="60"/>
        </w:numPr>
        <w:tabs>
          <w:tab w:val="left" w:pos="1770"/>
        </w:tabs>
        <w:spacing w:before="0" w:after="20"/>
        <w:ind w:left="709" w:hanging="283"/>
        <w:contextualSpacing w:val="0"/>
        <w:rPr>
          <w:rFonts w:ascii="Candara" w:hAnsi="Candara"/>
          <w:sz w:val="22"/>
          <w:szCs w:val="22"/>
          <w:lang w:eastAsia="lv-LV"/>
        </w:rPr>
      </w:pPr>
      <w:r>
        <w:rPr>
          <w:rFonts w:ascii="Candara" w:hAnsi="Candara"/>
          <w:sz w:val="22"/>
          <w:szCs w:val="22"/>
          <w:lang w:eastAsia="lv-LV"/>
        </w:rPr>
        <w:t>2017.gada 17.</w:t>
      </w:r>
      <w:r w:rsidR="00CD5A19">
        <w:rPr>
          <w:rFonts w:ascii="Candara" w:hAnsi="Candara"/>
          <w:sz w:val="22"/>
          <w:szCs w:val="22"/>
          <w:lang w:eastAsia="lv-LV"/>
        </w:rPr>
        <w:t xml:space="preserve">janvārī </w:t>
      </w:r>
      <w:r>
        <w:rPr>
          <w:rFonts w:ascii="Candara" w:hAnsi="Candara"/>
          <w:sz w:val="22"/>
          <w:szCs w:val="22"/>
          <w:lang w:eastAsia="lv-LV"/>
        </w:rPr>
        <w:t>apstiprināti jaunuzņēmumu darbību regulējošie MK noteikumi</w:t>
      </w:r>
      <w:r>
        <w:rPr>
          <w:rFonts w:ascii="Candara" w:hAnsi="Candara"/>
          <w:sz w:val="22"/>
          <w:szCs w:val="22"/>
          <w:lang w:eastAsia="lv-LV"/>
        </w:rPr>
        <w:t xml:space="preserve"> Nr.</w:t>
      </w:r>
      <w:r w:rsidR="00CD5A19">
        <w:rPr>
          <w:rFonts w:ascii="Candara" w:hAnsi="Candara"/>
          <w:sz w:val="22"/>
          <w:szCs w:val="22"/>
          <w:lang w:eastAsia="lv-LV"/>
        </w:rPr>
        <w:t>30 “Jaunuzņēmumu darbības vērtēšanas komisijas nolikums”</w:t>
      </w:r>
      <w:r>
        <w:rPr>
          <w:rFonts w:ascii="Candara" w:hAnsi="Candara"/>
          <w:sz w:val="22"/>
          <w:szCs w:val="22"/>
          <w:lang w:eastAsia="lv-LV"/>
        </w:rPr>
        <w:t xml:space="preserve">, kas nosaka jaunuzņēmumu darbības vērtēšanas komisijas nolikuma kārtību, kā arī </w:t>
      </w:r>
      <w:r>
        <w:rPr>
          <w:rFonts w:ascii="Candara" w:hAnsi="Candara"/>
          <w:sz w:val="22"/>
          <w:szCs w:val="22"/>
          <w:lang w:eastAsia="lv-LV"/>
        </w:rPr>
        <w:t>2017.gada 7.</w:t>
      </w:r>
      <w:r w:rsidR="00CD5A19">
        <w:rPr>
          <w:rFonts w:ascii="Candara" w:hAnsi="Candara"/>
          <w:sz w:val="22"/>
          <w:szCs w:val="22"/>
          <w:lang w:eastAsia="lv-LV"/>
        </w:rPr>
        <w:t xml:space="preserve">februārī apstiprināti MK noteikumi </w:t>
      </w:r>
      <w:r>
        <w:rPr>
          <w:rFonts w:ascii="Candara" w:hAnsi="Candara"/>
          <w:sz w:val="22"/>
          <w:szCs w:val="22"/>
          <w:lang w:eastAsia="lv-LV"/>
        </w:rPr>
        <w:t>Nr.</w:t>
      </w:r>
      <w:r w:rsidR="00CD5A19">
        <w:rPr>
          <w:rFonts w:ascii="Candara" w:hAnsi="Candara"/>
          <w:sz w:val="22"/>
          <w:szCs w:val="22"/>
          <w:lang w:eastAsia="lv-LV"/>
        </w:rPr>
        <w:t>74 “Jaunuzņēmumu atbalsta programmu pieteikšanas un administrēšanas kārtība”</w:t>
      </w:r>
      <w:r w:rsidR="00877C12">
        <w:rPr>
          <w:rFonts w:ascii="Candara" w:hAnsi="Candara"/>
          <w:sz w:val="22"/>
          <w:szCs w:val="22"/>
          <w:lang w:eastAsia="lv-LV"/>
        </w:rPr>
        <w:t>.</w:t>
      </w:r>
    </w:p>
    <w:p w:rsidR="005B6B25" w:rsidRPr="003C0ABB" w:rsidP="00C44794" w14:paraId="324FA404" w14:textId="77777777">
      <w:pPr>
        <w:tabs>
          <w:tab w:val="left" w:pos="720"/>
          <w:tab w:val="left" w:pos="1770"/>
        </w:tabs>
        <w:spacing w:after="20" w:line="240" w:lineRule="auto"/>
        <w:jc w:val="both"/>
        <w:rPr>
          <w:rFonts w:ascii="Candara" w:eastAsia="Times New Roman" w:hAnsi="Candara"/>
          <w:sz w:val="2"/>
          <w:lang w:eastAsia="lv-LV"/>
        </w:rPr>
      </w:pPr>
    </w:p>
    <w:p w:rsidR="00EF0856" w:rsidRPr="00214364" w:rsidP="00214364" w14:paraId="3453F516" w14:textId="77777777">
      <w:pPr>
        <w:spacing w:after="0" w:line="240" w:lineRule="auto"/>
        <w:ind w:firstLine="426"/>
        <w:jc w:val="both"/>
        <w:rPr>
          <w:rFonts w:ascii="Candara" w:hAnsi="Candara"/>
          <w:lang w:eastAsia="lv-LV"/>
        </w:rPr>
      </w:pPr>
      <w:r w:rsidRPr="00214364">
        <w:rPr>
          <w:rFonts w:ascii="Candara" w:eastAsia="Times New Roman" w:hAnsi="Candara"/>
          <w:lang w:eastAsia="lv-LV"/>
        </w:rPr>
        <w:t>RIS3 sekmīgākam monitoringam veikti būtiski datu vākšanas uzlabojumi:</w:t>
      </w:r>
      <w:r w:rsidRPr="00214364" w:rsidR="002E5808">
        <w:rPr>
          <w:rFonts w:ascii="Candara" w:eastAsia="Times New Roman" w:hAnsi="Candara"/>
          <w:lang w:eastAsia="lv-LV"/>
        </w:rPr>
        <w:t xml:space="preserve"> 1) </w:t>
      </w:r>
      <w:r w:rsidRPr="00214364">
        <w:rPr>
          <w:rFonts w:ascii="Candara" w:hAnsi="Candara"/>
          <w:lang w:eastAsia="lv-LV"/>
        </w:rPr>
        <w:t>CSP pētniecības un inovācijas apsekojuma datu paplašinājums, s</w:t>
      </w:r>
      <w:r w:rsidRPr="00214364">
        <w:rPr>
          <w:rFonts w:ascii="Candara" w:hAnsi="Candara"/>
          <w:lang w:eastAsia="lv-LV"/>
        </w:rPr>
        <w:t xml:space="preserve">ākot </w:t>
      </w:r>
      <w:r w:rsidRPr="00214364">
        <w:rPr>
          <w:rFonts w:ascii="Candara" w:hAnsi="Candara"/>
          <w:lang w:eastAsia="lv-LV"/>
        </w:rPr>
        <w:t>ar 2017.gadu;</w:t>
      </w:r>
      <w:r w:rsidRPr="00214364" w:rsidR="002E5808">
        <w:rPr>
          <w:rFonts w:ascii="Candara" w:hAnsi="Candara"/>
          <w:lang w:eastAsia="lv-LV"/>
        </w:rPr>
        <w:t xml:space="preserve"> 2) </w:t>
      </w:r>
      <w:r w:rsidR="00877C12">
        <w:rPr>
          <w:rFonts w:ascii="Candara" w:hAnsi="Candara"/>
          <w:lang w:eastAsia="lv-LV"/>
        </w:rPr>
        <w:t>z</w:t>
      </w:r>
      <w:r w:rsidRPr="00214364" w:rsidR="00877C12">
        <w:rPr>
          <w:rFonts w:ascii="Candara" w:hAnsi="Candara"/>
          <w:lang w:eastAsia="lv-LV"/>
        </w:rPr>
        <w:t xml:space="preserve">inātņu </w:t>
      </w:r>
      <w:r w:rsidRPr="00214364" w:rsidR="008934EF">
        <w:rPr>
          <w:rFonts w:ascii="Candara" w:hAnsi="Candara"/>
          <w:lang w:eastAsia="lv-LV"/>
        </w:rPr>
        <w:t>do</w:t>
      </w:r>
      <w:r w:rsidRPr="00214364">
        <w:rPr>
          <w:rFonts w:ascii="Candara" w:hAnsi="Candara"/>
          <w:lang w:eastAsia="lv-LV"/>
        </w:rPr>
        <w:t xml:space="preserve">ktoru </w:t>
      </w:r>
      <w:r w:rsidRPr="00214364" w:rsidR="008934EF">
        <w:rPr>
          <w:rFonts w:ascii="Candara" w:hAnsi="Candara"/>
          <w:lang w:eastAsia="lv-LV"/>
        </w:rPr>
        <w:t xml:space="preserve">tālākās </w:t>
      </w:r>
      <w:r w:rsidRPr="00214364">
        <w:rPr>
          <w:rFonts w:ascii="Candara" w:hAnsi="Candara"/>
          <w:lang w:eastAsia="lv-LV"/>
        </w:rPr>
        <w:t>karjeras apsekojums 2016.gadā;</w:t>
      </w:r>
      <w:r w:rsidRPr="00214364" w:rsidR="002E5808">
        <w:rPr>
          <w:rFonts w:ascii="Candara" w:hAnsi="Candara"/>
          <w:lang w:eastAsia="lv-LV"/>
        </w:rPr>
        <w:t xml:space="preserve"> 3) </w:t>
      </w:r>
      <w:r w:rsidRPr="00214364">
        <w:rPr>
          <w:rFonts w:ascii="Candara" w:hAnsi="Candara"/>
          <w:lang w:eastAsia="lv-LV"/>
        </w:rPr>
        <w:t>Nacionālās zinātniskās darbības sistēmas un studentu un absolventu reģistra izveide.</w:t>
      </w:r>
    </w:p>
    <w:p w:rsidR="003718AF" w:rsidRPr="00214364" w:rsidP="00214364" w14:paraId="13EE1959" w14:textId="2466AE9A">
      <w:pPr>
        <w:spacing w:after="0" w:line="240" w:lineRule="auto"/>
        <w:ind w:firstLine="426"/>
        <w:jc w:val="both"/>
        <w:rPr>
          <w:rFonts w:ascii="Candara" w:eastAsia="Times New Roman" w:hAnsi="Candara"/>
          <w:lang w:eastAsia="lv-LV"/>
        </w:rPr>
      </w:pPr>
      <w:r w:rsidRPr="00214364">
        <w:rPr>
          <w:rFonts w:ascii="Candara" w:eastAsia="Times New Roman" w:hAnsi="Candara"/>
          <w:lang w:eastAsia="lv-LV"/>
        </w:rPr>
        <w:t xml:space="preserve">Papildus īstenoti vairāki tematiskie izvērtējumi, kas sniegs informāciju RIS3 monitoringam un tālāko lēmumu pieņemšanai, t.sk. </w:t>
      </w:r>
      <w:r w:rsidRPr="00214364" w:rsidR="00914049">
        <w:rPr>
          <w:rFonts w:ascii="Candara" w:eastAsia="Times New Roman" w:hAnsi="Candara"/>
          <w:lang w:eastAsia="lv-LV"/>
        </w:rPr>
        <w:t>Starptautiskās Rekonstrukcijas un attīstības bankas (Pasaules Bankas) eksperti veic pētījumu Latvijas augstākās izglītības institūciju pārvaldības pilnveidei un augstākās izglītības modernizācijai,</w:t>
      </w:r>
      <w:r w:rsidR="00914049">
        <w:rPr>
          <w:rFonts w:ascii="Candara" w:eastAsia="Times New Roman" w:hAnsi="Candara"/>
          <w:lang w:eastAsia="lv-LV"/>
        </w:rPr>
        <w:t xml:space="preserve"> noslēdzies</w:t>
      </w:r>
      <w:r w:rsidRPr="00214364" w:rsidR="00914049">
        <w:rPr>
          <w:rFonts w:ascii="Candara" w:eastAsia="Times New Roman" w:hAnsi="Candara"/>
          <w:lang w:eastAsia="lv-LV"/>
        </w:rPr>
        <w:t xml:space="preserve"> </w:t>
      </w:r>
      <w:r w:rsidRPr="00214364">
        <w:rPr>
          <w:rFonts w:ascii="Candara" w:eastAsia="Times New Roman" w:hAnsi="Candara"/>
          <w:lang w:eastAsia="lv-LV"/>
        </w:rPr>
        <w:t xml:space="preserve">ES fondu plānošanas perioda 2007.-2013.gadam ieguldījumu P&amp;I </w:t>
      </w:r>
      <w:r w:rsidRPr="00214364">
        <w:rPr>
          <w:rFonts w:ascii="Candara" w:eastAsia="Times New Roman" w:hAnsi="Candara"/>
          <w:i/>
          <w:lang w:eastAsia="lv-LV"/>
        </w:rPr>
        <w:t>ex-post</w:t>
      </w:r>
      <w:r w:rsidRPr="00214364">
        <w:rPr>
          <w:rFonts w:ascii="Candara" w:eastAsia="Times New Roman" w:hAnsi="Candara"/>
          <w:lang w:eastAsia="lv-LV"/>
        </w:rPr>
        <w:t xml:space="preserve"> izvērtējums, augstākās izglītības institūciju ES valodu un kopīgo doktorantūras programmu izvērtējums, kā arī Latvijas zinātnes finansēšanas sistēmas efektivitātes izvērtējums, ko veic</w:t>
      </w:r>
      <w:r w:rsidR="00914049">
        <w:rPr>
          <w:rFonts w:ascii="Candara" w:eastAsia="Times New Roman" w:hAnsi="Candara"/>
          <w:lang w:eastAsia="lv-LV"/>
        </w:rPr>
        <w:t>a</w:t>
      </w:r>
      <w:r w:rsidR="00B554AC">
        <w:rPr>
          <w:rFonts w:ascii="Candara" w:eastAsia="Times New Roman" w:hAnsi="Candara"/>
          <w:lang w:eastAsia="lv-LV"/>
        </w:rPr>
        <w:t xml:space="preserve"> Eiropas </w:t>
      </w:r>
      <w:r w:rsidR="00216077">
        <w:rPr>
          <w:rFonts w:ascii="Candara" w:eastAsia="Times New Roman" w:hAnsi="Candara"/>
          <w:lang w:eastAsia="lv-LV"/>
        </w:rPr>
        <w:t>Komisijas</w:t>
      </w:r>
      <w:r w:rsidRPr="00214364">
        <w:rPr>
          <w:rFonts w:ascii="Candara" w:eastAsia="Times New Roman" w:hAnsi="Candara"/>
          <w:lang w:eastAsia="lv-LV"/>
        </w:rPr>
        <w:t xml:space="preserve"> </w:t>
      </w:r>
      <w:r w:rsidRPr="003F7800" w:rsidR="00B554AC">
        <w:rPr>
          <w:rFonts w:ascii="Candara" w:eastAsia="Candara" w:hAnsi="Candara" w:cs="Candara"/>
          <w:i/>
        </w:rPr>
        <w:t>Horizo</w:t>
      </w:r>
      <w:r w:rsidR="00B554AC">
        <w:rPr>
          <w:rFonts w:ascii="Candara" w:eastAsia="Candara" w:hAnsi="Candara" w:cs="Candara"/>
          <w:i/>
        </w:rPr>
        <w:t xml:space="preserve">n 2020 Policy Support Facility </w:t>
      </w:r>
      <w:r w:rsidR="00877C12">
        <w:rPr>
          <w:rFonts w:ascii="Candara" w:eastAsia="Times New Roman" w:hAnsi="Candara"/>
          <w:lang w:eastAsia="lv-LV"/>
        </w:rPr>
        <w:t xml:space="preserve"> ekspertu grupa</w:t>
      </w:r>
      <w:r w:rsidRPr="00214364">
        <w:rPr>
          <w:rFonts w:ascii="Candara" w:eastAsia="Times New Roman" w:hAnsi="Candara"/>
          <w:lang w:eastAsia="lv-LV"/>
        </w:rPr>
        <w:t>.</w:t>
      </w:r>
    </w:p>
    <w:p w:rsidR="008934EF" w:rsidP="00214364" w14:paraId="304F2255" w14:textId="77777777">
      <w:pPr>
        <w:spacing w:after="0" w:line="240" w:lineRule="auto"/>
        <w:ind w:firstLine="426"/>
        <w:jc w:val="both"/>
        <w:rPr>
          <w:rFonts w:ascii="Candara" w:eastAsia="Times New Roman" w:hAnsi="Candara"/>
          <w:lang w:eastAsia="lv-LV"/>
        </w:rPr>
      </w:pPr>
      <w:r w:rsidRPr="00214364">
        <w:rPr>
          <w:rFonts w:ascii="Candara" w:eastAsia="Times New Roman" w:hAnsi="Candara"/>
          <w:lang w:eastAsia="lv-LV"/>
        </w:rPr>
        <w:t xml:space="preserve">Uzņēmējdarbības atklājuma princips ir iestrādāts visos RIS3 ieviešanas pasākumos. </w:t>
      </w:r>
      <w:r w:rsidRPr="00214364" w:rsidR="009D7FAD">
        <w:rPr>
          <w:rFonts w:ascii="Candara" w:eastAsia="Times New Roman" w:hAnsi="Candara"/>
          <w:lang w:eastAsia="lv-LV"/>
        </w:rPr>
        <w:t>Piemēram, a</w:t>
      </w:r>
      <w:r w:rsidRPr="00214364">
        <w:rPr>
          <w:rFonts w:ascii="Candara" w:eastAsia="Times New Roman" w:hAnsi="Candara"/>
          <w:lang w:eastAsia="lv-LV"/>
        </w:rPr>
        <w:t xml:space="preserve">ugstskolu, koledžu un zinātnisko institūciju attīstības stratēģiju izvērtēšanai IZM izstrādāja vērtēšanas kritēriju kopumu, kas ietvēra prasību pētniecības programmu, STEM studiju programmu piedāvājuma un attīstības stratēģiju izstrādāšanā iesaistīt saistīto nozaru asociācijas. Izvērtējot iesniegtās attīstības stratēģijas, </w:t>
      </w:r>
      <w:r w:rsidR="00405A8D">
        <w:rPr>
          <w:rFonts w:ascii="Candara" w:eastAsia="Times New Roman" w:hAnsi="Candara"/>
          <w:lang w:eastAsia="lv-LV"/>
        </w:rPr>
        <w:t xml:space="preserve">starpresoru </w:t>
      </w:r>
      <w:r w:rsidRPr="00214364">
        <w:rPr>
          <w:rFonts w:ascii="Candara" w:eastAsia="Times New Roman" w:hAnsi="Candara"/>
          <w:lang w:eastAsia="lv-LV"/>
        </w:rPr>
        <w:t xml:space="preserve">vērtēšanas komisija nepieciešamības gadījumā lūdz papildināt vai koriģēt institūciju </w:t>
      </w:r>
      <w:r w:rsidRPr="00214364">
        <w:rPr>
          <w:rFonts w:ascii="Candara" w:eastAsia="Times New Roman" w:hAnsi="Candara"/>
          <w:lang w:eastAsia="lv-LV"/>
        </w:rPr>
        <w:t>attīstības plānus un saskaņot tos ar saistīto nozaru pārstāvošajām</w:t>
      </w:r>
      <w:r w:rsidR="00405A8D">
        <w:rPr>
          <w:rFonts w:ascii="Candara" w:eastAsia="Times New Roman" w:hAnsi="Candara"/>
          <w:lang w:eastAsia="lv-LV"/>
        </w:rPr>
        <w:t xml:space="preserve"> profesionālajām</w:t>
      </w:r>
      <w:r w:rsidRPr="00214364">
        <w:rPr>
          <w:rFonts w:ascii="Candara" w:eastAsia="Times New Roman" w:hAnsi="Candara"/>
          <w:lang w:eastAsia="lv-LV"/>
        </w:rPr>
        <w:t xml:space="preserve"> asociācijām un organizācijām. Praktisko un pēcd</w:t>
      </w:r>
      <w:r w:rsidRPr="00214364" w:rsidR="008C75F3">
        <w:rPr>
          <w:rFonts w:ascii="Candara" w:eastAsia="Times New Roman" w:hAnsi="Candara"/>
          <w:lang w:eastAsia="lv-LV"/>
        </w:rPr>
        <w:t>oktorantūras pētījumu programmā</w:t>
      </w:r>
      <w:r w:rsidRPr="00214364">
        <w:rPr>
          <w:rFonts w:ascii="Candara" w:eastAsia="Times New Roman" w:hAnsi="Candara"/>
          <w:lang w:eastAsia="lv-LV"/>
        </w:rPr>
        <w:t xml:space="preserve"> </w:t>
      </w:r>
      <w:r w:rsidRPr="00214364" w:rsidR="009D7FAD">
        <w:rPr>
          <w:rFonts w:ascii="Candara" w:eastAsia="Times New Roman" w:hAnsi="Candara"/>
          <w:lang w:eastAsia="lv-LV"/>
        </w:rPr>
        <w:t>projektu iesniegumie</w:t>
      </w:r>
      <w:r w:rsidRPr="00214364">
        <w:rPr>
          <w:rFonts w:ascii="Candara" w:eastAsia="Times New Roman" w:hAnsi="Candara"/>
          <w:lang w:eastAsia="lv-LV"/>
        </w:rPr>
        <w:t xml:space="preserve">m </w:t>
      </w:r>
      <w:r w:rsidR="00405A8D">
        <w:rPr>
          <w:rFonts w:ascii="Candara" w:eastAsia="Times New Roman" w:hAnsi="Candara"/>
          <w:lang w:eastAsia="lv-LV"/>
        </w:rPr>
        <w:t>ir</w:t>
      </w:r>
      <w:r w:rsidRPr="00214364" w:rsidR="00405A8D">
        <w:rPr>
          <w:rFonts w:ascii="Candara" w:eastAsia="Times New Roman" w:hAnsi="Candara"/>
          <w:lang w:eastAsia="lv-LV"/>
        </w:rPr>
        <w:t xml:space="preserve"> </w:t>
      </w:r>
      <w:r w:rsidRPr="00214364" w:rsidR="008C75F3">
        <w:rPr>
          <w:rFonts w:ascii="Candara" w:eastAsia="Times New Roman" w:hAnsi="Candara"/>
          <w:lang w:eastAsia="lv-LV"/>
        </w:rPr>
        <w:t xml:space="preserve">prasība </w:t>
      </w:r>
      <w:r w:rsidRPr="00214364">
        <w:rPr>
          <w:rFonts w:ascii="Candara" w:eastAsia="Times New Roman" w:hAnsi="Candara"/>
          <w:lang w:eastAsia="lv-LV"/>
        </w:rPr>
        <w:t>pievieno</w:t>
      </w:r>
      <w:r w:rsidRPr="00214364" w:rsidR="008C75F3">
        <w:rPr>
          <w:rFonts w:ascii="Candara" w:eastAsia="Times New Roman" w:hAnsi="Candara"/>
          <w:lang w:eastAsia="lv-LV"/>
        </w:rPr>
        <w:t>t</w:t>
      </w:r>
      <w:r w:rsidRPr="00214364">
        <w:rPr>
          <w:rFonts w:ascii="Candara" w:eastAsia="Times New Roman" w:hAnsi="Candara"/>
          <w:lang w:eastAsia="lv-LV"/>
        </w:rPr>
        <w:t xml:space="preserve"> komersanta vai nozares asociācijas </w:t>
      </w:r>
      <w:r w:rsidRPr="00214364" w:rsidR="001563E4">
        <w:rPr>
          <w:rFonts w:ascii="Candara" w:eastAsia="Times New Roman" w:hAnsi="Candara"/>
          <w:lang w:eastAsia="lv-LV"/>
        </w:rPr>
        <w:t>atzinum</w:t>
      </w:r>
      <w:r w:rsidR="001563E4">
        <w:rPr>
          <w:rFonts w:ascii="Candara" w:eastAsia="Times New Roman" w:hAnsi="Candara"/>
          <w:lang w:eastAsia="lv-LV"/>
        </w:rPr>
        <w:t>u</w:t>
      </w:r>
      <w:r w:rsidRPr="00214364">
        <w:rPr>
          <w:rFonts w:ascii="Candara" w:eastAsia="Times New Roman" w:hAnsi="Candara"/>
          <w:lang w:eastAsia="lv-LV"/>
        </w:rPr>
        <w:t>, tādējādi nodrošinot pētījuma atbilstību nozares attīstības vajadzībām un informācijas apriti starp pētniecības organizācijām un</w:t>
      </w:r>
      <w:r w:rsidR="00865DDD">
        <w:rPr>
          <w:rFonts w:ascii="Candara" w:eastAsia="Times New Roman" w:hAnsi="Candara"/>
          <w:lang w:eastAsia="lv-LV"/>
        </w:rPr>
        <w:t xml:space="preserve"> atbilstošām</w:t>
      </w:r>
      <w:r w:rsidRPr="00214364">
        <w:rPr>
          <w:rFonts w:ascii="Candara" w:eastAsia="Times New Roman" w:hAnsi="Candara"/>
          <w:lang w:eastAsia="lv-LV"/>
        </w:rPr>
        <w:t xml:space="preserve"> nozarēm. </w:t>
      </w:r>
      <w:r w:rsidRPr="00214364" w:rsidR="004D12FE">
        <w:rPr>
          <w:rFonts w:ascii="Candara" w:eastAsia="Times New Roman" w:hAnsi="Candara"/>
          <w:lang w:eastAsia="lv-LV"/>
        </w:rPr>
        <w:t>Tiek vērtēts</w:t>
      </w:r>
      <w:r w:rsidRPr="00214364">
        <w:rPr>
          <w:rFonts w:ascii="Candara" w:eastAsia="Times New Roman" w:hAnsi="Candara"/>
          <w:lang w:eastAsia="lv-LV"/>
        </w:rPr>
        <w:t xml:space="preserve"> projektu ieguldījums RIS3 mērķu sasniegšanā vai </w:t>
      </w:r>
      <w:r w:rsidR="001563E4">
        <w:rPr>
          <w:rFonts w:ascii="Candara" w:eastAsia="Times New Roman" w:hAnsi="Candara"/>
          <w:lang w:eastAsia="lv-LV"/>
        </w:rPr>
        <w:t xml:space="preserve">specializācijas </w:t>
      </w:r>
      <w:r w:rsidRPr="00214364">
        <w:rPr>
          <w:rFonts w:ascii="Candara" w:eastAsia="Times New Roman" w:hAnsi="Candara"/>
          <w:lang w:eastAsia="lv-LV"/>
        </w:rPr>
        <w:t>jomu attīstībā.</w:t>
      </w:r>
      <w:r w:rsidR="00BB58A1">
        <w:rPr>
          <w:rFonts w:ascii="Candara" w:eastAsia="Times New Roman" w:hAnsi="Candara"/>
          <w:lang w:eastAsia="lv-LV"/>
        </w:rPr>
        <w:t xml:space="preserve"> Vienlaikus jaunu, potenciālu tautsaimniecības nozaru un to jomu identificēšana ir plānota gan esošo nozaru diskusiju platformu ietvaros, identificējot jaunas un potenciālas jomas esošo tautsaimniecības nozaru ietvaros, gan divpusējo tikšanos laikā ar strauji augošiem uzņēmumiem, kur iespējams identificēt jaunas, potenciālas tautsaimniecības nozares. </w:t>
      </w:r>
    </w:p>
    <w:p w:rsidR="00350536" w:rsidP="00214364" w14:paraId="66E4D6CA" w14:textId="12451241">
      <w:pPr>
        <w:ind w:firstLine="426"/>
        <w:jc w:val="both"/>
        <w:rPr>
          <w:rFonts w:ascii="Candara" w:eastAsia="Times New Roman" w:hAnsi="Candara" w:cstheme="majorBidi"/>
          <w:b/>
          <w:color w:val="FFFFFF" w:themeColor="background1"/>
          <w:sz w:val="32"/>
          <w:szCs w:val="32"/>
          <w:lang w:eastAsia="lv-LV"/>
        </w:rPr>
      </w:pPr>
      <w:r w:rsidRPr="00FB3AFD">
        <w:rPr>
          <w:rFonts w:ascii="Candara" w:eastAsia="Times New Roman" w:hAnsi="Candara"/>
          <w:lang w:eastAsia="lv-LV"/>
        </w:rPr>
        <w:t xml:space="preserve">Ziņojumā iekļauts pasākumu plāns </w:t>
      </w:r>
      <w:r w:rsidRPr="00FB3AFD" w:rsidR="00914049">
        <w:rPr>
          <w:rFonts w:ascii="Candara" w:eastAsia="Times New Roman" w:hAnsi="Candara"/>
          <w:lang w:eastAsia="lv-LV"/>
        </w:rPr>
        <w:t>201</w:t>
      </w:r>
      <w:r w:rsidR="00914049">
        <w:rPr>
          <w:rFonts w:ascii="Candara" w:eastAsia="Times New Roman" w:hAnsi="Candara"/>
          <w:lang w:eastAsia="lv-LV"/>
        </w:rPr>
        <w:t>8</w:t>
      </w:r>
      <w:r w:rsidRPr="00FB3AFD">
        <w:rPr>
          <w:rFonts w:ascii="Candara" w:eastAsia="Times New Roman" w:hAnsi="Candara"/>
          <w:lang w:eastAsia="lv-LV"/>
        </w:rPr>
        <w:t>.</w:t>
      </w:r>
      <w:r w:rsidR="00865DDD">
        <w:rPr>
          <w:rFonts w:ascii="Candara" w:eastAsia="Times New Roman" w:hAnsi="Candara"/>
          <w:lang w:eastAsia="lv-LV"/>
        </w:rPr>
        <w:t xml:space="preserve"> – </w:t>
      </w:r>
      <w:r w:rsidRPr="00FB3AFD">
        <w:rPr>
          <w:rFonts w:ascii="Candara" w:eastAsia="Times New Roman" w:hAnsi="Candara"/>
          <w:lang w:eastAsia="lv-LV"/>
        </w:rPr>
        <w:t xml:space="preserve">2020.gadam, </w:t>
      </w:r>
      <w:r w:rsidR="002E5808">
        <w:rPr>
          <w:rFonts w:ascii="Candara" w:eastAsia="Times New Roman" w:hAnsi="Candara"/>
          <w:lang w:eastAsia="lv-LV"/>
        </w:rPr>
        <w:t>ietverot</w:t>
      </w:r>
      <w:r w:rsidRPr="00FB3AFD">
        <w:rPr>
          <w:rFonts w:ascii="Candara" w:eastAsia="Times New Roman" w:hAnsi="Candara"/>
          <w:lang w:eastAsia="lv-LV"/>
        </w:rPr>
        <w:t xml:space="preserve"> gan ES fondu un va</w:t>
      </w:r>
      <w:r w:rsidR="002E5808">
        <w:rPr>
          <w:rFonts w:ascii="Candara" w:eastAsia="Times New Roman" w:hAnsi="Candara"/>
          <w:lang w:eastAsia="lv-LV"/>
        </w:rPr>
        <w:t>lsts budžeta finansētu programmu</w:t>
      </w:r>
      <w:r w:rsidRPr="00FB3AFD">
        <w:rPr>
          <w:rFonts w:ascii="Candara" w:eastAsia="Times New Roman" w:hAnsi="Candara"/>
          <w:lang w:eastAsia="lv-LV"/>
        </w:rPr>
        <w:t xml:space="preserve"> ieviešanas uzdevumus, gan nefinansiālas iniciatīvas un stimulus, kas vērsti uz RIS3 mērķu sasniegšanu. Pasākumi pēc to ietekmes iedalīti 6 virzienos</w:t>
      </w:r>
      <w:r w:rsidR="00975706">
        <w:rPr>
          <w:rFonts w:ascii="Candara" w:eastAsia="Times New Roman" w:hAnsi="Candara"/>
          <w:lang w:eastAsia="lv-LV"/>
        </w:rPr>
        <w:t xml:space="preserve">: 1) inovācijas veicināšana, 2) </w:t>
      </w:r>
      <w:r w:rsidRPr="00FB3AFD">
        <w:rPr>
          <w:rFonts w:ascii="Candara" w:eastAsia="Times New Roman" w:hAnsi="Candara"/>
          <w:lang w:eastAsia="lv-LV"/>
        </w:rPr>
        <w:t xml:space="preserve">konkurētspējas stiprināšana, </w:t>
      </w:r>
      <w:r w:rsidRPr="00345077">
        <w:rPr>
          <w:rFonts w:ascii="Candara" w:eastAsia="Times New Roman" w:hAnsi="Candara"/>
          <w:lang w:eastAsia="lv-LV"/>
        </w:rPr>
        <w:t>3) investīciju piesaiste,</w:t>
      </w:r>
      <w:r w:rsidRPr="00FB3AFD">
        <w:rPr>
          <w:rFonts w:ascii="Candara" w:eastAsia="Times New Roman" w:hAnsi="Candara"/>
          <w:lang w:eastAsia="lv-LV"/>
        </w:rPr>
        <w:t xml:space="preserve"> 4) eksporta veicināšana, 5) uzņēmējdarbības vides pilnveidošana un 6) </w:t>
      </w:r>
      <w:r w:rsidR="00851362">
        <w:rPr>
          <w:rFonts w:ascii="Candara" w:eastAsia="Times New Roman" w:hAnsi="Candara"/>
          <w:lang w:eastAsia="lv-LV"/>
        </w:rPr>
        <w:t xml:space="preserve">zināšanu bāzes un </w:t>
      </w:r>
      <w:r w:rsidRPr="00FB3AFD">
        <w:rPr>
          <w:rFonts w:ascii="Candara" w:eastAsia="Times New Roman" w:hAnsi="Candara"/>
          <w:lang w:eastAsia="lv-LV"/>
        </w:rPr>
        <w:t>cilvēkkapitāla attīstība.</w:t>
      </w:r>
      <w:r w:rsidR="00704024">
        <w:rPr>
          <w:rFonts w:ascii="Candara" w:eastAsia="Times New Roman" w:hAnsi="Candara"/>
          <w:lang w:eastAsia="lv-LV"/>
        </w:rPr>
        <w:t xml:space="preserve"> </w:t>
      </w:r>
      <w:r w:rsidRPr="00214364" w:rsidR="00975706">
        <w:rPr>
          <w:rFonts w:ascii="Candara" w:eastAsia="Times New Roman" w:hAnsi="Candara"/>
          <w:lang w:eastAsia="lv-LV"/>
        </w:rPr>
        <w:t xml:space="preserve">Tostarp, plānā ietvertie pasākumi paredz jaunus finansēšanas avotus </w:t>
      </w:r>
      <w:r w:rsidR="001563E4">
        <w:rPr>
          <w:rFonts w:ascii="Candara" w:eastAsia="Times New Roman" w:hAnsi="Candara"/>
          <w:lang w:eastAsia="lv-LV"/>
        </w:rPr>
        <w:t xml:space="preserve">un </w:t>
      </w:r>
      <w:r w:rsidRPr="00214364" w:rsidR="00975706">
        <w:rPr>
          <w:rFonts w:ascii="Candara" w:eastAsia="Times New Roman" w:hAnsi="Candara"/>
          <w:lang w:eastAsia="lv-LV"/>
        </w:rPr>
        <w:t xml:space="preserve">valsts pasūtījumu pētniecībai ekonomikas nozaru izaugsmes stimulēšanai, tematiskos uzsaukumus Bioekonomikas, Inovāciju un industrijas 4.0 jomās praktisko un </w:t>
      </w:r>
      <w:r w:rsidR="001563E4">
        <w:rPr>
          <w:rFonts w:ascii="Candara" w:eastAsia="Times New Roman" w:hAnsi="Candara"/>
          <w:lang w:eastAsia="lv-LV"/>
        </w:rPr>
        <w:t>pēc</w:t>
      </w:r>
      <w:r w:rsidRPr="00214364" w:rsidR="001563E4">
        <w:rPr>
          <w:rFonts w:ascii="Candara" w:eastAsia="Times New Roman" w:hAnsi="Candara"/>
          <w:lang w:eastAsia="lv-LV"/>
        </w:rPr>
        <w:t>dokt</w:t>
      </w:r>
      <w:r w:rsidR="001563E4">
        <w:rPr>
          <w:rFonts w:ascii="Candara" w:eastAsia="Times New Roman" w:hAnsi="Candara"/>
          <w:lang w:eastAsia="lv-LV"/>
        </w:rPr>
        <w:t>o</w:t>
      </w:r>
      <w:r w:rsidRPr="00214364" w:rsidR="001563E4">
        <w:rPr>
          <w:rFonts w:ascii="Candara" w:eastAsia="Times New Roman" w:hAnsi="Candara"/>
          <w:lang w:eastAsia="lv-LV"/>
        </w:rPr>
        <w:t xml:space="preserve">rantūras </w:t>
      </w:r>
      <w:r w:rsidRPr="00214364" w:rsidR="00975706">
        <w:rPr>
          <w:rFonts w:ascii="Candara" w:eastAsia="Times New Roman" w:hAnsi="Candara"/>
          <w:lang w:eastAsia="lv-LV"/>
        </w:rPr>
        <w:t>pētījumu programmās.</w:t>
      </w:r>
      <w:bookmarkStart w:id="10" w:name="_Toc484445187"/>
      <w:r>
        <w:rPr>
          <w:rFonts w:ascii="Candara" w:eastAsia="Times New Roman" w:hAnsi="Candara"/>
          <w:b/>
          <w:color w:val="FFFFFF" w:themeColor="background1"/>
          <w:lang w:eastAsia="lv-LV"/>
        </w:rPr>
        <w:br w:type="page"/>
      </w:r>
    </w:p>
    <w:p w:rsidR="00A74C87" w:rsidRPr="00F53018" w:rsidP="00A74C87" w14:paraId="74110142" w14:textId="77777777">
      <w:pPr>
        <w:pStyle w:val="Heading1"/>
        <w:shd w:val="clear" w:color="auto" w:fill="6D1D6A" w:themeFill="accent1" w:themeFillShade="BF"/>
        <w:rPr>
          <w:rFonts w:ascii="Candara" w:eastAsia="Times New Roman" w:hAnsi="Candara"/>
          <w:b/>
          <w:color w:val="FFFFFF" w:themeColor="background1"/>
          <w:lang w:eastAsia="lv-LV"/>
        </w:rPr>
      </w:pPr>
      <w:bookmarkStart w:id="11" w:name="_Toc256000003"/>
      <w:bookmarkStart w:id="12" w:name="_Toc256000019"/>
      <w:r>
        <w:rPr>
          <w:rFonts w:ascii="Candara" w:eastAsia="Times New Roman" w:hAnsi="Candara"/>
          <w:b/>
          <w:color w:val="FFFFFF" w:themeColor="background1"/>
          <w:lang w:eastAsia="lv-LV"/>
        </w:rPr>
        <w:t xml:space="preserve">1. </w:t>
      </w:r>
      <w:r w:rsidRPr="00F53018">
        <w:rPr>
          <w:rFonts w:ascii="Candara" w:eastAsia="Times New Roman" w:hAnsi="Candara"/>
          <w:b/>
          <w:color w:val="FFFFFF" w:themeColor="background1"/>
          <w:lang w:eastAsia="lv-LV"/>
        </w:rPr>
        <w:t>RIS3 UN POLITIKAS PLĀNOŠANAS DOKUMENTI</w:t>
      </w:r>
      <w:bookmarkEnd w:id="12"/>
      <w:bookmarkEnd w:id="11"/>
      <w:bookmarkEnd w:id="10"/>
    </w:p>
    <w:p w:rsidR="00A74C87" w:rsidRPr="00F53018" w:rsidP="00A74C87" w14:paraId="4B6A472C" w14:textId="77777777">
      <w:pPr>
        <w:spacing w:after="0" w:line="240" w:lineRule="auto"/>
        <w:outlineLvl w:val="3"/>
        <w:rPr>
          <w:rFonts w:ascii="Candara" w:eastAsia="Times New Roman" w:hAnsi="Candara" w:cs="Times New Roman"/>
          <w:bCs/>
          <w:sz w:val="6"/>
          <w:lang w:eastAsia="lv-LV"/>
        </w:rPr>
      </w:pPr>
    </w:p>
    <w:p w:rsidR="00A74C87" w:rsidP="00A74C87" w14:paraId="4739491D" w14:textId="53AA2CEC">
      <w:pPr>
        <w:spacing w:before="100" w:beforeAutospacing="1" w:after="100" w:afterAutospacing="1" w:line="240" w:lineRule="auto"/>
        <w:outlineLvl w:val="3"/>
        <w:rPr>
          <w:rFonts w:ascii="Candara" w:eastAsia="Times New Roman" w:hAnsi="Candara" w:cs="Times New Roman"/>
          <w:bCs/>
          <w:lang w:eastAsia="lv-LV"/>
        </w:rPr>
      </w:pPr>
      <w:r w:rsidRPr="00E84C10">
        <w:rPr>
          <w:rFonts w:ascii="Candara" w:eastAsia="Times New Roman" w:hAnsi="Candara" w:cs="Times New Roman"/>
          <w:bCs/>
          <w:noProof/>
          <w:lang w:eastAsia="lv-LV"/>
        </w:rPr>
        <mc:AlternateContent>
          <mc:Choice Requires="wps">
            <w:drawing>
              <wp:anchor distT="45720" distB="45720" distL="114300" distR="114300" simplePos="0" relativeHeight="251726848" behindDoc="0" locked="0" layoutInCell="1" allowOverlap="1">
                <wp:simplePos x="0" y="0"/>
                <wp:positionH relativeFrom="column">
                  <wp:posOffset>3089910</wp:posOffset>
                </wp:positionH>
                <wp:positionV relativeFrom="paragraph">
                  <wp:posOffset>22860</wp:posOffset>
                </wp:positionV>
                <wp:extent cx="3028950" cy="1285875"/>
                <wp:effectExtent l="0" t="0" r="0" b="9525"/>
                <wp:wrapNone/>
                <wp:docPr id="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28950" cy="128587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rsidR="00B55C40" w:rsidP="00A74C87" w14:textId="77777777">
                            <w:pPr>
                              <w:spacing w:after="0" w:line="240" w:lineRule="auto"/>
                              <w:ind w:left="-113" w:right="-113"/>
                              <w:jc w:val="center"/>
                              <w:outlineLvl w:val="3"/>
                              <w:rPr>
                                <w:rFonts w:ascii="Candara" w:eastAsia="Times New Roman" w:hAnsi="Candara" w:cs="Times New Roman"/>
                                <w:b/>
                                <w:bCs/>
                                <w:lang w:eastAsia="lv-LV"/>
                              </w:rPr>
                            </w:pPr>
                            <w:r>
                              <w:rPr>
                                <w:noProof/>
                                <w:lang w:eastAsia="lv-LV"/>
                              </w:rPr>
                              <w:drawing>
                                <wp:inline distT="0" distB="0" distL="0" distR="0">
                                  <wp:extent cx="1050811" cy="324000"/>
                                  <wp:effectExtent l="0" t="0" r="0" b="0"/>
                                  <wp:docPr id="1784806234" name="Picture 25" descr="https://www.em.gov.lv/resources/web/gallery/620x350/eu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8881" name="Picture 3" descr="https://www.em.gov.lv/resources/web/gallery/620x350/eu20200.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0811" cy="324000"/>
                                          </a:xfrm>
                                          <a:prstGeom prst="rect">
                                            <a:avLst/>
                                          </a:prstGeom>
                                          <a:noFill/>
                                          <a:ln>
                                            <a:noFill/>
                                          </a:ln>
                                        </pic:spPr>
                                      </pic:pic>
                                    </a:graphicData>
                                  </a:graphic>
                                </wp:inline>
                              </w:drawing>
                            </w:r>
                          </w:p>
                          <w:p w:rsidR="00B55C40" w:rsidRPr="003C209F" w:rsidP="00A74C87" w14:textId="77777777">
                            <w:pPr>
                              <w:spacing w:after="0" w:line="216" w:lineRule="auto"/>
                              <w:ind w:left="-113" w:right="-113"/>
                              <w:jc w:val="center"/>
                              <w:outlineLvl w:val="3"/>
                              <w:rPr>
                                <w:rFonts w:ascii="Candara" w:eastAsia="Times New Roman" w:hAnsi="Candara" w:cs="Times New Roman"/>
                                <w:b/>
                                <w:bCs/>
                                <w:sz w:val="20"/>
                                <w:szCs w:val="20"/>
                                <w:lang w:eastAsia="lv-LV"/>
                              </w:rPr>
                            </w:pPr>
                            <w:r w:rsidRPr="003C209F">
                              <w:rPr>
                                <w:rFonts w:ascii="Candara" w:eastAsia="Times New Roman" w:hAnsi="Candara" w:cs="Times New Roman"/>
                                <w:b/>
                                <w:bCs/>
                                <w:sz w:val="20"/>
                                <w:szCs w:val="20"/>
                                <w:lang w:eastAsia="lv-LV"/>
                              </w:rPr>
                              <w:t>Latvijas nacionālā reformu programma „Eiropa 2020” stratēģijas īstenošanai</w:t>
                            </w:r>
                          </w:p>
                          <w:p w:rsidR="00B55C40" w:rsidRPr="003C209F" w:rsidP="00A74C87" w14:textId="77777777">
                            <w:pPr>
                              <w:spacing w:after="0" w:line="240" w:lineRule="auto"/>
                              <w:ind w:left="-113" w:right="-113"/>
                              <w:jc w:val="center"/>
                              <w:outlineLvl w:val="3"/>
                              <w:rPr>
                                <w:sz w:val="16"/>
                                <w:szCs w:val="16"/>
                              </w:rPr>
                            </w:pPr>
                            <w:r w:rsidRPr="003C209F">
                              <w:rPr>
                                <w:rFonts w:ascii="Candara" w:eastAsia="Times New Roman" w:hAnsi="Candara" w:cs="Times New Roman"/>
                                <w:bCs/>
                                <w:spacing w:val="-8"/>
                                <w:sz w:val="16"/>
                                <w:szCs w:val="16"/>
                                <w:lang w:eastAsia="lv-LV"/>
                              </w:rPr>
                              <w:t>„Eiropa 2020” stratēģijas mērķis - veicināt izaugsmi un nodarbinātību ES kopumā un katrā dalībvalstī atsevišķi. Stratēģijai ir trīs galvenās prioritātes - gudra, ilgtspējīga un iekļaujoša izaugsme. Lai sasniegtu prioritātes stratēģij</w:t>
                            </w:r>
                            <w:r>
                              <w:rPr>
                                <w:rFonts w:ascii="Candara" w:eastAsia="Times New Roman" w:hAnsi="Candara" w:cs="Times New Roman"/>
                                <w:bCs/>
                                <w:spacing w:val="-8"/>
                                <w:sz w:val="16"/>
                                <w:szCs w:val="16"/>
                                <w:lang w:eastAsia="lv-LV"/>
                              </w:rPr>
                              <w:t xml:space="preserve">ā </w:t>
                            </w:r>
                            <w:r w:rsidRPr="003C209F">
                              <w:rPr>
                                <w:rFonts w:ascii="Candara" w:eastAsia="Times New Roman" w:hAnsi="Candara" w:cs="Times New Roman"/>
                                <w:bCs/>
                                <w:spacing w:val="-8"/>
                                <w:sz w:val="16"/>
                                <w:szCs w:val="16"/>
                                <w:lang w:eastAsia="lv-LV"/>
                              </w:rPr>
                              <w:t xml:space="preserve">ir 5 kvantitatīvie mērķi, </w:t>
                            </w:r>
                            <w:r>
                              <w:rPr>
                                <w:rFonts w:ascii="Candara" w:eastAsia="Times New Roman" w:hAnsi="Candara" w:cs="Times New Roman"/>
                                <w:bCs/>
                                <w:spacing w:val="-8"/>
                                <w:sz w:val="16"/>
                                <w:szCs w:val="16"/>
                                <w:lang w:eastAsia="lv-LV"/>
                              </w:rPr>
                              <w:t>t.sk. nodarbinātības, pētniecības un inovācijas</w:t>
                            </w:r>
                            <w:r w:rsidRPr="003C209F">
                              <w:rPr>
                                <w:rFonts w:ascii="Candara" w:eastAsia="Times New Roman" w:hAnsi="Candara" w:cs="Times New Roman"/>
                                <w:bCs/>
                                <w:spacing w:val="-8"/>
                                <w:sz w:val="16"/>
                                <w:szCs w:val="16"/>
                                <w:lang w:eastAsia="lv-LV"/>
                              </w:rPr>
                              <w:t xml:space="preserve">, </w:t>
                            </w:r>
                            <w:r>
                              <w:rPr>
                                <w:rFonts w:ascii="Candara" w:eastAsia="Times New Roman" w:hAnsi="Candara" w:cs="Times New Roman"/>
                                <w:bCs/>
                                <w:spacing w:val="-8"/>
                                <w:sz w:val="16"/>
                                <w:szCs w:val="16"/>
                                <w:lang w:eastAsia="lv-LV"/>
                              </w:rPr>
                              <w:t xml:space="preserve">kā arī </w:t>
                            </w:r>
                            <w:r w:rsidRPr="003C209F">
                              <w:rPr>
                                <w:rFonts w:ascii="Candara" w:eastAsia="Times New Roman" w:hAnsi="Candara" w:cs="Times New Roman"/>
                                <w:bCs/>
                                <w:spacing w:val="-8"/>
                                <w:sz w:val="16"/>
                                <w:szCs w:val="16"/>
                                <w:lang w:eastAsia="lv-LV"/>
                              </w:rPr>
                              <w:t xml:space="preserve">izglītības politikas </w:t>
                            </w:r>
                            <w:r>
                              <w:rPr>
                                <w:rFonts w:ascii="Candara" w:eastAsia="Times New Roman" w:hAnsi="Candara" w:cs="Times New Roman"/>
                                <w:bCs/>
                                <w:spacing w:val="-8"/>
                                <w:sz w:val="16"/>
                                <w:szCs w:val="16"/>
                                <w:lang w:eastAsia="lv-LV"/>
                              </w:rPr>
                              <w:t>jomā</w:t>
                            </w:r>
                            <w:r w:rsidRPr="003C209F">
                              <w:rPr>
                                <w:rFonts w:ascii="Candara" w:eastAsia="Times New Roman" w:hAnsi="Candara" w:cs="Times New Roman"/>
                                <w:bCs/>
                                <w:spacing w:val="-8"/>
                                <w:sz w:val="16"/>
                                <w:szCs w:val="16"/>
                                <w:lang w:eastAsia="lv-LV"/>
                              </w:rPr>
                              <w: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238.5pt;height:101.25pt;margin-top:1.8pt;margin-left:243.3pt;mso-height-percent:0;mso-height-relative:margin;mso-width-percent:0;mso-width-relative:margin;mso-wrap-distance-bottom:3.6pt;mso-wrap-distance-left:9pt;mso-wrap-distance-right:9pt;mso-wrap-distance-top:3.6pt;mso-wrap-style:square;position:absolute;visibility:visible;v-text-anchor:top;z-index:251727872" fillcolor="#755dd9" stroked="f">
                <v:textbox>
                  <w:txbxContent>
                    <w:p w:rsidR="00B55C40" w:rsidP="00A74C87" w14:paraId="38095E3C" w14:textId="77777777">
                      <w:pPr>
                        <w:spacing w:after="0" w:line="240" w:lineRule="auto"/>
                        <w:ind w:left="-113" w:right="-113"/>
                        <w:jc w:val="center"/>
                        <w:outlineLvl w:val="3"/>
                        <w:rPr>
                          <w:rFonts w:ascii="Candara" w:eastAsia="Times New Roman" w:hAnsi="Candara" w:cs="Times New Roman"/>
                          <w:b/>
                          <w:bCs/>
                          <w:lang w:eastAsia="lv-LV"/>
                        </w:rPr>
                      </w:pPr>
                      <w:drawing>
                        <wp:inline distT="0" distB="0" distL="0" distR="0">
                          <wp:extent cx="1050811" cy="324000"/>
                          <wp:effectExtent l="0" t="0" r="0" b="0"/>
                          <wp:docPr id="25" name="Picture 25" descr="https://www.em.gov.lv/resources/web/gallery/620x350/eu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69750" name="Picture 3" descr="https://www.em.gov.lv/resources/web/gallery/620x350/eu20200.jp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0811" cy="324000"/>
                                  </a:xfrm>
                                  <a:prstGeom prst="rect">
                                    <a:avLst/>
                                  </a:prstGeom>
                                  <a:noFill/>
                                  <a:ln>
                                    <a:noFill/>
                                  </a:ln>
                                </pic:spPr>
                              </pic:pic>
                            </a:graphicData>
                          </a:graphic>
                        </wp:inline>
                      </w:drawing>
                    </w:p>
                    <w:p w:rsidR="00B55C40" w:rsidRPr="003C209F" w:rsidP="00A74C87" w14:paraId="5A70EB21" w14:textId="77777777">
                      <w:pPr>
                        <w:spacing w:after="0" w:line="216" w:lineRule="auto"/>
                        <w:ind w:left="-113" w:right="-113"/>
                        <w:jc w:val="center"/>
                        <w:outlineLvl w:val="3"/>
                        <w:rPr>
                          <w:rFonts w:ascii="Candara" w:eastAsia="Times New Roman" w:hAnsi="Candara" w:cs="Times New Roman"/>
                          <w:b/>
                          <w:bCs/>
                          <w:sz w:val="20"/>
                          <w:szCs w:val="20"/>
                          <w:lang w:eastAsia="lv-LV"/>
                        </w:rPr>
                      </w:pPr>
                      <w:r w:rsidRPr="003C209F">
                        <w:rPr>
                          <w:rFonts w:ascii="Candara" w:eastAsia="Times New Roman" w:hAnsi="Candara" w:cs="Times New Roman"/>
                          <w:b/>
                          <w:bCs/>
                          <w:sz w:val="20"/>
                          <w:szCs w:val="20"/>
                          <w:lang w:eastAsia="lv-LV"/>
                        </w:rPr>
                        <w:t>Latvijas nacionālā reformu programma „Eiropa 2020” stratēģijas īstenošanai</w:t>
                      </w:r>
                    </w:p>
                    <w:p w:rsidR="00B55C40" w:rsidRPr="003C209F" w:rsidP="00A74C87" w14:paraId="38F927D5" w14:textId="77777777">
                      <w:pPr>
                        <w:spacing w:after="0" w:line="240" w:lineRule="auto"/>
                        <w:ind w:left="-113" w:right="-113"/>
                        <w:jc w:val="center"/>
                        <w:outlineLvl w:val="3"/>
                        <w:rPr>
                          <w:sz w:val="16"/>
                          <w:szCs w:val="16"/>
                        </w:rPr>
                      </w:pPr>
                      <w:r w:rsidRPr="003C209F">
                        <w:rPr>
                          <w:rFonts w:ascii="Candara" w:eastAsia="Times New Roman" w:hAnsi="Candara" w:cs="Times New Roman"/>
                          <w:bCs/>
                          <w:spacing w:val="-8"/>
                          <w:sz w:val="16"/>
                          <w:szCs w:val="16"/>
                          <w:lang w:eastAsia="lv-LV"/>
                        </w:rPr>
                        <w:t>„Eiropa 2020” stratēģijas mērķis - veicināt izaugsmi un nodarbinātību ES kopumā un katrā dalībvalstī atsevišķi. Stratēģijai ir trīs galvenās prioritātes - gudra, ilgtspējīga un iekļaujoša izaugsme. Lai sasniegtu prioritātes stratēģij</w:t>
                      </w:r>
                      <w:r>
                        <w:rPr>
                          <w:rFonts w:ascii="Candara" w:eastAsia="Times New Roman" w:hAnsi="Candara" w:cs="Times New Roman"/>
                          <w:bCs/>
                          <w:spacing w:val="-8"/>
                          <w:sz w:val="16"/>
                          <w:szCs w:val="16"/>
                          <w:lang w:eastAsia="lv-LV"/>
                        </w:rPr>
                        <w:t xml:space="preserve">ā </w:t>
                      </w:r>
                      <w:r w:rsidRPr="003C209F">
                        <w:rPr>
                          <w:rFonts w:ascii="Candara" w:eastAsia="Times New Roman" w:hAnsi="Candara" w:cs="Times New Roman"/>
                          <w:bCs/>
                          <w:spacing w:val="-8"/>
                          <w:sz w:val="16"/>
                          <w:szCs w:val="16"/>
                          <w:lang w:eastAsia="lv-LV"/>
                        </w:rPr>
                        <w:t xml:space="preserve">ir 5 kvantitatīvie mērķi, </w:t>
                      </w:r>
                      <w:r>
                        <w:rPr>
                          <w:rFonts w:ascii="Candara" w:eastAsia="Times New Roman" w:hAnsi="Candara" w:cs="Times New Roman"/>
                          <w:bCs/>
                          <w:spacing w:val="-8"/>
                          <w:sz w:val="16"/>
                          <w:szCs w:val="16"/>
                          <w:lang w:eastAsia="lv-LV"/>
                        </w:rPr>
                        <w:t>t.sk. nodarbinātības, pētniecības un inovācijas</w:t>
                      </w:r>
                      <w:r w:rsidRPr="003C209F">
                        <w:rPr>
                          <w:rFonts w:ascii="Candara" w:eastAsia="Times New Roman" w:hAnsi="Candara" w:cs="Times New Roman"/>
                          <w:bCs/>
                          <w:spacing w:val="-8"/>
                          <w:sz w:val="16"/>
                          <w:szCs w:val="16"/>
                          <w:lang w:eastAsia="lv-LV"/>
                        </w:rPr>
                        <w:t xml:space="preserve">, </w:t>
                      </w:r>
                      <w:r>
                        <w:rPr>
                          <w:rFonts w:ascii="Candara" w:eastAsia="Times New Roman" w:hAnsi="Candara" w:cs="Times New Roman"/>
                          <w:bCs/>
                          <w:spacing w:val="-8"/>
                          <w:sz w:val="16"/>
                          <w:szCs w:val="16"/>
                          <w:lang w:eastAsia="lv-LV"/>
                        </w:rPr>
                        <w:t xml:space="preserve">kā arī </w:t>
                      </w:r>
                      <w:r w:rsidRPr="003C209F">
                        <w:rPr>
                          <w:rFonts w:ascii="Candara" w:eastAsia="Times New Roman" w:hAnsi="Candara" w:cs="Times New Roman"/>
                          <w:bCs/>
                          <w:spacing w:val="-8"/>
                          <w:sz w:val="16"/>
                          <w:szCs w:val="16"/>
                          <w:lang w:eastAsia="lv-LV"/>
                        </w:rPr>
                        <w:t xml:space="preserve">izglītības politikas </w:t>
                      </w:r>
                      <w:r>
                        <w:rPr>
                          <w:rFonts w:ascii="Candara" w:eastAsia="Times New Roman" w:hAnsi="Candara" w:cs="Times New Roman"/>
                          <w:bCs/>
                          <w:spacing w:val="-8"/>
                          <w:sz w:val="16"/>
                          <w:szCs w:val="16"/>
                          <w:lang w:eastAsia="lv-LV"/>
                        </w:rPr>
                        <w:t>jomā</w:t>
                      </w:r>
                      <w:r w:rsidRPr="003C209F">
                        <w:rPr>
                          <w:rFonts w:ascii="Candara" w:eastAsia="Times New Roman" w:hAnsi="Candara" w:cs="Times New Roman"/>
                          <w:bCs/>
                          <w:spacing w:val="-8"/>
                          <w:sz w:val="16"/>
                          <w:szCs w:val="16"/>
                          <w:lang w:eastAsia="lv-LV"/>
                        </w:rPr>
                        <w:t>s.</w:t>
                      </w:r>
                    </w:p>
                  </w:txbxContent>
                </v:textbox>
              </v:shape>
            </w:pict>
          </mc:Fallback>
        </mc:AlternateContent>
      </w:r>
      <w:r w:rsidRPr="00E84C10" w:rsidR="00A74C87">
        <w:rPr>
          <w:rFonts w:ascii="Candara" w:eastAsia="Times New Roman" w:hAnsi="Candara" w:cs="Times New Roman"/>
          <w:bCs/>
          <w:noProof/>
          <w:lang w:eastAsia="lv-LV"/>
        </w:rPr>
        <mc:AlternateContent>
          <mc:Choice Requires="wps">
            <w:drawing>
              <wp:anchor distT="45720" distB="45720" distL="114300" distR="114300" simplePos="0" relativeHeight="251724800" behindDoc="0" locked="0" layoutInCell="1" allowOverlap="1">
                <wp:simplePos x="0" y="0"/>
                <wp:positionH relativeFrom="column">
                  <wp:posOffset>13335</wp:posOffset>
                </wp:positionH>
                <wp:positionV relativeFrom="paragraph">
                  <wp:posOffset>22860</wp:posOffset>
                </wp:positionV>
                <wp:extent cx="3034030" cy="1285875"/>
                <wp:effectExtent l="0" t="0" r="0" b="9525"/>
                <wp:wrapNone/>
                <wp:docPr id="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34030" cy="128587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rsidR="00B55C40" w:rsidP="00A74C87" w14:textId="77777777">
                            <w:pPr>
                              <w:spacing w:after="0" w:line="240" w:lineRule="auto"/>
                              <w:ind w:left="-113" w:right="-113"/>
                              <w:jc w:val="center"/>
                              <w:outlineLvl w:val="3"/>
                              <w:rPr>
                                <w:rFonts w:ascii="Candara" w:eastAsia="Times New Roman" w:hAnsi="Candara" w:cs="Times New Roman"/>
                                <w:b/>
                                <w:bCs/>
                                <w:lang w:eastAsia="lv-LV"/>
                              </w:rPr>
                            </w:pPr>
                            <w:r w:rsidRPr="00E84C10">
                              <w:rPr>
                                <w:rFonts w:ascii="Candara" w:hAnsi="Candara"/>
                                <w:noProof/>
                                <w:lang w:eastAsia="lv-LV"/>
                              </w:rPr>
                              <w:drawing>
                                <wp:inline distT="0" distB="0" distL="0" distR="0">
                                  <wp:extent cx="1315862" cy="432000"/>
                                  <wp:effectExtent l="0" t="0" r="0" b="6350"/>
                                  <wp:docPr id="751321486" name="Picture 4" descr="Att&amp;emacr;lu rezult&amp;amacr;ti vaic&amp;amacr;jumam “NAP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35416" name="Picture 1" descr="Att&amp;emacr;lu rezult&amp;amacr;ti vaic&amp;amacr;jumam “NAP 202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r="58145" b="34389"/>
                                          <a:stretch>
                                            <a:fillRect/>
                                          </a:stretch>
                                        </pic:blipFill>
                                        <pic:spPr bwMode="auto">
                                          <a:xfrm>
                                            <a:off x="0" y="0"/>
                                            <a:ext cx="1315862" cy="432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55C40" w:rsidRPr="003C209F" w:rsidP="00A74C87" w14:textId="77777777">
                            <w:pPr>
                              <w:spacing w:after="0" w:line="240" w:lineRule="auto"/>
                              <w:ind w:left="-113" w:right="-113"/>
                              <w:jc w:val="center"/>
                              <w:outlineLvl w:val="3"/>
                              <w:rPr>
                                <w:rFonts w:ascii="Candara" w:eastAsia="Times New Roman" w:hAnsi="Candara" w:cs="Times New Roman"/>
                                <w:b/>
                                <w:bCs/>
                                <w:sz w:val="20"/>
                                <w:szCs w:val="20"/>
                                <w:lang w:eastAsia="lv-LV"/>
                              </w:rPr>
                            </w:pPr>
                            <w:r w:rsidRPr="003C209F">
                              <w:rPr>
                                <w:rFonts w:ascii="Candara" w:eastAsia="Times New Roman" w:hAnsi="Candara" w:cs="Times New Roman"/>
                                <w:b/>
                                <w:bCs/>
                                <w:sz w:val="20"/>
                                <w:szCs w:val="20"/>
                                <w:lang w:eastAsia="lv-LV"/>
                              </w:rPr>
                              <w:t>Latvijas Nacionālais attīstības plāns 2014.-2020.</w:t>
                            </w:r>
                          </w:p>
                          <w:p w:rsidR="00B55C40" w:rsidRPr="003C209F" w:rsidP="00A74C87" w14:textId="77777777">
                            <w:pPr>
                              <w:spacing w:after="0" w:line="240" w:lineRule="auto"/>
                              <w:ind w:left="-113" w:right="-113"/>
                              <w:jc w:val="center"/>
                              <w:outlineLvl w:val="3"/>
                              <w:rPr>
                                <w:rFonts w:ascii="Candara" w:eastAsia="Times New Roman" w:hAnsi="Candara" w:cs="Times New Roman"/>
                                <w:bCs/>
                                <w:spacing w:val="-8"/>
                                <w:sz w:val="16"/>
                                <w:szCs w:val="16"/>
                                <w:lang w:eastAsia="lv-LV"/>
                              </w:rPr>
                            </w:pPr>
                            <w:r w:rsidRPr="003C209F">
                              <w:rPr>
                                <w:rFonts w:ascii="Candara" w:eastAsia="Times New Roman" w:hAnsi="Candara" w:cs="Times New Roman"/>
                                <w:bCs/>
                                <w:spacing w:val="-8"/>
                                <w:sz w:val="16"/>
                                <w:szCs w:val="16"/>
                                <w:lang w:eastAsia="lv-LV"/>
                              </w:rPr>
                              <w:t>Galvenais vidēja termiņa attīstības plānošanas dokuments Latvijā. NAP2020 ir sasaistīts ar valsts budžetu un elastīgs attiecībā uz izmaiņām valsts ekonomikā. No vienas puses NAP2020 ir precīzi definēts – sasniedzamie mērķi un to rādītāji ir nemainīgi, no otras – elastīgs – darbības, kā sasniegt šos mērķus var tikt pielāgotas atbilstoši efektīvākajam risinājumam.</w:t>
                            </w:r>
                          </w:p>
                          <w:p w:rsidR="00B55C40" w:rsidRPr="003C209F" w:rsidP="00A74C87" w14:textId="77777777">
                            <w:pPr>
                              <w:rPr>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238.9pt;height:101.25pt;margin-top:1.8pt;margin-left:1.05pt;mso-height-percent:0;mso-height-relative:margin;mso-width-percent:0;mso-width-relative:margin;mso-wrap-distance-bottom:3.6pt;mso-wrap-distance-left:9pt;mso-wrap-distance-right:9pt;mso-wrap-distance-top:3.6pt;mso-wrap-style:square;position:absolute;visibility:visible;v-text-anchor:top;z-index:251725824" fillcolor="#755dd9" stroked="f">
                <v:textbox>
                  <w:txbxContent>
                    <w:p w:rsidR="00B55C40" w:rsidP="00A74C87" w14:paraId="0D2B0307" w14:textId="77777777">
                      <w:pPr>
                        <w:spacing w:after="0" w:line="240" w:lineRule="auto"/>
                        <w:ind w:left="-113" w:right="-113"/>
                        <w:jc w:val="center"/>
                        <w:outlineLvl w:val="3"/>
                        <w:rPr>
                          <w:rFonts w:ascii="Candara" w:eastAsia="Times New Roman" w:hAnsi="Candara" w:cs="Times New Roman"/>
                          <w:b/>
                          <w:bCs/>
                          <w:lang w:eastAsia="lv-LV"/>
                        </w:rPr>
                      </w:pPr>
                      <w:drawing>
                        <wp:inline distT="0" distB="0" distL="0" distR="0">
                          <wp:extent cx="1315862" cy="432000"/>
                          <wp:effectExtent l="0" t="0" r="0" b="6350"/>
                          <wp:docPr id="4" name="Picture 4" descr="Att&amp;emacr;lu rezult&amp;amacr;ti vaic&amp;amacr;jumam “NAP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60498" name="Picture 1" descr="Att&amp;emacr;lu rezult&amp;amacr;ti vaic&amp;amacr;jumam “NAP 202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r="58145" b="34389"/>
                                  <a:stretch>
                                    <a:fillRect/>
                                  </a:stretch>
                                </pic:blipFill>
                                <pic:spPr bwMode="auto">
                                  <a:xfrm>
                                    <a:off x="0" y="0"/>
                                    <a:ext cx="1315862" cy="4320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B55C40" w:rsidRPr="003C209F" w:rsidP="00A74C87" w14:paraId="461FCA81" w14:textId="77777777">
                      <w:pPr>
                        <w:spacing w:after="0" w:line="240" w:lineRule="auto"/>
                        <w:ind w:left="-113" w:right="-113"/>
                        <w:jc w:val="center"/>
                        <w:outlineLvl w:val="3"/>
                        <w:rPr>
                          <w:rFonts w:ascii="Candara" w:eastAsia="Times New Roman" w:hAnsi="Candara" w:cs="Times New Roman"/>
                          <w:b/>
                          <w:bCs/>
                          <w:sz w:val="20"/>
                          <w:szCs w:val="20"/>
                          <w:lang w:eastAsia="lv-LV"/>
                        </w:rPr>
                      </w:pPr>
                      <w:r w:rsidRPr="003C209F">
                        <w:rPr>
                          <w:rFonts w:ascii="Candara" w:eastAsia="Times New Roman" w:hAnsi="Candara" w:cs="Times New Roman"/>
                          <w:b/>
                          <w:bCs/>
                          <w:sz w:val="20"/>
                          <w:szCs w:val="20"/>
                          <w:lang w:eastAsia="lv-LV"/>
                        </w:rPr>
                        <w:t>Latvijas Nacionālais attīstības plāns 2014.-2020.</w:t>
                      </w:r>
                    </w:p>
                    <w:p w:rsidR="00B55C40" w:rsidRPr="003C209F" w:rsidP="00A74C87" w14:paraId="4CA8A216" w14:textId="77777777">
                      <w:pPr>
                        <w:spacing w:after="0" w:line="240" w:lineRule="auto"/>
                        <w:ind w:left="-113" w:right="-113"/>
                        <w:jc w:val="center"/>
                        <w:outlineLvl w:val="3"/>
                        <w:rPr>
                          <w:rFonts w:ascii="Candara" w:eastAsia="Times New Roman" w:hAnsi="Candara" w:cs="Times New Roman"/>
                          <w:bCs/>
                          <w:spacing w:val="-8"/>
                          <w:sz w:val="16"/>
                          <w:szCs w:val="16"/>
                          <w:lang w:eastAsia="lv-LV"/>
                        </w:rPr>
                      </w:pPr>
                      <w:r w:rsidRPr="003C209F">
                        <w:rPr>
                          <w:rFonts w:ascii="Candara" w:eastAsia="Times New Roman" w:hAnsi="Candara" w:cs="Times New Roman"/>
                          <w:bCs/>
                          <w:spacing w:val="-8"/>
                          <w:sz w:val="16"/>
                          <w:szCs w:val="16"/>
                          <w:lang w:eastAsia="lv-LV"/>
                        </w:rPr>
                        <w:t>Galvenais vidēja termiņa attīstības plānošanas dokuments Latvijā. NAP2020 ir sasaistīts ar valsts budžetu un elastīgs attiecībā uz izmaiņām valsts ekonomikā. No vienas puses NAP2020 ir precīzi definēts – sasniedzamie mērķi un to rādītāji ir nemainīgi, no otras – elastīgs – darbības, kā sasniegt šos mērķus var tikt pielāgotas atbilstoši efektīvākajam risinājumam.</w:t>
                      </w:r>
                    </w:p>
                    <w:p w:rsidR="00B55C40" w:rsidRPr="003C209F" w:rsidP="00A74C87" w14:paraId="7C5EFD0E" w14:textId="77777777">
                      <w:pPr>
                        <w:rPr>
                          <w:sz w:val="16"/>
                          <w:szCs w:val="16"/>
                        </w:rPr>
                      </w:pPr>
                    </w:p>
                  </w:txbxContent>
                </v:textbox>
              </v:shape>
            </w:pict>
          </mc:Fallback>
        </mc:AlternateContent>
      </w:r>
    </w:p>
    <w:p w:rsidR="00A74C87" w:rsidP="00A74C87" w14:paraId="7BB6A71D" w14:textId="77777777">
      <w:pPr>
        <w:spacing w:before="100" w:beforeAutospacing="1" w:after="100" w:afterAutospacing="1" w:line="240" w:lineRule="auto"/>
        <w:outlineLvl w:val="3"/>
        <w:rPr>
          <w:rFonts w:ascii="Candara" w:eastAsia="Times New Roman" w:hAnsi="Candara" w:cs="Times New Roman"/>
          <w:bCs/>
          <w:lang w:eastAsia="lv-LV"/>
        </w:rPr>
      </w:pPr>
    </w:p>
    <w:p w:rsidR="00A74C87" w:rsidP="00A74C87" w14:paraId="2935EB9D" w14:textId="77777777">
      <w:pPr>
        <w:spacing w:before="100" w:beforeAutospacing="1" w:after="100" w:afterAutospacing="1" w:line="240" w:lineRule="auto"/>
        <w:outlineLvl w:val="3"/>
        <w:rPr>
          <w:rFonts w:ascii="Candara" w:eastAsia="Times New Roman" w:hAnsi="Candara" w:cs="Times New Roman"/>
          <w:bCs/>
          <w:lang w:eastAsia="lv-LV"/>
        </w:rPr>
      </w:pPr>
    </w:p>
    <w:p w:rsidR="00A74C87" w:rsidRPr="00E84C10" w:rsidP="00A74C87" w14:paraId="149CA50E" w14:textId="77777777">
      <w:pPr>
        <w:spacing w:before="100" w:beforeAutospacing="1" w:after="100" w:afterAutospacing="1" w:line="240" w:lineRule="auto"/>
        <w:outlineLvl w:val="3"/>
        <w:rPr>
          <w:rFonts w:ascii="Candara" w:eastAsia="Times New Roman" w:hAnsi="Candara" w:cs="Times New Roman"/>
          <w:bCs/>
          <w:lang w:eastAsia="lv-LV"/>
        </w:rPr>
      </w:pPr>
      <w:r w:rsidRPr="00E84C10">
        <w:rPr>
          <w:rFonts w:ascii="Candara" w:eastAsia="Times New Roman" w:hAnsi="Candara" w:cs="Times New Roman"/>
          <w:bCs/>
          <w:noProof/>
          <w:lang w:eastAsia="lv-LV"/>
        </w:rPr>
        <mc:AlternateContent>
          <mc:Choice Requires="wps">
            <w:drawing>
              <wp:anchor distT="45720" distB="45720" distL="114300" distR="114300" simplePos="0" relativeHeight="251728896" behindDoc="0" locked="0" layoutInCell="1" allowOverlap="1">
                <wp:simplePos x="0" y="0"/>
                <wp:positionH relativeFrom="column">
                  <wp:posOffset>31750</wp:posOffset>
                </wp:positionH>
                <wp:positionV relativeFrom="paragraph">
                  <wp:posOffset>137160</wp:posOffset>
                </wp:positionV>
                <wp:extent cx="6084000" cy="933450"/>
                <wp:effectExtent l="0" t="0" r="12065" b="19050"/>
                <wp:wrapNone/>
                <wp:docPr id="6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4000" cy="933450"/>
                        </a:xfrm>
                        <a:prstGeom prst="rect">
                          <a:avLst/>
                        </a:prstGeom>
                        <a:noFill/>
                        <a:ln w="9525">
                          <a:solidFill>
                            <a:schemeClr val="dk1"/>
                          </a:solidFill>
                          <a:round/>
                          <a:headEnd/>
                          <a:tailEnd/>
                        </a:ln>
                      </wps:spPr>
                      <wps:style>
                        <a:lnRef idx="0">
                          <a:scrgbClr r="0" g="0" b="0"/>
                        </a:lnRef>
                        <a:fillRef idx="0">
                          <a:scrgbClr r="0" g="0" b="0"/>
                        </a:fillRef>
                        <a:effectRef idx="0">
                          <a:scrgbClr r="0" g="0" b="0"/>
                        </a:effectRef>
                        <a:fontRef idx="minor">
                          <a:schemeClr val="dk1"/>
                        </a:fontRef>
                      </wps:style>
                      <wps:txbx>
                        <w:txbxContent>
                          <w:p w:rsidR="00B55C40" w:rsidRPr="00D21817" w:rsidP="00A74C87" w14:textId="77777777">
                            <w:pPr>
                              <w:spacing w:after="0" w:line="240" w:lineRule="auto"/>
                              <w:ind w:right="-113"/>
                              <w:outlineLvl w:val="3"/>
                              <w:rPr>
                                <w:rFonts w:ascii="Candara" w:eastAsia="Times New Roman" w:hAnsi="Candara" w:cs="Times New Roman"/>
                                <w:b/>
                                <w:bCs/>
                                <w:position w:val="2"/>
                                <w:sz w:val="20"/>
                                <w:szCs w:val="20"/>
                                <w:lang w:eastAsia="lv-LV"/>
                              </w:rPr>
                            </w:pPr>
                            <w:r>
                              <w:rPr>
                                <w:rFonts w:ascii="Candara" w:eastAsia="Times New Roman" w:hAnsi="Candara" w:cs="Times New Roman"/>
                                <w:bCs/>
                                <w:noProof/>
                                <w:lang w:eastAsia="lv-LV"/>
                              </w:rPr>
                              <w:drawing>
                                <wp:inline distT="0" distB="0" distL="0" distR="0">
                                  <wp:extent cx="259505" cy="288000"/>
                                  <wp:effectExtent l="0" t="0" r="7620" b="0"/>
                                  <wp:docPr id="13969172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24227" name="IZM.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59505" cy="288000"/>
                                          </a:xfrm>
                                          <a:prstGeom prst="rect">
                                            <a:avLst/>
                                          </a:prstGeom>
                                        </pic:spPr>
                                      </pic:pic>
                                    </a:graphicData>
                                  </a:graphic>
                                </wp:inline>
                              </w:drawing>
                            </w:r>
                            <w:r>
                              <w:rPr>
                                <w:rFonts w:ascii="Candara" w:eastAsia="Times New Roman" w:hAnsi="Candara" w:cs="Times New Roman"/>
                                <w:b/>
                                <w:bCs/>
                                <w:position w:val="2"/>
                                <w:sz w:val="20"/>
                                <w:szCs w:val="20"/>
                                <w:lang w:eastAsia="lv-LV"/>
                              </w:rPr>
                              <w:t xml:space="preserve"> </w:t>
                            </w:r>
                            <w:r w:rsidRPr="00D21817">
                              <w:rPr>
                                <w:rFonts w:ascii="Candara" w:eastAsia="Times New Roman" w:hAnsi="Candara" w:cs="Times New Roman"/>
                                <w:b/>
                                <w:bCs/>
                                <w:position w:val="2"/>
                                <w:sz w:val="20"/>
                                <w:szCs w:val="20"/>
                                <w:lang w:eastAsia="lv-LV"/>
                              </w:rPr>
                              <w:t>Zinātnes, tehnoloģijas attīstības un inovācijas pamatnostādnes 2014.-2020.</w:t>
                            </w:r>
                          </w:p>
                          <w:p w:rsidR="00B55C40" w:rsidP="00A74C87" w14:textId="77777777">
                            <w:r>
                              <w:rPr>
                                <w:rFonts w:ascii="Candara" w:eastAsia="Times New Roman" w:hAnsi="Candara" w:cs="Times New Roman"/>
                                <w:bCs/>
                                <w:spacing w:val="-8"/>
                                <w:sz w:val="16"/>
                                <w:lang w:eastAsia="lv-LV"/>
                              </w:rPr>
                              <w:t>Virsmērķis -</w:t>
                            </w:r>
                            <w:r w:rsidRPr="00EE493C">
                              <w:rPr>
                                <w:rFonts w:ascii="Candara" w:eastAsia="Times New Roman" w:hAnsi="Candara" w:cs="Times New Roman"/>
                                <w:bCs/>
                                <w:spacing w:val="-8"/>
                                <w:sz w:val="16"/>
                                <w:lang w:eastAsia="lv-LV"/>
                              </w:rPr>
                              <w:t xml:space="preserve">  zināšanu bāzes un inovāciju kapacitātes attīstība un inovāciju sistēmas koordinācija. Stratēģiskie rīcības virzieni - attīstīt zinātnes, tehnoloģiju un inovāciju jomas cilvēkkapitālu;  veicināt zinātnes starptautisko konkurētspēju; modernizēt un integrēt pētniecības un izglītības sektoru, palielinot to spēju reaģēt uz nākotnes izaicinājumiem; veidot efektīvāku zināšanu pārneses vidi un stiprināt uzņēmumu absorbcijas un inovācijas kapacitāti; optimizēt zinātnes, tehnoloģiju un inovāciju jomas pārvaldību, nodrošinot efektīvu koordināciju un P&amp;A investīciju pieaugumu; veidot pieprasījumu pēc zinātnes un </w:t>
                            </w:r>
                            <w:r>
                              <w:rPr>
                                <w:rFonts w:ascii="Candara" w:eastAsia="Times New Roman" w:hAnsi="Candara" w:cs="Times New Roman"/>
                                <w:bCs/>
                                <w:spacing w:val="-8"/>
                                <w:sz w:val="16"/>
                                <w:lang w:eastAsia="lv-LV"/>
                              </w:rPr>
                              <w:t>inovācijām</w:t>
                            </w:r>
                            <w:r w:rsidRPr="00EE493C">
                              <w:rPr>
                                <w:rFonts w:ascii="Candara" w:eastAsia="Times New Roman" w:hAnsi="Candara" w:cs="Times New Roman"/>
                                <w:bCs/>
                                <w:spacing w:val="-8"/>
                                <w:sz w:val="16"/>
                                <w:lang w:eastAsia="lv-LV"/>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479.05pt;height:73.5pt;margin-top:10.8pt;margin-left:2.5pt;mso-height-percent:0;mso-height-relative:margin;mso-width-percent:0;mso-width-relative:margin;mso-wrap-distance-bottom:3.6pt;mso-wrap-distance-left:9pt;mso-wrap-distance-right:9pt;mso-wrap-distance-top:3.6pt;mso-wrap-style:square;position:absolute;visibility:visible;v-text-anchor:top;z-index:251729920" filled="f" strokecolor="black">
                <v:stroke joinstyle="round"/>
                <v:textbox>
                  <w:txbxContent>
                    <w:p w:rsidR="00B55C40" w:rsidRPr="00D21817" w:rsidP="00A74C87" w14:paraId="634125B3" w14:textId="77777777">
                      <w:pPr>
                        <w:spacing w:after="0" w:line="240" w:lineRule="auto"/>
                        <w:ind w:right="-113"/>
                        <w:outlineLvl w:val="3"/>
                        <w:rPr>
                          <w:rFonts w:ascii="Candara" w:eastAsia="Times New Roman" w:hAnsi="Candara" w:cs="Times New Roman"/>
                          <w:b/>
                          <w:bCs/>
                          <w:position w:val="2"/>
                          <w:sz w:val="20"/>
                          <w:szCs w:val="20"/>
                          <w:lang w:eastAsia="lv-LV"/>
                        </w:rPr>
                      </w:pPr>
                      <w:drawing>
                        <wp:inline distT="0" distB="0" distL="0" distR="0">
                          <wp:extent cx="259505" cy="288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ZM.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59505" cy="288000"/>
                                  </a:xfrm>
                                  <a:prstGeom prst="rect">
                                    <a:avLst/>
                                  </a:prstGeom>
                                </pic:spPr>
                              </pic:pic>
                            </a:graphicData>
                          </a:graphic>
                        </wp:inline>
                      </w:drawing>
                      <w:r>
                        <w:rPr>
                          <w:rFonts w:ascii="Candara" w:eastAsia="Times New Roman" w:hAnsi="Candara" w:cs="Times New Roman"/>
                          <w:b/>
                          <w:bCs/>
                          <w:position w:val="2"/>
                          <w:sz w:val="20"/>
                          <w:szCs w:val="20"/>
                          <w:lang w:eastAsia="lv-LV"/>
                        </w:rPr>
                        <w:t xml:space="preserve"> </w:t>
                      </w:r>
                      <w:r w:rsidRPr="00D21817">
                        <w:rPr>
                          <w:rFonts w:ascii="Candara" w:eastAsia="Times New Roman" w:hAnsi="Candara" w:cs="Times New Roman"/>
                          <w:b/>
                          <w:bCs/>
                          <w:position w:val="2"/>
                          <w:sz w:val="20"/>
                          <w:szCs w:val="20"/>
                          <w:lang w:eastAsia="lv-LV"/>
                        </w:rPr>
                        <w:t>Zinātnes, tehnoloģijas attīstības un inovācijas pamatnostādnes 2014.-2020.</w:t>
                      </w:r>
                    </w:p>
                    <w:p w:rsidR="00B55C40" w:rsidP="00A74C87" w14:paraId="555029A1" w14:textId="77777777">
                      <w:r>
                        <w:rPr>
                          <w:rFonts w:ascii="Candara" w:eastAsia="Times New Roman" w:hAnsi="Candara" w:cs="Times New Roman"/>
                          <w:bCs/>
                          <w:spacing w:val="-8"/>
                          <w:sz w:val="16"/>
                          <w:lang w:eastAsia="lv-LV"/>
                        </w:rPr>
                        <w:t>Virsmērķis -</w:t>
                      </w:r>
                      <w:r w:rsidRPr="00EE493C">
                        <w:rPr>
                          <w:rFonts w:ascii="Candara" w:eastAsia="Times New Roman" w:hAnsi="Candara" w:cs="Times New Roman"/>
                          <w:bCs/>
                          <w:spacing w:val="-8"/>
                          <w:sz w:val="16"/>
                          <w:lang w:eastAsia="lv-LV"/>
                        </w:rPr>
                        <w:t xml:space="preserve">  zināšanu bāzes un inovāciju kapacitātes attīstība un inovāciju sistēmas koordinācija. Stratēģiskie rīcības virzieni - attīstīt zinātnes, tehnoloģiju un inovāciju jomas cilvēkkapitālu;  veicināt zinātnes starptautisko konkurētspēju; modernizēt un integrēt pētniecības un izglītības sektoru, palielinot to spēju reaģēt uz nākotnes izaicinājumiem; veidot efektīvāku zināšanu pārneses vidi un stiprināt uzņēmumu absorbcijas un inovācijas kapacitāti; optimizēt zinātnes, tehnoloģiju un inovāciju jomas pārvaldību, nodrošinot efektīvu koordināciju un P&amp;A investīciju pieaugumu; veidot pieprasījumu pēc zinātnes un </w:t>
                      </w:r>
                      <w:r>
                        <w:rPr>
                          <w:rFonts w:ascii="Candara" w:eastAsia="Times New Roman" w:hAnsi="Candara" w:cs="Times New Roman"/>
                          <w:bCs/>
                          <w:spacing w:val="-8"/>
                          <w:sz w:val="16"/>
                          <w:lang w:eastAsia="lv-LV"/>
                        </w:rPr>
                        <w:t>inovācijām</w:t>
                      </w:r>
                      <w:r w:rsidRPr="00EE493C">
                        <w:rPr>
                          <w:rFonts w:ascii="Candara" w:eastAsia="Times New Roman" w:hAnsi="Candara" w:cs="Times New Roman"/>
                          <w:bCs/>
                          <w:spacing w:val="-8"/>
                          <w:sz w:val="16"/>
                          <w:lang w:eastAsia="lv-LV"/>
                        </w:rPr>
                        <w:t>.</w:t>
                      </w:r>
                    </w:p>
                  </w:txbxContent>
                </v:textbox>
              </v:shape>
            </w:pict>
          </mc:Fallback>
        </mc:AlternateContent>
      </w:r>
    </w:p>
    <w:p w:rsidR="00A74C87" w:rsidP="00A74C87" w14:paraId="5874B458" w14:textId="77777777">
      <w:pPr>
        <w:rPr>
          <w:rFonts w:ascii="Candara" w:eastAsia="Times New Roman" w:hAnsi="Candara" w:cs="Times New Roman"/>
          <w:bCs/>
          <w:lang w:eastAsia="lv-LV"/>
        </w:rPr>
      </w:pPr>
    </w:p>
    <w:p w:rsidR="00A74C87" w:rsidRPr="00E84C10" w:rsidP="00A74C87" w14:paraId="10377EE5" w14:textId="77777777">
      <w:pPr>
        <w:rPr>
          <w:rFonts w:ascii="Candara" w:eastAsia="Times New Roman" w:hAnsi="Candara" w:cs="Times New Roman"/>
          <w:bCs/>
          <w:lang w:eastAsia="lv-LV"/>
        </w:rPr>
      </w:pPr>
    </w:p>
    <w:p w:rsidR="00A74C87" w:rsidP="00A74C87" w14:paraId="3C0BD263" w14:textId="77777777">
      <w:pPr>
        <w:rPr>
          <w:rFonts w:ascii="Candara" w:eastAsia="Times New Roman" w:hAnsi="Candara" w:cs="Times New Roman"/>
          <w:bCs/>
          <w:lang w:eastAsia="lv-LV"/>
        </w:rPr>
      </w:pPr>
      <w:r w:rsidRPr="00E84C10">
        <w:rPr>
          <w:rFonts w:ascii="Candara" w:eastAsia="Times New Roman" w:hAnsi="Candara" w:cs="Times New Roman"/>
          <w:bCs/>
          <w:noProof/>
          <w:lang w:eastAsia="lv-LV"/>
        </w:rPr>
        <mc:AlternateContent>
          <mc:Choice Requires="wps">
            <w:drawing>
              <wp:anchor distT="45720" distB="45720" distL="114300" distR="114300" simplePos="0" relativeHeight="251730944" behindDoc="0" locked="0" layoutInCell="1" allowOverlap="1">
                <wp:simplePos x="0" y="0"/>
                <wp:positionH relativeFrom="column">
                  <wp:posOffset>36830</wp:posOffset>
                </wp:positionH>
                <wp:positionV relativeFrom="paragraph">
                  <wp:posOffset>151130</wp:posOffset>
                </wp:positionV>
                <wp:extent cx="6083935" cy="933450"/>
                <wp:effectExtent l="0" t="0" r="12065" b="19050"/>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3935" cy="933450"/>
                        </a:xfrm>
                        <a:prstGeom prst="rect">
                          <a:avLst/>
                        </a:prstGeom>
                        <a:noFill/>
                        <a:ln w="9525">
                          <a:solidFill>
                            <a:schemeClr val="dk1"/>
                          </a:solidFill>
                          <a:round/>
                          <a:headEnd/>
                          <a:tailEnd/>
                        </a:ln>
                      </wps:spPr>
                      <wps:style>
                        <a:lnRef idx="0">
                          <a:scrgbClr r="0" g="0" b="0"/>
                        </a:lnRef>
                        <a:fillRef idx="0">
                          <a:scrgbClr r="0" g="0" b="0"/>
                        </a:fillRef>
                        <a:effectRef idx="0">
                          <a:scrgbClr r="0" g="0" b="0"/>
                        </a:effectRef>
                        <a:fontRef idx="minor">
                          <a:schemeClr val="dk1"/>
                        </a:fontRef>
                      </wps:style>
                      <wps:txbx>
                        <w:txbxContent>
                          <w:p w:rsidR="00B55C40" w:rsidRPr="003C209F" w:rsidP="00A74C87" w14:textId="77777777">
                            <w:pPr>
                              <w:spacing w:after="0" w:line="240" w:lineRule="auto"/>
                              <w:ind w:right="-113"/>
                              <w:outlineLvl w:val="3"/>
                              <w:rPr>
                                <w:rFonts w:ascii="Candara" w:eastAsia="Times New Roman" w:hAnsi="Candara" w:cs="Times New Roman"/>
                                <w:b/>
                                <w:bCs/>
                                <w:sz w:val="20"/>
                                <w:szCs w:val="20"/>
                                <w:lang w:eastAsia="lv-LV"/>
                              </w:rPr>
                            </w:pPr>
                            <w:r>
                              <w:rPr>
                                <w:rFonts w:ascii="Candara" w:eastAsia="Times New Roman" w:hAnsi="Candara" w:cs="Times New Roman"/>
                                <w:bCs/>
                                <w:noProof/>
                                <w:lang w:eastAsia="lv-LV"/>
                              </w:rPr>
                              <w:drawing>
                                <wp:inline distT="0" distB="0" distL="0" distR="0">
                                  <wp:extent cx="269815" cy="288000"/>
                                  <wp:effectExtent l="0" t="0" r="0" b="0"/>
                                  <wp:docPr id="4649664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89394" name="EM.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69815" cy="288000"/>
                                          </a:xfrm>
                                          <a:prstGeom prst="rect">
                                            <a:avLst/>
                                          </a:prstGeom>
                                        </pic:spPr>
                                      </pic:pic>
                                    </a:graphicData>
                                  </a:graphic>
                                </wp:inline>
                              </w:drawing>
                            </w:r>
                            <w:r>
                              <w:rPr>
                                <w:rFonts w:ascii="Candara" w:eastAsia="Times New Roman" w:hAnsi="Candara" w:cs="Times New Roman"/>
                                <w:b/>
                                <w:bCs/>
                                <w:sz w:val="20"/>
                                <w:szCs w:val="20"/>
                                <w:lang w:eastAsia="lv-LV"/>
                              </w:rPr>
                              <w:t xml:space="preserve"> </w:t>
                            </w:r>
                            <w:r w:rsidRPr="00865625">
                              <w:rPr>
                                <w:rFonts w:ascii="Candara" w:eastAsia="Times New Roman" w:hAnsi="Candara" w:cs="Times New Roman"/>
                                <w:b/>
                                <w:bCs/>
                                <w:sz w:val="20"/>
                                <w:szCs w:val="20"/>
                                <w:lang w:eastAsia="lv-LV"/>
                              </w:rPr>
                              <w:t>Nacionālās industriālās politikas pamatnostādnes 2014.-2020</w:t>
                            </w:r>
                            <w:r>
                              <w:rPr>
                                <w:rFonts w:ascii="Candara" w:eastAsia="Times New Roman" w:hAnsi="Candara" w:cs="Times New Roman"/>
                                <w:b/>
                                <w:bCs/>
                                <w:sz w:val="20"/>
                                <w:szCs w:val="20"/>
                                <w:lang w:eastAsia="lv-LV"/>
                              </w:rPr>
                              <w:t>.</w:t>
                            </w:r>
                          </w:p>
                          <w:p w:rsidR="00B55C40" w:rsidP="00A74C87" w14:textId="77777777">
                            <w:r>
                              <w:rPr>
                                <w:rFonts w:ascii="Candara" w:eastAsia="Times New Roman" w:hAnsi="Candara" w:cs="Times New Roman"/>
                                <w:bCs/>
                                <w:spacing w:val="-8"/>
                                <w:sz w:val="16"/>
                                <w:lang w:eastAsia="lv-LV"/>
                              </w:rPr>
                              <w:t>M</w:t>
                            </w:r>
                            <w:r w:rsidRPr="00EE493C">
                              <w:rPr>
                                <w:rFonts w:ascii="Candara" w:eastAsia="Times New Roman" w:hAnsi="Candara" w:cs="Times New Roman"/>
                                <w:bCs/>
                                <w:spacing w:val="-8"/>
                                <w:sz w:val="16"/>
                                <w:lang w:eastAsia="lv-LV"/>
                              </w:rPr>
                              <w:t xml:space="preserve">ērķis </w:t>
                            </w:r>
                            <w:r>
                              <w:rPr>
                                <w:rFonts w:ascii="Candara" w:eastAsia="Times New Roman" w:hAnsi="Candara" w:cs="Times New Roman"/>
                                <w:bCs/>
                                <w:spacing w:val="-8"/>
                                <w:sz w:val="16"/>
                                <w:lang w:eastAsia="lv-LV"/>
                              </w:rPr>
                              <w:t xml:space="preserve">- </w:t>
                            </w:r>
                            <w:r w:rsidRPr="00EE493C">
                              <w:rPr>
                                <w:rFonts w:ascii="Candara" w:eastAsia="Times New Roman" w:hAnsi="Candara" w:cs="Times New Roman"/>
                                <w:bCs/>
                                <w:spacing w:val="-8"/>
                                <w:sz w:val="16"/>
                                <w:lang w:eastAsia="lv-LV"/>
                              </w:rPr>
                              <w:t>veicināt ekonomikas strukturālās izmaiņas, palielinot tādu preču ražošanu un pakalpojumu sniegšanu, kuri nodrošina augstāku pievienoto vērtību, tai skaitā palielinot rūpniecības lomu, ļaujot modernizēt rūpniecību un pakalpojumu sniegšanu, kā arī pilnveidot un paplašināt eksportu. Galvenie rīcības virzieni: darbaspēka pieejamība un tautsaimniecības attīstības vajadzībām atbilstošs izglītības piedāvājums; industriālo zonu attīstība; finanšu pieejamība</w:t>
                            </w:r>
                            <w:r>
                              <w:rPr>
                                <w:rFonts w:ascii="Candara" w:eastAsia="Times New Roman" w:hAnsi="Candara" w:cs="Times New Roman"/>
                                <w:bCs/>
                                <w:spacing w:val="-8"/>
                                <w:sz w:val="16"/>
                                <w:lang w:eastAsia="lv-LV"/>
                              </w:rPr>
                              <w:t>*</w:t>
                            </w:r>
                            <w:r w:rsidRPr="00EE493C">
                              <w:rPr>
                                <w:rFonts w:ascii="Candara" w:eastAsia="Times New Roman" w:hAnsi="Candara" w:cs="Times New Roman"/>
                                <w:bCs/>
                                <w:spacing w:val="-8"/>
                                <w:sz w:val="16"/>
                                <w:lang w:eastAsia="lv-LV"/>
                              </w:rPr>
                              <w:t>; inovācijas kapacitātes paaugstināšana; eksporta veicināšana; energoresursu izmaksu samazināšana</w:t>
                            </w:r>
                            <w:r>
                              <w:rPr>
                                <w:rFonts w:ascii="Candara" w:eastAsia="Times New Roman" w:hAnsi="Candara" w:cs="Times New Roman"/>
                                <w:bCs/>
                                <w:spacing w:val="-8"/>
                                <w:sz w:val="16"/>
                                <w:lang w:eastAsia="lv-LV"/>
                              </w:rPr>
                              <w:t>**</w:t>
                            </w:r>
                            <w:r w:rsidRPr="00EE493C">
                              <w:rPr>
                                <w:rFonts w:ascii="Candara" w:eastAsia="Times New Roman" w:hAnsi="Candara" w:cs="Times New Roman"/>
                                <w:bCs/>
                                <w:spacing w:val="-8"/>
                                <w:sz w:val="16"/>
                                <w:lang w:eastAsia="lv-LV"/>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479.05pt;height:73.5pt;margin-top:11.9pt;margin-left:2.9pt;mso-height-percent:0;mso-height-relative:margin;mso-width-percent:0;mso-width-relative:margin;mso-wrap-distance-bottom:3.6pt;mso-wrap-distance-left:9pt;mso-wrap-distance-right:9pt;mso-wrap-distance-top:3.6pt;mso-wrap-style:square;position:absolute;visibility:visible;v-text-anchor:top;z-index:251731968" filled="f" strokecolor="black">
                <v:stroke joinstyle="round"/>
                <v:textbox>
                  <w:txbxContent>
                    <w:p w:rsidR="00B55C40" w:rsidRPr="003C209F" w:rsidP="00A74C87" w14:paraId="3799D703" w14:textId="77777777">
                      <w:pPr>
                        <w:spacing w:after="0" w:line="240" w:lineRule="auto"/>
                        <w:ind w:right="-113"/>
                        <w:outlineLvl w:val="3"/>
                        <w:rPr>
                          <w:rFonts w:ascii="Candara" w:eastAsia="Times New Roman" w:hAnsi="Candara" w:cs="Times New Roman"/>
                          <w:b/>
                          <w:bCs/>
                          <w:sz w:val="20"/>
                          <w:szCs w:val="20"/>
                          <w:lang w:eastAsia="lv-LV"/>
                        </w:rPr>
                      </w:pPr>
                      <w:drawing>
                        <wp:inline distT="0" distB="0" distL="0" distR="0">
                          <wp:extent cx="269815" cy="288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M.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69815" cy="288000"/>
                                  </a:xfrm>
                                  <a:prstGeom prst="rect">
                                    <a:avLst/>
                                  </a:prstGeom>
                                </pic:spPr>
                              </pic:pic>
                            </a:graphicData>
                          </a:graphic>
                        </wp:inline>
                      </w:drawing>
                      <w:r>
                        <w:rPr>
                          <w:rFonts w:ascii="Candara" w:eastAsia="Times New Roman" w:hAnsi="Candara" w:cs="Times New Roman"/>
                          <w:b/>
                          <w:bCs/>
                          <w:sz w:val="20"/>
                          <w:szCs w:val="20"/>
                          <w:lang w:eastAsia="lv-LV"/>
                        </w:rPr>
                        <w:t xml:space="preserve"> </w:t>
                      </w:r>
                      <w:r w:rsidRPr="00865625">
                        <w:rPr>
                          <w:rFonts w:ascii="Candara" w:eastAsia="Times New Roman" w:hAnsi="Candara" w:cs="Times New Roman"/>
                          <w:b/>
                          <w:bCs/>
                          <w:sz w:val="20"/>
                          <w:szCs w:val="20"/>
                          <w:lang w:eastAsia="lv-LV"/>
                        </w:rPr>
                        <w:t>Nacionālās industriālās politikas pamatnostādnes 2014.-2020</w:t>
                      </w:r>
                      <w:r>
                        <w:rPr>
                          <w:rFonts w:ascii="Candara" w:eastAsia="Times New Roman" w:hAnsi="Candara" w:cs="Times New Roman"/>
                          <w:b/>
                          <w:bCs/>
                          <w:sz w:val="20"/>
                          <w:szCs w:val="20"/>
                          <w:lang w:eastAsia="lv-LV"/>
                        </w:rPr>
                        <w:t>.</w:t>
                      </w:r>
                    </w:p>
                    <w:p w:rsidR="00B55C40" w:rsidP="00A74C87" w14:paraId="23DA70EC" w14:textId="77777777">
                      <w:r>
                        <w:rPr>
                          <w:rFonts w:ascii="Candara" w:eastAsia="Times New Roman" w:hAnsi="Candara" w:cs="Times New Roman"/>
                          <w:bCs/>
                          <w:spacing w:val="-8"/>
                          <w:sz w:val="16"/>
                          <w:lang w:eastAsia="lv-LV"/>
                        </w:rPr>
                        <w:t>M</w:t>
                      </w:r>
                      <w:r w:rsidRPr="00EE493C">
                        <w:rPr>
                          <w:rFonts w:ascii="Candara" w:eastAsia="Times New Roman" w:hAnsi="Candara" w:cs="Times New Roman"/>
                          <w:bCs/>
                          <w:spacing w:val="-8"/>
                          <w:sz w:val="16"/>
                          <w:lang w:eastAsia="lv-LV"/>
                        </w:rPr>
                        <w:t xml:space="preserve">ērķis </w:t>
                      </w:r>
                      <w:r>
                        <w:rPr>
                          <w:rFonts w:ascii="Candara" w:eastAsia="Times New Roman" w:hAnsi="Candara" w:cs="Times New Roman"/>
                          <w:bCs/>
                          <w:spacing w:val="-8"/>
                          <w:sz w:val="16"/>
                          <w:lang w:eastAsia="lv-LV"/>
                        </w:rPr>
                        <w:t xml:space="preserve">- </w:t>
                      </w:r>
                      <w:r w:rsidRPr="00EE493C">
                        <w:rPr>
                          <w:rFonts w:ascii="Candara" w:eastAsia="Times New Roman" w:hAnsi="Candara" w:cs="Times New Roman"/>
                          <w:bCs/>
                          <w:spacing w:val="-8"/>
                          <w:sz w:val="16"/>
                          <w:lang w:eastAsia="lv-LV"/>
                        </w:rPr>
                        <w:t>veicināt ekonomikas strukturālās izmaiņas, palielinot tādu preču ražošanu un pakalpojumu sniegšanu, kuri nodrošina augstāku pievienoto vērtību, tai skaitā palielinot rūpniecības lomu, ļaujot modernizēt rūpniecību un pakalpojumu sniegšanu, kā arī pilnveidot un paplašināt eksportu. Galvenie rīcības virzieni: darbaspēka pieejamība un tautsaimniecības attīstības vajadzībām atbilstošs izglītības piedāvājums; industriālo zonu attīstība; finanšu pieejamība</w:t>
                      </w:r>
                      <w:r>
                        <w:rPr>
                          <w:rFonts w:ascii="Candara" w:eastAsia="Times New Roman" w:hAnsi="Candara" w:cs="Times New Roman"/>
                          <w:bCs/>
                          <w:spacing w:val="-8"/>
                          <w:sz w:val="16"/>
                          <w:lang w:eastAsia="lv-LV"/>
                        </w:rPr>
                        <w:t>*</w:t>
                      </w:r>
                      <w:r w:rsidRPr="00EE493C">
                        <w:rPr>
                          <w:rFonts w:ascii="Candara" w:eastAsia="Times New Roman" w:hAnsi="Candara" w:cs="Times New Roman"/>
                          <w:bCs/>
                          <w:spacing w:val="-8"/>
                          <w:sz w:val="16"/>
                          <w:lang w:eastAsia="lv-LV"/>
                        </w:rPr>
                        <w:t>; inovācijas kapacitātes paaugstināšana; eksporta veicināšana; energoresursu izmaksu samazināšana</w:t>
                      </w:r>
                      <w:r>
                        <w:rPr>
                          <w:rFonts w:ascii="Candara" w:eastAsia="Times New Roman" w:hAnsi="Candara" w:cs="Times New Roman"/>
                          <w:bCs/>
                          <w:spacing w:val="-8"/>
                          <w:sz w:val="16"/>
                          <w:lang w:eastAsia="lv-LV"/>
                        </w:rPr>
                        <w:t>**</w:t>
                      </w:r>
                      <w:r w:rsidRPr="00EE493C">
                        <w:rPr>
                          <w:rFonts w:ascii="Candara" w:eastAsia="Times New Roman" w:hAnsi="Candara" w:cs="Times New Roman"/>
                          <w:bCs/>
                          <w:spacing w:val="-8"/>
                          <w:sz w:val="16"/>
                          <w:lang w:eastAsia="lv-LV"/>
                        </w:rPr>
                        <w:t>.</w:t>
                      </w:r>
                    </w:p>
                  </w:txbxContent>
                </v:textbox>
              </v:shape>
            </w:pict>
          </mc:Fallback>
        </mc:AlternateContent>
      </w:r>
    </w:p>
    <w:p w:rsidR="00A74C87" w:rsidP="00A74C87" w14:paraId="2C92E679" w14:textId="77777777">
      <w:pPr>
        <w:rPr>
          <w:rFonts w:ascii="Candara" w:eastAsia="Times New Roman" w:hAnsi="Candara" w:cs="Times New Roman"/>
          <w:bCs/>
          <w:lang w:eastAsia="lv-LV"/>
        </w:rPr>
      </w:pPr>
    </w:p>
    <w:p w:rsidR="00A74C87" w:rsidP="00A74C87" w14:paraId="1AA086E0" w14:textId="77777777">
      <w:pPr>
        <w:rPr>
          <w:rFonts w:ascii="Candara" w:eastAsia="Times New Roman" w:hAnsi="Candara" w:cs="Times New Roman"/>
          <w:bCs/>
          <w:lang w:eastAsia="lv-LV"/>
        </w:rPr>
      </w:pPr>
    </w:p>
    <w:p w:rsidR="00A74C87" w:rsidP="00A74C87" w14:paraId="1B630DD4" w14:textId="0197FA7C">
      <w:pPr>
        <w:rPr>
          <w:rFonts w:ascii="Candara" w:eastAsia="Times New Roman" w:hAnsi="Candara" w:cs="Times New Roman"/>
          <w:bCs/>
          <w:lang w:eastAsia="lv-LV"/>
        </w:rPr>
      </w:pPr>
      <w:r w:rsidRPr="003C209F">
        <w:rPr>
          <w:rFonts w:ascii="Candara" w:eastAsia="Times New Roman" w:hAnsi="Candara" w:cs="Times New Roman"/>
          <w:bCs/>
          <w:noProof/>
          <w:lang w:eastAsia="lv-LV"/>
        </w:rPr>
        <mc:AlternateContent>
          <mc:Choice Requires="wps">
            <w:drawing>
              <wp:anchor distT="45720" distB="45720" distL="114300" distR="114300" simplePos="0" relativeHeight="251732992" behindDoc="0" locked="0" layoutInCell="1" allowOverlap="1">
                <wp:simplePos x="0" y="0"/>
                <wp:positionH relativeFrom="column">
                  <wp:posOffset>32385</wp:posOffset>
                </wp:positionH>
                <wp:positionV relativeFrom="paragraph">
                  <wp:posOffset>224155</wp:posOffset>
                </wp:positionV>
                <wp:extent cx="6086475" cy="781050"/>
                <wp:effectExtent l="0" t="0" r="28575" b="19050"/>
                <wp:wrapNone/>
                <wp:docPr id="6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6475" cy="781050"/>
                        </a:xfrm>
                        <a:prstGeom prst="rect">
                          <a:avLst/>
                        </a:prstGeom>
                        <a:noFill/>
                        <a:ln w="9525">
                          <a:solidFill>
                            <a:schemeClr val="dk1"/>
                          </a:solidFill>
                          <a:round/>
                          <a:headEnd/>
                          <a:tailEnd/>
                        </a:ln>
                      </wps:spPr>
                      <wps:style>
                        <a:lnRef idx="0">
                          <a:scrgbClr r="0" g="0" b="0"/>
                        </a:lnRef>
                        <a:fillRef idx="0">
                          <a:scrgbClr r="0" g="0" b="0"/>
                        </a:fillRef>
                        <a:effectRef idx="0">
                          <a:scrgbClr r="0" g="0" b="0"/>
                        </a:effectRef>
                        <a:fontRef idx="minor">
                          <a:schemeClr val="dk1"/>
                        </a:fontRef>
                      </wps:style>
                      <wps:txbx>
                        <w:txbxContent>
                          <w:p w:rsidR="00B55C40" w:rsidRPr="003C209F" w:rsidP="00A74C87" w14:textId="77777777">
                            <w:pPr>
                              <w:spacing w:after="0" w:line="216" w:lineRule="auto"/>
                              <w:ind w:right="-113"/>
                              <w:outlineLvl w:val="3"/>
                              <w:rPr>
                                <w:rFonts w:ascii="Candara" w:eastAsia="Times New Roman" w:hAnsi="Candara" w:cs="Times New Roman"/>
                                <w:b/>
                                <w:bCs/>
                                <w:sz w:val="20"/>
                                <w:szCs w:val="20"/>
                                <w:lang w:eastAsia="lv-LV"/>
                              </w:rPr>
                            </w:pPr>
                            <w:r>
                              <w:rPr>
                                <w:rFonts w:ascii="Candara" w:eastAsia="Times New Roman" w:hAnsi="Candara" w:cs="Times New Roman"/>
                                <w:bCs/>
                                <w:noProof/>
                                <w:lang w:eastAsia="lv-LV"/>
                              </w:rPr>
                              <w:drawing>
                                <wp:inline distT="0" distB="0" distL="0" distR="0">
                                  <wp:extent cx="259505" cy="288000"/>
                                  <wp:effectExtent l="0" t="0" r="7620" b="0"/>
                                  <wp:docPr id="1180670380"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73567" name="IZM.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59505" cy="288000"/>
                                          </a:xfrm>
                                          <a:prstGeom prst="rect">
                                            <a:avLst/>
                                          </a:prstGeom>
                                        </pic:spPr>
                                      </pic:pic>
                                    </a:graphicData>
                                  </a:graphic>
                                </wp:inline>
                              </w:drawing>
                            </w:r>
                            <w:r>
                              <w:rPr>
                                <w:rFonts w:ascii="Candara" w:eastAsia="Times New Roman" w:hAnsi="Candara" w:cs="Times New Roman"/>
                                <w:b/>
                                <w:bCs/>
                                <w:sz w:val="20"/>
                                <w:szCs w:val="20"/>
                                <w:lang w:eastAsia="lv-LV"/>
                              </w:rPr>
                              <w:t xml:space="preserve"> Izglītības attīstības</w:t>
                            </w:r>
                            <w:r w:rsidRPr="003C209F">
                              <w:rPr>
                                <w:rFonts w:ascii="Candara" w:eastAsia="Times New Roman" w:hAnsi="Candara" w:cs="Times New Roman"/>
                                <w:b/>
                                <w:bCs/>
                                <w:sz w:val="20"/>
                                <w:szCs w:val="20"/>
                                <w:lang w:eastAsia="lv-LV"/>
                              </w:rPr>
                              <w:t xml:space="preserve"> pamatnostādnes 2014.-2020.</w:t>
                            </w:r>
                          </w:p>
                          <w:p w:rsidR="00B55C40" w:rsidP="00A74C87" w14:textId="77777777">
                            <w:r w:rsidRPr="00CB27AF">
                              <w:rPr>
                                <w:rFonts w:ascii="Candara" w:eastAsia="Times New Roman" w:hAnsi="Candara" w:cs="Times New Roman"/>
                                <w:bCs/>
                                <w:spacing w:val="-8"/>
                                <w:sz w:val="16"/>
                                <w:lang w:eastAsia="lv-LV"/>
                              </w:rPr>
                              <w:t>Mērķis - kvalitatīva un iekļaujoša izglītība personības attīstībai, cilvēku labklājībai un ilgtspējīgai  izaugsmei. Rīcības virzieni - paaugstināt izglītības vides kvalitāti, veicot satura pilnveidi un attīstot atbilstošu infrastruktūru; veicināt vērtīb</w:t>
                            </w:r>
                            <w:r>
                              <w:rPr>
                                <w:rFonts w:ascii="Candara" w:eastAsia="Times New Roman" w:hAnsi="Candara" w:cs="Times New Roman"/>
                                <w:bCs/>
                                <w:spacing w:val="-8"/>
                                <w:sz w:val="16"/>
                                <w:lang w:eastAsia="lv-LV"/>
                              </w:rPr>
                              <w:t xml:space="preserve">u </w:t>
                            </w:r>
                            <w:r w:rsidRPr="00CB27AF">
                              <w:rPr>
                                <w:rFonts w:ascii="Candara" w:eastAsia="Times New Roman" w:hAnsi="Candara" w:cs="Times New Roman"/>
                                <w:bCs/>
                                <w:spacing w:val="-8"/>
                                <w:sz w:val="16"/>
                                <w:lang w:eastAsia="lv-LV"/>
                              </w:rPr>
                              <w:t>izglītībā balstītu indivīda profesionālo un sociālo prasmju attīstību; uzlabot resursu pārvaldības efektivitāti, attīstot izglītības iestāžu institucionālo izcilību.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479.25pt;height:61.5pt;margin-top:17.65pt;margin-left:2.55pt;mso-height-percent:0;mso-height-relative:margin;mso-width-percent:0;mso-width-relative:margin;mso-wrap-distance-bottom:3.6pt;mso-wrap-distance-left:9pt;mso-wrap-distance-right:9pt;mso-wrap-distance-top:3.6pt;mso-wrap-style:square;position:absolute;visibility:visible;v-text-anchor:top;z-index:251734016" filled="f" strokecolor="black">
                <v:stroke joinstyle="round"/>
                <v:textbox>
                  <w:txbxContent>
                    <w:p w:rsidR="00B55C40" w:rsidRPr="003C209F" w:rsidP="00A74C87" w14:paraId="1C9E7FA0" w14:textId="77777777">
                      <w:pPr>
                        <w:spacing w:after="0" w:line="216" w:lineRule="auto"/>
                        <w:ind w:right="-113"/>
                        <w:outlineLvl w:val="3"/>
                        <w:rPr>
                          <w:rFonts w:ascii="Candara" w:eastAsia="Times New Roman" w:hAnsi="Candara" w:cs="Times New Roman"/>
                          <w:b/>
                          <w:bCs/>
                          <w:sz w:val="20"/>
                          <w:szCs w:val="20"/>
                          <w:lang w:eastAsia="lv-LV"/>
                        </w:rPr>
                      </w:pPr>
                      <w:drawing>
                        <wp:inline distT="0" distB="0" distL="0" distR="0">
                          <wp:extent cx="259505" cy="288000"/>
                          <wp:effectExtent l="0" t="0" r="762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65653" name="IZM.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59505" cy="288000"/>
                                  </a:xfrm>
                                  <a:prstGeom prst="rect">
                                    <a:avLst/>
                                  </a:prstGeom>
                                </pic:spPr>
                              </pic:pic>
                            </a:graphicData>
                          </a:graphic>
                        </wp:inline>
                      </w:drawing>
                      <w:r>
                        <w:rPr>
                          <w:rFonts w:ascii="Candara" w:eastAsia="Times New Roman" w:hAnsi="Candara" w:cs="Times New Roman"/>
                          <w:b/>
                          <w:bCs/>
                          <w:sz w:val="20"/>
                          <w:szCs w:val="20"/>
                          <w:lang w:eastAsia="lv-LV"/>
                        </w:rPr>
                        <w:t xml:space="preserve"> Izglītības attīstības</w:t>
                      </w:r>
                      <w:r w:rsidRPr="003C209F">
                        <w:rPr>
                          <w:rFonts w:ascii="Candara" w:eastAsia="Times New Roman" w:hAnsi="Candara" w:cs="Times New Roman"/>
                          <w:b/>
                          <w:bCs/>
                          <w:sz w:val="20"/>
                          <w:szCs w:val="20"/>
                          <w:lang w:eastAsia="lv-LV"/>
                        </w:rPr>
                        <w:t xml:space="preserve"> pamatnostādnes 2014.-2020.</w:t>
                      </w:r>
                    </w:p>
                    <w:p w:rsidR="00B55C40" w:rsidP="00A74C87" w14:paraId="0792CB96" w14:textId="77777777">
                      <w:r w:rsidRPr="00CB27AF">
                        <w:rPr>
                          <w:rFonts w:ascii="Candara" w:eastAsia="Times New Roman" w:hAnsi="Candara" w:cs="Times New Roman"/>
                          <w:bCs/>
                          <w:spacing w:val="-8"/>
                          <w:sz w:val="16"/>
                          <w:lang w:eastAsia="lv-LV"/>
                        </w:rPr>
                        <w:t>Mērķis - kvalitatīva un iekļaujoša izglītība personības attīstībai, cilvēku labklājībai un ilgtspējīgai  izaugsmei. Rīcības virzieni - paaugstināt izglītības vides kvalitāti, veicot satura pilnveidi un attīstot atbilstošu infrastruktūru; veicināt vērtīb</w:t>
                      </w:r>
                      <w:r>
                        <w:rPr>
                          <w:rFonts w:ascii="Candara" w:eastAsia="Times New Roman" w:hAnsi="Candara" w:cs="Times New Roman"/>
                          <w:bCs/>
                          <w:spacing w:val="-8"/>
                          <w:sz w:val="16"/>
                          <w:lang w:eastAsia="lv-LV"/>
                        </w:rPr>
                        <w:t xml:space="preserve">u </w:t>
                      </w:r>
                      <w:r w:rsidRPr="00CB27AF">
                        <w:rPr>
                          <w:rFonts w:ascii="Candara" w:eastAsia="Times New Roman" w:hAnsi="Candara" w:cs="Times New Roman"/>
                          <w:bCs/>
                          <w:spacing w:val="-8"/>
                          <w:sz w:val="16"/>
                          <w:lang w:eastAsia="lv-LV"/>
                        </w:rPr>
                        <w:t>izglītībā balstītu indivīda profesionālo un sociālo prasmju attīstību; uzlabot resursu pārvaldības efektivitāti, attīstot izglītības iestāžu institucionālo izcilību.</w:t>
                      </w:r>
                    </w:p>
                  </w:txbxContent>
                </v:textbox>
              </v:shape>
            </w:pict>
          </mc:Fallback>
        </mc:AlternateContent>
      </w:r>
    </w:p>
    <w:p w:rsidR="00A74C87" w:rsidP="00A74C87" w14:paraId="4216384F" w14:textId="029AA426">
      <w:pPr>
        <w:rPr>
          <w:rFonts w:ascii="Candara" w:eastAsia="Times New Roman" w:hAnsi="Candara" w:cs="Times New Roman"/>
          <w:bCs/>
          <w:lang w:eastAsia="lv-LV"/>
        </w:rPr>
      </w:pPr>
    </w:p>
    <w:p w:rsidR="00A74C87" w:rsidP="00A74C87" w14:paraId="697B14AD" w14:textId="77777777">
      <w:pPr>
        <w:rPr>
          <w:rFonts w:ascii="Candara" w:eastAsia="Times New Roman" w:hAnsi="Candara" w:cs="Times New Roman"/>
          <w:bCs/>
          <w:lang w:eastAsia="lv-LV"/>
        </w:rPr>
      </w:pPr>
    </w:p>
    <w:p w:rsidR="00A74C87" w:rsidP="00A74C87" w14:paraId="31D512DB" w14:textId="3320C81C">
      <w:pPr>
        <w:rPr>
          <w:rFonts w:ascii="Candara" w:eastAsia="Times New Roman" w:hAnsi="Candara" w:cs="Times New Roman"/>
          <w:bCs/>
          <w:lang w:eastAsia="lv-LV"/>
        </w:rPr>
      </w:pPr>
      <w:r w:rsidRPr="003C209F">
        <w:rPr>
          <w:rFonts w:ascii="Candara" w:eastAsia="Times New Roman" w:hAnsi="Candara" w:cs="Times New Roman"/>
          <w:bCs/>
          <w:noProof/>
          <w:lang w:eastAsia="lv-LV"/>
        </w:rPr>
        <mc:AlternateContent>
          <mc:Choice Requires="wps">
            <w:drawing>
              <wp:anchor distT="45720" distB="45720" distL="114300" distR="114300" simplePos="0" relativeHeight="251735040" behindDoc="0" locked="0" layoutInCell="1" allowOverlap="1">
                <wp:simplePos x="0" y="0"/>
                <wp:positionH relativeFrom="column">
                  <wp:posOffset>28575</wp:posOffset>
                </wp:positionH>
                <wp:positionV relativeFrom="paragraph">
                  <wp:posOffset>151130</wp:posOffset>
                </wp:positionV>
                <wp:extent cx="6086475" cy="638175"/>
                <wp:effectExtent l="0" t="0" r="28575" b="28575"/>
                <wp:wrapNone/>
                <wp:docPr id="6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6475" cy="638175"/>
                        </a:xfrm>
                        <a:prstGeom prst="rect">
                          <a:avLst/>
                        </a:prstGeom>
                        <a:noFill/>
                        <a:ln w="9525">
                          <a:solidFill>
                            <a:schemeClr val="dk1"/>
                          </a:solidFill>
                          <a:round/>
                          <a:headEnd/>
                          <a:tailEnd/>
                        </a:ln>
                      </wps:spPr>
                      <wps:style>
                        <a:lnRef idx="0">
                          <a:scrgbClr r="0" g="0" b="0"/>
                        </a:lnRef>
                        <a:fillRef idx="0">
                          <a:scrgbClr r="0" g="0" b="0"/>
                        </a:fillRef>
                        <a:effectRef idx="0">
                          <a:scrgbClr r="0" g="0" b="0"/>
                        </a:effectRef>
                        <a:fontRef idx="minor">
                          <a:schemeClr val="dk1"/>
                        </a:fontRef>
                      </wps:style>
                      <wps:txbx>
                        <w:txbxContent>
                          <w:p w:rsidR="00B55C40" w:rsidP="00A74C87" w14:textId="77777777">
                            <w:pPr>
                              <w:spacing w:after="0" w:line="216" w:lineRule="auto"/>
                              <w:ind w:right="-113"/>
                              <w:outlineLvl w:val="3"/>
                            </w:pPr>
                            <w:r>
                              <w:rPr>
                                <w:rFonts w:ascii="Candara" w:eastAsia="Times New Roman" w:hAnsi="Candara" w:cs="Times New Roman"/>
                                <w:bCs/>
                                <w:noProof/>
                                <w:lang w:eastAsia="lv-LV"/>
                              </w:rPr>
                              <w:drawing>
                                <wp:inline distT="0" distB="0" distL="0" distR="0">
                                  <wp:extent cx="269815" cy="288000"/>
                                  <wp:effectExtent l="0" t="0" r="0" b="0"/>
                                  <wp:docPr id="817204854"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74615" name="EM.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69815" cy="288000"/>
                                          </a:xfrm>
                                          <a:prstGeom prst="rect">
                                            <a:avLst/>
                                          </a:prstGeom>
                                        </pic:spPr>
                                      </pic:pic>
                                    </a:graphicData>
                                  </a:graphic>
                                </wp:inline>
                              </w:drawing>
                            </w:r>
                            <w:r>
                              <w:rPr>
                                <w:rFonts w:ascii="Candara" w:eastAsia="Times New Roman" w:hAnsi="Candara" w:cs="Times New Roman"/>
                                <w:b/>
                                <w:bCs/>
                                <w:sz w:val="20"/>
                                <w:szCs w:val="20"/>
                                <w:lang w:eastAsia="lv-LV"/>
                              </w:rPr>
                              <w:t xml:space="preserve"> </w:t>
                            </w:r>
                            <w:r w:rsidRPr="007B1700">
                              <w:rPr>
                                <w:rFonts w:ascii="Candara" w:eastAsia="Times New Roman" w:hAnsi="Candara" w:cs="Times New Roman"/>
                                <w:b/>
                                <w:bCs/>
                                <w:sz w:val="20"/>
                                <w:szCs w:val="20"/>
                                <w:lang w:eastAsia="lv-LV"/>
                              </w:rPr>
                              <w:t>Latvijas preču un pakalpojumu eksporta veicināšanas un ārvalstu investīciju piesaistes pamatnostād</w:t>
                            </w:r>
                            <w:r>
                              <w:rPr>
                                <w:rFonts w:ascii="Candara" w:eastAsia="Times New Roman" w:hAnsi="Candara" w:cs="Times New Roman"/>
                                <w:b/>
                                <w:bCs/>
                                <w:sz w:val="20"/>
                                <w:szCs w:val="20"/>
                                <w:lang w:eastAsia="lv-LV"/>
                              </w:rPr>
                              <w:t xml:space="preserve">nes 2013.-2019. </w:t>
                            </w:r>
                            <w:r>
                              <w:rPr>
                                <w:rFonts w:ascii="Candara" w:eastAsia="Times New Roman" w:hAnsi="Candara" w:cs="Times New Roman"/>
                                <w:bCs/>
                                <w:spacing w:val="-8"/>
                                <w:sz w:val="16"/>
                                <w:lang w:eastAsia="lv-LV"/>
                              </w:rPr>
                              <w:t>M</w:t>
                            </w:r>
                            <w:r w:rsidRPr="007B1700">
                              <w:rPr>
                                <w:rFonts w:ascii="Candara" w:eastAsia="Times New Roman" w:hAnsi="Candara" w:cs="Times New Roman"/>
                                <w:bCs/>
                                <w:spacing w:val="-8"/>
                                <w:sz w:val="16"/>
                                <w:lang w:eastAsia="lv-LV"/>
                              </w:rPr>
                              <w:t>ērķis</w:t>
                            </w:r>
                            <w:r>
                              <w:rPr>
                                <w:rFonts w:ascii="Candara" w:eastAsia="Times New Roman" w:hAnsi="Candara" w:cs="Times New Roman"/>
                                <w:bCs/>
                                <w:spacing w:val="-8"/>
                                <w:sz w:val="16"/>
                                <w:lang w:eastAsia="lv-LV"/>
                              </w:rPr>
                              <w:t xml:space="preserve"> - </w:t>
                            </w:r>
                            <w:r w:rsidRPr="007B1700">
                              <w:rPr>
                                <w:rFonts w:ascii="Candara" w:eastAsia="Times New Roman" w:hAnsi="Candara" w:cs="Times New Roman"/>
                                <w:bCs/>
                                <w:spacing w:val="-8"/>
                                <w:sz w:val="16"/>
                                <w:lang w:eastAsia="lv-LV"/>
                              </w:rPr>
                              <w:t>uzlabot Latvijas tautsaimniecības konkurētspēju atvērtos produktu tirgos, pirmkārt, sekmējot augsto un vidēji augsto tehnoloģiju nozaru produkcijas pieaugumu Latvijas eksportā, un, otrkārt, ĀTI piesaistē fokusējoties uz ārējo pieprasījumu orientētajām nozarēm.</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479.25pt;height:50.25pt;margin-top:11.9pt;margin-left:2.25pt;mso-height-percent:0;mso-height-relative:margin;mso-width-percent:0;mso-width-relative:margin;mso-wrap-distance-bottom:3.6pt;mso-wrap-distance-left:9pt;mso-wrap-distance-right:9pt;mso-wrap-distance-top:3.6pt;mso-wrap-style:square;position:absolute;visibility:visible;v-text-anchor:top;z-index:251736064" filled="f" strokecolor="black">
                <v:stroke joinstyle="round"/>
                <v:textbox>
                  <w:txbxContent>
                    <w:p w:rsidR="00B55C40" w:rsidP="00A74C87" w14:paraId="7494511C" w14:textId="77777777">
                      <w:pPr>
                        <w:spacing w:after="0" w:line="216" w:lineRule="auto"/>
                        <w:ind w:right="-113"/>
                        <w:outlineLvl w:val="3"/>
                      </w:pPr>
                      <w:drawing>
                        <wp:inline distT="0" distB="0" distL="0" distR="0">
                          <wp:extent cx="269815" cy="28800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04844" name="EM.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69815" cy="288000"/>
                                  </a:xfrm>
                                  <a:prstGeom prst="rect">
                                    <a:avLst/>
                                  </a:prstGeom>
                                </pic:spPr>
                              </pic:pic>
                            </a:graphicData>
                          </a:graphic>
                        </wp:inline>
                      </w:drawing>
                      <w:r>
                        <w:rPr>
                          <w:rFonts w:ascii="Candara" w:eastAsia="Times New Roman" w:hAnsi="Candara" w:cs="Times New Roman"/>
                          <w:b/>
                          <w:bCs/>
                          <w:sz w:val="20"/>
                          <w:szCs w:val="20"/>
                          <w:lang w:eastAsia="lv-LV"/>
                        </w:rPr>
                        <w:t xml:space="preserve"> </w:t>
                      </w:r>
                      <w:r w:rsidRPr="007B1700">
                        <w:rPr>
                          <w:rFonts w:ascii="Candara" w:eastAsia="Times New Roman" w:hAnsi="Candara" w:cs="Times New Roman"/>
                          <w:b/>
                          <w:bCs/>
                          <w:sz w:val="20"/>
                          <w:szCs w:val="20"/>
                          <w:lang w:eastAsia="lv-LV"/>
                        </w:rPr>
                        <w:t>Latvijas preču un pakalpojumu eksporta veicināšanas un ārvalstu investīciju piesaistes pamatnostād</w:t>
                      </w:r>
                      <w:r>
                        <w:rPr>
                          <w:rFonts w:ascii="Candara" w:eastAsia="Times New Roman" w:hAnsi="Candara" w:cs="Times New Roman"/>
                          <w:b/>
                          <w:bCs/>
                          <w:sz w:val="20"/>
                          <w:szCs w:val="20"/>
                          <w:lang w:eastAsia="lv-LV"/>
                        </w:rPr>
                        <w:t xml:space="preserve">nes 2013.-2019. </w:t>
                      </w:r>
                      <w:r>
                        <w:rPr>
                          <w:rFonts w:ascii="Candara" w:eastAsia="Times New Roman" w:hAnsi="Candara" w:cs="Times New Roman"/>
                          <w:bCs/>
                          <w:spacing w:val="-8"/>
                          <w:sz w:val="16"/>
                          <w:lang w:eastAsia="lv-LV"/>
                        </w:rPr>
                        <w:t>M</w:t>
                      </w:r>
                      <w:r w:rsidRPr="007B1700">
                        <w:rPr>
                          <w:rFonts w:ascii="Candara" w:eastAsia="Times New Roman" w:hAnsi="Candara" w:cs="Times New Roman"/>
                          <w:bCs/>
                          <w:spacing w:val="-8"/>
                          <w:sz w:val="16"/>
                          <w:lang w:eastAsia="lv-LV"/>
                        </w:rPr>
                        <w:t>ērķis</w:t>
                      </w:r>
                      <w:r>
                        <w:rPr>
                          <w:rFonts w:ascii="Candara" w:eastAsia="Times New Roman" w:hAnsi="Candara" w:cs="Times New Roman"/>
                          <w:bCs/>
                          <w:spacing w:val="-8"/>
                          <w:sz w:val="16"/>
                          <w:lang w:eastAsia="lv-LV"/>
                        </w:rPr>
                        <w:t xml:space="preserve"> - </w:t>
                      </w:r>
                      <w:r w:rsidRPr="007B1700">
                        <w:rPr>
                          <w:rFonts w:ascii="Candara" w:eastAsia="Times New Roman" w:hAnsi="Candara" w:cs="Times New Roman"/>
                          <w:bCs/>
                          <w:spacing w:val="-8"/>
                          <w:sz w:val="16"/>
                          <w:lang w:eastAsia="lv-LV"/>
                        </w:rPr>
                        <w:t>uzlabot Latvijas tautsaimniecības konkurētspēju atvērtos produktu tirgos, pirmkārt, sekmējot augsto un vidēji augsto tehnoloģiju nozaru produkcijas pieaugumu Latvijas eksportā, un, otrkārt, ĀTI piesaistē fokusējoties uz ārējo pieprasījumu orientētajām nozarēm.</w:t>
                      </w:r>
                    </w:p>
                  </w:txbxContent>
                </v:textbox>
              </v:shape>
            </w:pict>
          </mc:Fallback>
        </mc:AlternateContent>
      </w:r>
    </w:p>
    <w:p w:rsidR="00A74C87" w:rsidP="00A74C87" w14:paraId="56412583" w14:textId="6A96B814">
      <w:pPr>
        <w:rPr>
          <w:rFonts w:ascii="Candara" w:eastAsia="Times New Roman" w:hAnsi="Candara" w:cs="Times New Roman"/>
          <w:bCs/>
          <w:lang w:eastAsia="lv-LV"/>
        </w:rPr>
      </w:pPr>
    </w:p>
    <w:p w:rsidR="00A74C87" w:rsidP="00A74C87" w14:paraId="1C48F725" w14:textId="6795AA28">
      <w:pPr>
        <w:rPr>
          <w:rFonts w:ascii="Candara" w:eastAsia="Times New Roman" w:hAnsi="Candara" w:cs="Times New Roman"/>
          <w:bCs/>
          <w:lang w:eastAsia="lv-LV"/>
        </w:rPr>
      </w:pPr>
      <w:r w:rsidRPr="003C209F">
        <w:rPr>
          <w:rFonts w:ascii="Candara" w:eastAsia="Times New Roman" w:hAnsi="Candara" w:cs="Times New Roman"/>
          <w:bCs/>
          <w:noProof/>
          <w:lang w:eastAsia="lv-LV"/>
        </w:rPr>
        <mc:AlternateContent>
          <mc:Choice Requires="wps">
            <w:drawing>
              <wp:anchor distT="45720" distB="45720" distL="114300" distR="114300" simplePos="0" relativeHeight="251876352" behindDoc="0" locked="0" layoutInCell="1" allowOverlap="1">
                <wp:simplePos x="0" y="0"/>
                <wp:positionH relativeFrom="column">
                  <wp:posOffset>32385</wp:posOffset>
                </wp:positionH>
                <wp:positionV relativeFrom="paragraph">
                  <wp:posOffset>215265</wp:posOffset>
                </wp:positionV>
                <wp:extent cx="6086475" cy="571500"/>
                <wp:effectExtent l="0" t="0" r="28575" b="19050"/>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6475" cy="571500"/>
                        </a:xfrm>
                        <a:prstGeom prst="rect">
                          <a:avLst/>
                        </a:prstGeom>
                        <a:noFill/>
                        <a:ln w="9525">
                          <a:solidFill>
                            <a:schemeClr val="dk1"/>
                          </a:solidFill>
                          <a:round/>
                          <a:headEnd/>
                          <a:tailEnd/>
                        </a:ln>
                      </wps:spPr>
                      <wps:style>
                        <a:lnRef idx="0">
                          <a:scrgbClr r="0" g="0" b="0"/>
                        </a:lnRef>
                        <a:fillRef idx="0">
                          <a:scrgbClr r="0" g="0" b="0"/>
                        </a:fillRef>
                        <a:effectRef idx="0">
                          <a:scrgbClr r="0" g="0" b="0"/>
                        </a:effectRef>
                        <a:fontRef idx="minor">
                          <a:schemeClr val="dk1"/>
                        </a:fontRef>
                      </wps:style>
                      <wps:txbx>
                        <w:txbxContent>
                          <w:p w:rsidR="00B55C40" w:rsidRPr="00AD4B1C" w:rsidP="00AD4B1C" w14:textId="4CD4B7BF">
                            <w:pPr>
                              <w:spacing w:after="0" w:line="216" w:lineRule="auto"/>
                              <w:ind w:right="-113"/>
                              <w:outlineLvl w:val="3"/>
                              <w:rPr>
                                <w:rFonts w:ascii="Candara" w:eastAsia="Times New Roman" w:hAnsi="Candara" w:cs="Times New Roman"/>
                                <w:b/>
                                <w:bCs/>
                                <w:sz w:val="20"/>
                                <w:szCs w:val="20"/>
                                <w:lang w:eastAsia="lv-LV"/>
                              </w:rPr>
                            </w:pPr>
                            <w:r>
                              <w:rPr>
                                <w:noProof/>
                                <w:lang w:eastAsia="lv-LV"/>
                              </w:rPr>
                              <w:drawing>
                                <wp:inline distT="0" distB="0" distL="0" distR="0">
                                  <wp:extent cx="381000" cy="259080"/>
                                  <wp:effectExtent l="0" t="0" r="0" b="7620"/>
                                  <wp:docPr id="1813781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2926" name=""/>
                                          <pic:cNvPicPr/>
                                        </pic:nvPicPr>
                                        <pic:blipFill>
                                          <a:blip xmlns:r="http://schemas.openxmlformats.org/officeDocument/2006/relationships" r:embed="rId14"/>
                                          <a:stretch>
                                            <a:fillRect/>
                                          </a:stretch>
                                        </pic:blipFill>
                                        <pic:spPr>
                                          <a:xfrm>
                                            <a:off x="0" y="0"/>
                                            <a:ext cx="382103" cy="259830"/>
                                          </a:xfrm>
                                          <a:prstGeom prst="rect">
                                            <a:avLst/>
                                          </a:prstGeom>
                                        </pic:spPr>
                                      </pic:pic>
                                    </a:graphicData>
                                  </a:graphic>
                                </wp:inline>
                              </w:drawing>
                            </w:r>
                            <w:r>
                              <w:rPr>
                                <w:rFonts w:ascii="Candara" w:eastAsia="Times New Roman" w:hAnsi="Candara" w:cs="Times New Roman"/>
                                <w:b/>
                                <w:bCs/>
                                <w:sz w:val="20"/>
                                <w:szCs w:val="20"/>
                                <w:lang w:eastAsia="lv-LV"/>
                              </w:rPr>
                              <w:t>Reģionālās attīstības</w:t>
                            </w:r>
                            <w:r w:rsidRPr="007B1700">
                              <w:rPr>
                                <w:rFonts w:ascii="Candara" w:eastAsia="Times New Roman" w:hAnsi="Candara" w:cs="Times New Roman"/>
                                <w:b/>
                                <w:bCs/>
                                <w:sz w:val="20"/>
                                <w:szCs w:val="20"/>
                                <w:lang w:eastAsia="lv-LV"/>
                              </w:rPr>
                              <w:t xml:space="preserve"> pamatnostād</w:t>
                            </w:r>
                            <w:r>
                              <w:rPr>
                                <w:rFonts w:ascii="Candara" w:eastAsia="Times New Roman" w:hAnsi="Candara" w:cs="Times New Roman"/>
                                <w:b/>
                                <w:bCs/>
                                <w:sz w:val="20"/>
                                <w:szCs w:val="20"/>
                                <w:lang w:eastAsia="lv-LV"/>
                              </w:rPr>
                              <w:t xml:space="preserve">nes 2013.-2019. gadam. </w:t>
                            </w:r>
                            <w:r w:rsidRPr="00AD4B1C">
                              <w:rPr>
                                <w:rFonts w:ascii="Candara" w:eastAsia="Times New Roman" w:hAnsi="Candara" w:cs="Times New Roman"/>
                                <w:bCs/>
                                <w:spacing w:val="-8"/>
                                <w:sz w:val="16"/>
                                <w:lang w:eastAsia="lv-LV"/>
                              </w:rPr>
                              <w:t>Lai nodrošinātu līdzsvarotu valsts attīstību un samazinātu atšķirības teritoriju attīstības rādītājos, Reģionālās politikas pamatnostādnes 2013.-2019.</w:t>
                            </w:r>
                            <w:r>
                              <w:rPr>
                                <w:rFonts w:ascii="Candara" w:eastAsia="Times New Roman" w:hAnsi="Candara" w:cs="Times New Roman"/>
                                <w:bCs/>
                                <w:spacing w:val="-8"/>
                                <w:sz w:val="16"/>
                                <w:lang w:eastAsia="lv-LV"/>
                              </w:rPr>
                              <w:t xml:space="preserve"> gadam</w:t>
                            </w:r>
                            <w:r w:rsidRPr="00AD4B1C">
                              <w:rPr>
                                <w:rFonts w:ascii="Candara" w:eastAsia="Times New Roman" w:hAnsi="Candara" w:cs="Times New Roman"/>
                                <w:bCs/>
                                <w:spacing w:val="-8"/>
                                <w:sz w:val="16"/>
                                <w:lang w:eastAsia="lv-LV"/>
                              </w:rPr>
                              <w:t xml:space="preserve"> paredz reģionālās attīstības atbalsta pasākumus, kā arī pašvaldību lomu uzņēmējdarbības un inovāciju veicināšanā;</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4" type="#_x0000_t202" style="width:479.25pt;height:45pt;margin-top:16.95pt;margin-left:2.55pt;mso-height-percent:0;mso-height-relative:margin;mso-width-percent:0;mso-width-relative:margin;mso-wrap-distance-bottom:3.6pt;mso-wrap-distance-left:9pt;mso-wrap-distance-right:9pt;mso-wrap-distance-top:3.6pt;mso-wrap-style:square;position:absolute;visibility:visible;v-text-anchor:top;z-index:251877376" filled="f" strokecolor="black">
                <v:stroke joinstyle="round"/>
                <v:textbox>
                  <w:txbxContent>
                    <w:p w:rsidR="00B55C40" w:rsidRPr="00AD4B1C" w:rsidP="00AD4B1C" w14:paraId="395F29B7" w14:textId="4CD4B7BF">
                      <w:pPr>
                        <w:spacing w:after="0" w:line="216" w:lineRule="auto"/>
                        <w:ind w:right="-113"/>
                        <w:outlineLvl w:val="3"/>
                        <w:rPr>
                          <w:rFonts w:ascii="Candara" w:eastAsia="Times New Roman" w:hAnsi="Candara" w:cs="Times New Roman"/>
                          <w:b/>
                          <w:bCs/>
                          <w:sz w:val="20"/>
                          <w:szCs w:val="20"/>
                          <w:lang w:eastAsia="lv-LV"/>
                        </w:rPr>
                      </w:pPr>
                      <w:drawing>
                        <wp:inline distT="0" distB="0" distL="0" distR="0">
                          <wp:extent cx="381000" cy="259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4"/>
                                  <a:stretch>
                                    <a:fillRect/>
                                  </a:stretch>
                                </pic:blipFill>
                                <pic:spPr>
                                  <a:xfrm>
                                    <a:off x="0" y="0"/>
                                    <a:ext cx="382103" cy="259830"/>
                                  </a:xfrm>
                                  <a:prstGeom prst="rect">
                                    <a:avLst/>
                                  </a:prstGeom>
                                </pic:spPr>
                              </pic:pic>
                            </a:graphicData>
                          </a:graphic>
                        </wp:inline>
                      </w:drawing>
                      <w:r>
                        <w:rPr>
                          <w:rFonts w:ascii="Candara" w:eastAsia="Times New Roman" w:hAnsi="Candara" w:cs="Times New Roman"/>
                          <w:b/>
                          <w:bCs/>
                          <w:sz w:val="20"/>
                          <w:szCs w:val="20"/>
                          <w:lang w:eastAsia="lv-LV"/>
                        </w:rPr>
                        <w:t>Reģionālās attīstības</w:t>
                      </w:r>
                      <w:r w:rsidRPr="007B1700">
                        <w:rPr>
                          <w:rFonts w:ascii="Candara" w:eastAsia="Times New Roman" w:hAnsi="Candara" w:cs="Times New Roman"/>
                          <w:b/>
                          <w:bCs/>
                          <w:sz w:val="20"/>
                          <w:szCs w:val="20"/>
                          <w:lang w:eastAsia="lv-LV"/>
                        </w:rPr>
                        <w:t xml:space="preserve"> pamatnostād</w:t>
                      </w:r>
                      <w:r>
                        <w:rPr>
                          <w:rFonts w:ascii="Candara" w:eastAsia="Times New Roman" w:hAnsi="Candara" w:cs="Times New Roman"/>
                          <w:b/>
                          <w:bCs/>
                          <w:sz w:val="20"/>
                          <w:szCs w:val="20"/>
                          <w:lang w:eastAsia="lv-LV"/>
                        </w:rPr>
                        <w:t xml:space="preserve">nes 2013.-2019. gadam. </w:t>
                      </w:r>
                      <w:r w:rsidRPr="00AD4B1C">
                        <w:rPr>
                          <w:rFonts w:ascii="Candara" w:eastAsia="Times New Roman" w:hAnsi="Candara" w:cs="Times New Roman"/>
                          <w:bCs/>
                          <w:spacing w:val="-8"/>
                          <w:sz w:val="16"/>
                          <w:lang w:eastAsia="lv-LV"/>
                        </w:rPr>
                        <w:t>Lai nodrošinātu līdzsvarotu valsts attīstību un samazinātu atšķirības teritoriju attīstības rādītājos, Reģionālās politikas pamatnostādnes 2013.-2019.</w:t>
                      </w:r>
                      <w:r>
                        <w:rPr>
                          <w:rFonts w:ascii="Candara" w:eastAsia="Times New Roman" w:hAnsi="Candara" w:cs="Times New Roman"/>
                          <w:bCs/>
                          <w:spacing w:val="-8"/>
                          <w:sz w:val="16"/>
                          <w:lang w:eastAsia="lv-LV"/>
                        </w:rPr>
                        <w:t xml:space="preserve"> gadam</w:t>
                      </w:r>
                      <w:r w:rsidRPr="00AD4B1C">
                        <w:rPr>
                          <w:rFonts w:ascii="Candara" w:eastAsia="Times New Roman" w:hAnsi="Candara" w:cs="Times New Roman"/>
                          <w:bCs/>
                          <w:spacing w:val="-8"/>
                          <w:sz w:val="16"/>
                          <w:lang w:eastAsia="lv-LV"/>
                        </w:rPr>
                        <w:t xml:space="preserve"> paredz reģionālās attīstības atbalsta pasākumus, kā arī pašvaldību lomu uzņēmējdarbības un inovāciju veicināšanā;</w:t>
                      </w:r>
                    </w:p>
                  </w:txbxContent>
                </v:textbox>
              </v:shape>
            </w:pict>
          </mc:Fallback>
        </mc:AlternateContent>
      </w:r>
    </w:p>
    <w:p w:rsidR="00AD4B1C" w:rsidP="00A74C87" w14:paraId="407BE00D" w14:textId="2BAA9481">
      <w:pPr>
        <w:rPr>
          <w:rFonts w:ascii="Candara" w:eastAsia="Times New Roman" w:hAnsi="Candara" w:cs="Times New Roman"/>
          <w:bCs/>
          <w:lang w:eastAsia="lv-LV"/>
        </w:rPr>
      </w:pPr>
    </w:p>
    <w:p w:rsidR="00AD4B1C" w:rsidP="00A74C87" w14:paraId="6B4F21FF" w14:textId="6396FCF2">
      <w:pPr>
        <w:rPr>
          <w:rFonts w:ascii="Candara" w:eastAsia="Times New Roman" w:hAnsi="Candara" w:cs="Times New Roman"/>
          <w:bCs/>
          <w:lang w:eastAsia="lv-LV"/>
        </w:rPr>
      </w:pPr>
      <w:r>
        <w:rPr>
          <w:rFonts w:ascii="Candara" w:eastAsia="Times New Roman" w:hAnsi="Candara" w:cs="Times New Roman"/>
          <w:bCs/>
          <w:noProof/>
          <w:lang w:eastAsia="lv-LV"/>
        </w:rPr>
        <mc:AlternateContent>
          <mc:Choice Requires="wps">
            <w:drawing>
              <wp:anchor distT="0" distB="0" distL="114300" distR="114300" simplePos="0" relativeHeight="251741184" behindDoc="0" locked="0" layoutInCell="1" allowOverlap="1">
                <wp:simplePos x="0" y="0"/>
                <wp:positionH relativeFrom="column">
                  <wp:posOffset>3030220</wp:posOffset>
                </wp:positionH>
                <wp:positionV relativeFrom="paragraph">
                  <wp:posOffset>146050</wp:posOffset>
                </wp:positionV>
                <wp:extent cx="259080" cy="6414770"/>
                <wp:effectExtent l="8255" t="0" r="15875" b="92075"/>
                <wp:wrapNone/>
                <wp:docPr id="72" name="Right Brace 72"/>
                <wp:cNvGraphicFramePr/>
                <a:graphic xmlns:a="http://schemas.openxmlformats.org/drawingml/2006/main">
                  <a:graphicData uri="http://schemas.microsoft.com/office/word/2010/wordprocessingShape">
                    <wps:wsp xmlns:wps="http://schemas.microsoft.com/office/word/2010/wordprocessingShape">
                      <wps:cNvSpPr/>
                      <wps:spPr>
                        <a:xfrm rot="5400000">
                          <a:off x="0" y="0"/>
                          <a:ext cx="259080" cy="6414770"/>
                        </a:xfrm>
                        <a:prstGeom prst="rightBrace">
                          <a:avLst>
                            <a:gd name="adj1" fmla="val 75679"/>
                            <a:gd name="adj2" fmla="val 50000"/>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 o:spid="_x0000_s1065" type="#_x0000_t88" style="width:20.4pt;height:505.1pt;margin-top:11.5pt;margin-left:238.6pt;mso-height-percent:0;mso-height-relative:margin;mso-width-percent:0;mso-width-relative:margin;mso-wrap-distance-bottom:0;mso-wrap-distance-left:9pt;mso-wrap-distance-right:9pt;mso-wrap-distance-top:0;mso-wrap-style:square;position:absolute;rotation:90;visibility:visible;v-text-anchor:middle;z-index:251742208" adj="660" strokecolor="#92278f" strokeweight="1.5pt">
                <v:stroke joinstyle="miter"/>
              </v:shape>
            </w:pict>
          </mc:Fallback>
        </mc:AlternateContent>
      </w:r>
      <w:r>
        <w:rPr>
          <w:rFonts w:ascii="Candara" w:eastAsia="Times New Roman" w:hAnsi="Candara" w:cs="Times New Roman"/>
          <w:bCs/>
          <w:noProof/>
          <w:lang w:eastAsia="lv-LV"/>
        </w:rPr>
        <mc:AlternateContent>
          <mc:Choice Requires="wpg">
            <w:drawing>
              <wp:anchor distT="0" distB="0" distL="114300" distR="114300" simplePos="0" relativeHeight="251737088" behindDoc="0" locked="0" layoutInCell="1" allowOverlap="1">
                <wp:simplePos x="0" y="0"/>
                <wp:positionH relativeFrom="column">
                  <wp:posOffset>452755</wp:posOffset>
                </wp:positionH>
                <wp:positionV relativeFrom="paragraph">
                  <wp:posOffset>208392</wp:posOffset>
                </wp:positionV>
                <wp:extent cx="5337810" cy="2234716"/>
                <wp:effectExtent l="0" t="0" r="0" b="0"/>
                <wp:wrapNone/>
                <wp:docPr id="73" name="Group 73"/>
                <wp:cNvGraphicFramePr/>
                <a:graphic xmlns:a="http://schemas.openxmlformats.org/drawingml/2006/main">
                  <a:graphicData uri="http://schemas.microsoft.com/office/word/2010/wordprocessingGroup">
                    <wpg:wgp xmlns:wpg="http://schemas.microsoft.com/office/word/2010/wordprocessingGroup">
                      <wpg:cNvGrpSpPr/>
                      <wpg:grpSpPr>
                        <a:xfrm>
                          <a:off x="0" y="0"/>
                          <a:ext cx="5337810" cy="2234716"/>
                          <a:chOff x="0" y="-43331"/>
                          <a:chExt cx="5338449" cy="2234716"/>
                        </a:xfrm>
                      </wpg:grpSpPr>
                      <wps:wsp xmlns:wps="http://schemas.microsoft.com/office/word/2010/wordprocessingShape">
                        <wps:cNvPr id="76" name="Text Box 2"/>
                        <wps:cNvSpPr txBox="1">
                          <a:spLocks noChangeArrowheads="1"/>
                        </wps:cNvSpPr>
                        <wps:spPr bwMode="auto">
                          <a:xfrm>
                            <a:off x="190500" y="-6"/>
                            <a:ext cx="1791548" cy="534669"/>
                          </a:xfrm>
                          <a:prstGeom prst="rect">
                            <a:avLst/>
                          </a:prstGeom>
                          <a:noFill/>
                          <a:ln w="3175">
                            <a:noFill/>
                            <a:prstDash val="sysDash"/>
                            <a:miter lim="800000"/>
                            <a:headEnd/>
                            <a:tailEnd/>
                          </a:ln>
                        </wps:spPr>
                        <wps:txbx>
                          <w:txbxContent>
                            <w:p w:rsidR="00B55C40" w:rsidRPr="00C17D33" w:rsidP="00A74C87" w14:textId="77777777">
                              <w:pPr>
                                <w:spacing w:after="0"/>
                                <w:rPr>
                                  <w:rFonts w:ascii="Arial Narrow" w:hAnsi="Arial Narrow"/>
                                  <w:spacing w:val="-6"/>
                                  <w:sz w:val="14"/>
                                  <w:szCs w:val="14"/>
                                </w:rPr>
                              </w:pPr>
                              <w:r w:rsidRPr="00C17D33">
                                <w:rPr>
                                  <w:rFonts w:ascii="Arial Narrow" w:hAnsi="Arial Narrow"/>
                                  <w:spacing w:val="-6"/>
                                  <w:sz w:val="14"/>
                                  <w:szCs w:val="14"/>
                                </w:rPr>
                                <w:t>Ekonomikas strukturālās izmaiņas par labu preču un pakalpojumu ar augstāku pievienoto vērtību ražošanai, rūpniecības un pakalpojumu modernizācija, eksporta sarežģītības attīstība</w:t>
                              </w:r>
                            </w:p>
                          </w:txbxContent>
                        </wps:txbx>
                        <wps:bodyPr rot="0" vert="horz" wrap="square" anchor="t" anchorCtr="0">
                          <a:spAutoFit/>
                        </wps:bodyPr>
                      </wps:wsp>
                      <wps:wsp xmlns:wps="http://schemas.microsoft.com/office/word/2010/wordprocessingShape">
                        <wps:cNvPr id="77" name="AutoShape 2"/>
                        <wps:cNvSpPr>
                          <a:spLocks noChangeArrowheads="1"/>
                        </wps:cNvSpPr>
                        <wps:spPr bwMode="auto">
                          <a:xfrm>
                            <a:off x="1352550" y="371475"/>
                            <a:ext cx="1242060" cy="514350"/>
                          </a:xfrm>
                          <a:prstGeom prst="bracketPair">
                            <a:avLst>
                              <a:gd name="adj" fmla="val 0"/>
                            </a:avLst>
                          </a:prstGeom>
                          <a:noFill/>
                          <a:ln w="12700">
                            <a:solidFill>
                              <a:schemeClr val="bg2">
                                <a:lumMod val="50000"/>
                              </a:schemeClr>
                            </a:solidFill>
                            <a:round/>
                            <a:headEnd/>
                            <a:tailEnd/>
                          </a:ln>
                          <a:extLst>
                            <a:ext xmlns:a="http://schemas.openxmlformats.org/drawingml/2006/main" uri="{909E8E84-426E-40DD-AFC4-6F175D3DCCD1}">
                              <a14:hiddenFill xmlns:a14="http://schemas.microsoft.com/office/drawing/2010/main">
                                <a:solidFill>
                                  <a:srgbClr val="943634"/>
                                </a:solidFill>
                              </a14:hiddenFill>
                            </a:ext>
                            <a:ext xmlns:a="http://schemas.openxmlformats.org/drawingml/2006/main" uri="{AF507438-7753-43E0-B8FC-AC1667EBCBE1}">
                              <a14:hiddenEffects xmlns:a14="http://schemas.microsoft.com/office/drawing/2010/main">
                                <a:effectLst>
                                  <a:outerShdw algn="ctr" dir="2700000" dist="17961" rotWithShape="0">
                                    <a:srgbClr val="9BBB59">
                                      <a:gamma/>
                                      <a:shade val="60000"/>
                                      <a:invGamma/>
                                    </a:srgbClr>
                                  </a:outerShdw>
                                </a:effectLst>
                              </a14:hiddenEffects>
                            </a:ext>
                          </a:extLst>
                        </wps:spPr>
                        <wps:txbx>
                          <w:txbxContent>
                            <w:p w:rsidR="00B55C40" w:rsidP="00A74C87" w14:textId="77777777">
                              <w:pPr>
                                <w:pStyle w:val="Normal2"/>
                                <w:spacing w:after="0"/>
                                <w:ind w:firstLine="0"/>
                                <w:jc w:val="center"/>
                                <w:rPr>
                                  <w:rFonts w:ascii="Arial Narrow" w:hAnsi="Arial Narrow" w:cstheme="minorBidi"/>
                                  <w:b/>
                                  <w:color w:val="auto"/>
                                  <w:spacing w:val="-6"/>
                                  <w:sz w:val="16"/>
                                </w:rPr>
                              </w:pPr>
                            </w:p>
                            <w:p w:rsidR="00B55C40" w:rsidRPr="00840E61" w:rsidP="00A74C87" w14:textId="77777777">
                              <w:pPr>
                                <w:pStyle w:val="Normal2"/>
                                <w:spacing w:after="0"/>
                                <w:ind w:firstLine="0"/>
                                <w:jc w:val="center"/>
                                <w:rPr>
                                  <w:rFonts w:ascii="Arial Narrow" w:hAnsi="Arial Narrow" w:cstheme="minorBidi"/>
                                  <w:b/>
                                  <w:color w:val="92278F" w:themeColor="accent1"/>
                                  <w:spacing w:val="-6"/>
                                  <w:sz w:val="16"/>
                                </w:rPr>
                              </w:pPr>
                              <w:r w:rsidRPr="00840E61">
                                <w:rPr>
                                  <w:rFonts w:ascii="Arial Narrow" w:hAnsi="Arial Narrow" w:cstheme="minorBidi"/>
                                  <w:b/>
                                  <w:color w:val="92278F" w:themeColor="accent1"/>
                                  <w:spacing w:val="-6"/>
                                  <w:sz w:val="16"/>
                                </w:rPr>
                                <w:t>Nacionālās industriālās politikas pamatnostādnes 2014.-2020</w:t>
                              </w:r>
                            </w:p>
                          </w:txbxContent>
                        </wps:txbx>
                        <wps:bodyPr rot="0" vert="horz" wrap="square" lIns="36000" tIns="0" rIns="36000" bIns="0" anchor="t" anchorCtr="0" upright="1"/>
                      </wps:wsp>
                      <wpg:grpSp>
                        <wpg:cNvPr id="78" name="Group 78"/>
                        <wpg:cNvGrpSpPr/>
                        <wpg:grpSpPr>
                          <a:xfrm>
                            <a:off x="1885950" y="847725"/>
                            <a:ext cx="1562735" cy="1343660"/>
                            <a:chOff x="1954210" y="589884"/>
                            <a:chExt cx="1834245" cy="1527917"/>
                          </a:xfrm>
                        </wpg:grpSpPr>
                        <wps:wsp xmlns:wps="http://schemas.microsoft.com/office/word/2010/wordprocessingShape">
                          <wps:cNvPr id="80" name="Isosceles Triangle 80"/>
                          <wps:cNvSpPr/>
                          <wps:spPr>
                            <a:xfrm>
                              <a:off x="2304882" y="877757"/>
                              <a:ext cx="1084095" cy="927473"/>
                            </a:xfrm>
                            <a:prstGeom prst="triangle">
                              <a:avLst/>
                            </a:prstGeom>
                            <a:solidFill>
                              <a:schemeClr val="bg2">
                                <a:lumMod val="75000"/>
                              </a:schemeClr>
                            </a:solidFill>
                            <a:ln w="12700">
                              <a:solidFill>
                                <a:schemeClr val="tx1"/>
                              </a:solidFill>
                            </a:ln>
                            <a:effectLst/>
                          </wps:spPr>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82" name="Text Box 82"/>
                          <wps:cNvSpPr txBox="1">
                            <a:spLocks noChangeArrowheads="1"/>
                          </wps:cNvSpPr>
                          <wps:spPr bwMode="auto">
                            <a:xfrm>
                              <a:off x="2852465" y="1829800"/>
                              <a:ext cx="935990" cy="288001"/>
                            </a:xfrm>
                            <a:prstGeom prst="rect">
                              <a:avLst/>
                            </a:prstGeom>
                            <a:noFill/>
                            <a:ln w="12700">
                              <a:noFill/>
                              <a:miter lim="800000"/>
                              <a:headEnd/>
                              <a:tailEnd/>
                            </a:ln>
                          </wps:spPr>
                          <wps:txbx>
                            <w:txbxContent>
                              <w:p w:rsidR="00B55C40" w:rsidRPr="00873AA9" w:rsidP="00A74C87" w14:textId="77777777">
                                <w:pPr>
                                  <w:pStyle w:val="Zmjums"/>
                                  <w:spacing w:before="40"/>
                                  <w:rPr>
                                    <w:rStyle w:val="Strong"/>
                                    <w:b w:val="0"/>
                                  </w:rPr>
                                </w:pPr>
                                <w:r w:rsidRPr="00873AA9">
                                  <w:rPr>
                                    <w:rStyle w:val="Strong"/>
                                  </w:rPr>
                                  <w:t>ZINĀTNE</w:t>
                                </w:r>
                              </w:p>
                            </w:txbxContent>
                          </wps:txbx>
                          <wps:bodyPr rot="0" vert="horz" wrap="square" anchor="t" anchorCtr="0"/>
                        </wps:wsp>
                        <wps:wsp xmlns:wps="http://schemas.microsoft.com/office/word/2010/wordprocessingShape">
                          <wps:cNvPr id="83" name="Text Box 83"/>
                          <wps:cNvSpPr txBox="1">
                            <a:spLocks noChangeArrowheads="1"/>
                          </wps:cNvSpPr>
                          <wps:spPr bwMode="auto">
                            <a:xfrm>
                              <a:off x="1954210" y="1817514"/>
                              <a:ext cx="935990" cy="287999"/>
                            </a:xfrm>
                            <a:prstGeom prst="rect">
                              <a:avLst/>
                            </a:prstGeom>
                            <a:noFill/>
                            <a:ln w="12700">
                              <a:noFill/>
                              <a:miter lim="800000"/>
                              <a:headEnd/>
                              <a:tailEnd/>
                            </a:ln>
                          </wps:spPr>
                          <wps:txbx>
                            <w:txbxContent>
                              <w:p w:rsidR="00B55C40" w:rsidRPr="00873AA9" w:rsidP="00A74C87" w14:textId="77777777">
                                <w:pPr>
                                  <w:pStyle w:val="Zmjums"/>
                                  <w:spacing w:before="40"/>
                                  <w:rPr>
                                    <w:rStyle w:val="Strong"/>
                                    <w:b w:val="0"/>
                                  </w:rPr>
                                </w:pPr>
                                <w:r w:rsidRPr="00873AA9">
                                  <w:rPr>
                                    <w:rStyle w:val="Strong"/>
                                  </w:rPr>
                                  <w:t>IZGLĪTĪBA</w:t>
                                </w:r>
                              </w:p>
                            </w:txbxContent>
                          </wps:txbx>
                          <wps:bodyPr rot="0" vert="horz" wrap="square" anchor="t" anchorCtr="0"/>
                        </wps:wsp>
                        <wps:wsp xmlns:wps="http://schemas.microsoft.com/office/word/2010/wordprocessingShape">
                          <wps:cNvPr id="85" name="Text Box 85"/>
                          <wps:cNvSpPr txBox="1">
                            <a:spLocks noChangeArrowheads="1"/>
                          </wps:cNvSpPr>
                          <wps:spPr bwMode="auto">
                            <a:xfrm>
                              <a:off x="2275007" y="589884"/>
                              <a:ext cx="1162685" cy="288002"/>
                            </a:xfrm>
                            <a:prstGeom prst="rect">
                              <a:avLst/>
                            </a:prstGeom>
                            <a:noFill/>
                            <a:ln w="12700">
                              <a:noFill/>
                              <a:miter lim="800000"/>
                              <a:headEnd/>
                              <a:tailEnd/>
                            </a:ln>
                          </wps:spPr>
                          <wps:txbx>
                            <w:txbxContent>
                              <w:p w:rsidR="00B55C40" w:rsidRPr="003948C7" w:rsidP="00A74C87" w14:textId="77777777">
                                <w:pPr>
                                  <w:pStyle w:val="Zmjums"/>
                                  <w:spacing w:after="0"/>
                                  <w:rPr>
                                    <w:rStyle w:val="Strong"/>
                                    <w:b w:val="0"/>
                                    <w:sz w:val="16"/>
                                  </w:rPr>
                                </w:pPr>
                                <w:r w:rsidRPr="003948C7">
                                  <w:rPr>
                                    <w:rStyle w:val="Strong"/>
                                    <w:sz w:val="16"/>
                                  </w:rPr>
                                  <w:t>UZŅĒMĒJDARBĪBA</w:t>
                                </w:r>
                              </w:p>
                            </w:txbxContent>
                          </wps:txbx>
                          <wps:bodyPr rot="0" vert="horz" wrap="square" anchor="t" anchorCtr="0"/>
                        </wps:wsp>
                      </wpg:grpSp>
                      <wps:wsp xmlns:wps="http://schemas.microsoft.com/office/word/2010/wordprocessingShape">
                        <wps:cNvPr id="86" name="AutoShape 2"/>
                        <wps:cNvSpPr>
                          <a:spLocks noChangeArrowheads="1"/>
                        </wps:cNvSpPr>
                        <wps:spPr bwMode="auto">
                          <a:xfrm>
                            <a:off x="923925" y="1666875"/>
                            <a:ext cx="1069340" cy="428625"/>
                          </a:xfrm>
                          <a:prstGeom prst="bracketPair">
                            <a:avLst>
                              <a:gd name="adj" fmla="val 0"/>
                            </a:avLst>
                          </a:prstGeom>
                          <a:noFill/>
                          <a:ln w="12700">
                            <a:solidFill>
                              <a:schemeClr val="bg2">
                                <a:lumMod val="50000"/>
                              </a:schemeClr>
                            </a:solidFill>
                            <a:round/>
                            <a:headEnd/>
                            <a:tailEnd/>
                          </a:ln>
                          <a:extLst>
                            <a:ext xmlns:a="http://schemas.openxmlformats.org/drawingml/2006/main" uri="{909E8E84-426E-40DD-AFC4-6F175D3DCCD1}">
                              <a14:hiddenFill xmlns:a14="http://schemas.microsoft.com/office/drawing/2010/main">
                                <a:solidFill>
                                  <a:srgbClr val="943634"/>
                                </a:solidFill>
                              </a14:hiddenFill>
                            </a:ext>
                            <a:ext xmlns:a="http://schemas.openxmlformats.org/drawingml/2006/main" uri="{AF507438-7753-43E0-B8FC-AC1667EBCBE1}">
                              <a14:hiddenEffects xmlns:a14="http://schemas.microsoft.com/office/drawing/2010/main">
                                <a:effectLst>
                                  <a:outerShdw algn="ctr" dir="2700000" dist="17961" rotWithShape="0">
                                    <a:srgbClr val="9BBB59">
                                      <a:gamma/>
                                      <a:shade val="60000"/>
                                      <a:invGamma/>
                                    </a:srgbClr>
                                  </a:outerShdw>
                                </a:effectLst>
                              </a14:hiddenEffects>
                            </a:ext>
                          </a:extLst>
                        </wps:spPr>
                        <wps:txbx>
                          <w:txbxContent>
                            <w:p w:rsidR="00B55C40" w:rsidRPr="00840E61" w:rsidP="00A74C87" w14:textId="77777777">
                              <w:pPr>
                                <w:spacing w:after="0"/>
                                <w:jc w:val="center"/>
                                <w:rPr>
                                  <w:rFonts w:ascii="Arial Narrow" w:eastAsia="Times New Roman" w:hAnsi="Arial Narrow"/>
                                  <w:b/>
                                  <w:color w:val="92278F" w:themeColor="accent1"/>
                                  <w:spacing w:val="-6"/>
                                  <w:sz w:val="16"/>
                                  <w:lang w:bidi="lo-LA"/>
                                </w:rPr>
                              </w:pPr>
                              <w:r w:rsidRPr="00840E61">
                                <w:rPr>
                                  <w:rFonts w:ascii="Arial Narrow" w:eastAsia="Times New Roman" w:hAnsi="Arial Narrow"/>
                                  <w:b/>
                                  <w:color w:val="92278F" w:themeColor="accent1"/>
                                  <w:spacing w:val="-6"/>
                                  <w:sz w:val="16"/>
                                  <w:lang w:bidi="lo-LA"/>
                                </w:rPr>
                                <w:t xml:space="preserve">Izglītības attīstības pamatnostādnes </w:t>
                              </w:r>
                            </w:p>
                            <w:p w:rsidR="00B55C40" w:rsidRPr="00840E61" w:rsidP="00A74C87" w14:textId="77777777">
                              <w:pPr>
                                <w:spacing w:after="0"/>
                                <w:jc w:val="center"/>
                                <w:rPr>
                                  <w:rFonts w:ascii="Arial Narrow" w:hAnsi="Arial Narrow"/>
                                  <w:b/>
                                  <w:i/>
                                  <w:iCs/>
                                  <w:color w:val="92278F" w:themeColor="accent1"/>
                                  <w:spacing w:val="-6"/>
                                  <w:sz w:val="16"/>
                                </w:rPr>
                              </w:pPr>
                              <w:r w:rsidRPr="00840E61">
                                <w:rPr>
                                  <w:rFonts w:ascii="Arial Narrow" w:eastAsia="Times New Roman" w:hAnsi="Arial Narrow"/>
                                  <w:b/>
                                  <w:color w:val="92278F" w:themeColor="accent1"/>
                                  <w:spacing w:val="-6"/>
                                  <w:sz w:val="16"/>
                                  <w:lang w:bidi="lo-LA"/>
                                </w:rPr>
                                <w:t>2014.-2020</w:t>
                              </w:r>
                            </w:p>
                          </w:txbxContent>
                        </wps:txbx>
                        <wps:bodyPr rot="0" vert="horz" wrap="square" lIns="36000" tIns="0" rIns="36000" bIns="0" anchor="t" anchorCtr="0" upright="1"/>
                      </wps:wsp>
                      <wps:wsp xmlns:wps="http://schemas.microsoft.com/office/word/2010/wordprocessingShape">
                        <wps:cNvPr id="87" name="AutoShape 2"/>
                        <wps:cNvSpPr>
                          <a:spLocks noChangeArrowheads="1"/>
                        </wps:cNvSpPr>
                        <wps:spPr bwMode="auto">
                          <a:xfrm>
                            <a:off x="3314700" y="1647825"/>
                            <a:ext cx="1924050" cy="452120"/>
                          </a:xfrm>
                          <a:prstGeom prst="bracketPair">
                            <a:avLst>
                              <a:gd name="adj" fmla="val 0"/>
                            </a:avLst>
                          </a:prstGeom>
                          <a:noFill/>
                          <a:ln w="12700">
                            <a:solidFill>
                              <a:schemeClr val="bg2">
                                <a:lumMod val="50000"/>
                              </a:schemeClr>
                            </a:solidFill>
                            <a:round/>
                            <a:headEnd/>
                            <a:tailEnd/>
                          </a:ln>
                          <a:extLst>
                            <a:ext xmlns:a="http://schemas.openxmlformats.org/drawingml/2006/main" uri="{909E8E84-426E-40DD-AFC4-6F175D3DCCD1}">
                              <a14:hiddenFill xmlns:a14="http://schemas.microsoft.com/office/drawing/2010/main">
                                <a:solidFill>
                                  <a:srgbClr val="943634"/>
                                </a:solidFill>
                              </a14:hiddenFill>
                            </a:ext>
                            <a:ext xmlns:a="http://schemas.openxmlformats.org/drawingml/2006/main" uri="{AF507438-7753-43E0-B8FC-AC1667EBCBE1}">
                              <a14:hiddenEffects xmlns:a14="http://schemas.microsoft.com/office/drawing/2010/main">
                                <a:effectLst>
                                  <a:outerShdw algn="ctr" dir="2700000" dist="17961" rotWithShape="0">
                                    <a:srgbClr val="9BBB59">
                                      <a:gamma/>
                                      <a:shade val="60000"/>
                                      <a:invGamma/>
                                    </a:srgbClr>
                                  </a:outerShdw>
                                </a:effectLst>
                              </a14:hiddenEffects>
                            </a:ext>
                          </a:extLst>
                        </wps:spPr>
                        <wps:txbx>
                          <w:txbxContent>
                            <w:p w:rsidR="00B55C40" w:rsidRPr="00840E61" w:rsidP="00A74C87" w14:textId="77777777">
                              <w:pPr>
                                <w:spacing w:after="0"/>
                                <w:jc w:val="center"/>
                                <w:rPr>
                                  <w:rFonts w:ascii="Arial Narrow" w:hAnsi="Arial Narrow"/>
                                  <w:b/>
                                  <w:i/>
                                  <w:iCs/>
                                  <w:color w:val="92278F" w:themeColor="accent1"/>
                                  <w:spacing w:val="-6"/>
                                  <w:sz w:val="16"/>
                                </w:rPr>
                              </w:pPr>
                              <w:r w:rsidRPr="00840E61">
                                <w:rPr>
                                  <w:rFonts w:ascii="Arial Narrow" w:eastAsia="Times New Roman" w:hAnsi="Arial Narrow"/>
                                  <w:b/>
                                  <w:color w:val="92278F" w:themeColor="accent1"/>
                                  <w:spacing w:val="-6"/>
                                  <w:sz w:val="16"/>
                                  <w:lang w:bidi="lo-LA"/>
                                </w:rPr>
                                <w:t>Zinātnes, tehnoloģiju attīstības un inovācijas pamatnostādnes 2014.-2020</w:t>
                              </w:r>
                            </w:p>
                            <w:p w:rsidR="00B55C40" w:rsidRPr="0055031E" w:rsidP="00A74C87" w14:textId="77777777">
                              <w:pPr>
                                <w:pStyle w:val="Normal2"/>
                                <w:spacing w:after="0"/>
                                <w:ind w:firstLine="0"/>
                                <w:jc w:val="center"/>
                                <w:rPr>
                                  <w:rFonts w:ascii="Arial Narrow" w:hAnsi="Arial Narrow" w:cstheme="minorBidi"/>
                                  <w:color w:val="auto"/>
                                  <w:spacing w:val="-6"/>
                                  <w:sz w:val="16"/>
                                </w:rPr>
                              </w:pPr>
                              <w:r w:rsidRPr="0055031E">
                                <w:rPr>
                                  <w:rFonts w:ascii="Arial Narrow" w:hAnsi="Arial Narrow" w:cstheme="minorBidi"/>
                                  <w:color w:val="auto"/>
                                  <w:spacing w:val="-6"/>
                                  <w:sz w:val="16"/>
                                </w:rPr>
                                <w:t>(Ietver RIS3 konceptu tautsaimniecības transformācijai)</w:t>
                              </w:r>
                            </w:p>
                          </w:txbxContent>
                        </wps:txbx>
                        <wps:bodyPr rot="0" vert="horz" wrap="square" lIns="0" tIns="0" rIns="0" bIns="0" anchor="t" anchorCtr="0" upright="1"/>
                      </wps:wsp>
                      <wps:wsp xmlns:wps="http://schemas.microsoft.com/office/word/2010/wordprocessingShape">
                        <wps:cNvPr id="88" name="Text Box 2"/>
                        <wps:cNvSpPr txBox="1">
                          <a:spLocks noChangeArrowheads="1"/>
                        </wps:cNvSpPr>
                        <wps:spPr bwMode="auto">
                          <a:xfrm>
                            <a:off x="3676650" y="1304925"/>
                            <a:ext cx="1619884" cy="314959"/>
                          </a:xfrm>
                          <a:prstGeom prst="rect">
                            <a:avLst/>
                          </a:prstGeom>
                          <a:noFill/>
                          <a:ln w="3175">
                            <a:noFill/>
                            <a:prstDash val="sysDash"/>
                            <a:miter lim="800000"/>
                            <a:headEnd/>
                            <a:tailEnd/>
                          </a:ln>
                        </wps:spPr>
                        <wps:txbx>
                          <w:txbxContent>
                            <w:p w:rsidR="00B55C40" w:rsidRPr="00C17D33" w:rsidP="00A74C87" w14:textId="77777777">
                              <w:pPr>
                                <w:spacing w:after="0"/>
                                <w:jc w:val="right"/>
                                <w:rPr>
                                  <w:rFonts w:ascii="Arial Narrow" w:hAnsi="Arial Narrow"/>
                                  <w:spacing w:val="-6"/>
                                  <w:sz w:val="14"/>
                                  <w:szCs w:val="14"/>
                                </w:rPr>
                              </w:pPr>
                              <w:r w:rsidRPr="00C17D33">
                                <w:rPr>
                                  <w:rFonts w:ascii="Arial Narrow" w:hAnsi="Arial Narrow"/>
                                  <w:spacing w:val="-6"/>
                                  <w:sz w:val="14"/>
                                  <w:szCs w:val="14"/>
                                </w:rPr>
                                <w:t>Latvijas zināšanu bāzes un inovāciju kapacitātes attīstība un inovāciju sistēmas koordinācija</w:t>
                              </w:r>
                            </w:p>
                          </w:txbxContent>
                        </wps:txbx>
                        <wps:bodyPr rot="0" vert="horz" wrap="square" anchor="t" anchorCtr="0">
                          <a:spAutoFit/>
                        </wps:bodyPr>
                      </wps:wsp>
                      <wps:wsp xmlns:wps="http://schemas.microsoft.com/office/word/2010/wordprocessingShape">
                        <wps:cNvPr id="90" name="Text Box 2"/>
                        <wps:cNvSpPr txBox="1">
                          <a:spLocks noChangeArrowheads="1"/>
                        </wps:cNvSpPr>
                        <wps:spPr bwMode="auto">
                          <a:xfrm>
                            <a:off x="0" y="1362075"/>
                            <a:ext cx="1381124" cy="424814"/>
                          </a:xfrm>
                          <a:prstGeom prst="rect">
                            <a:avLst/>
                          </a:prstGeom>
                          <a:noFill/>
                          <a:ln w="3175">
                            <a:noFill/>
                            <a:prstDash val="sysDash"/>
                            <a:miter lim="800000"/>
                            <a:headEnd/>
                            <a:tailEnd/>
                          </a:ln>
                        </wps:spPr>
                        <wps:txbx>
                          <w:txbxContent>
                            <w:p w:rsidR="00B55C40" w:rsidRPr="00C17D33" w:rsidP="00A74C87" w14:textId="77777777">
                              <w:pPr>
                                <w:spacing w:after="0"/>
                                <w:rPr>
                                  <w:rFonts w:ascii="Arial Narrow" w:hAnsi="Arial Narrow"/>
                                  <w:spacing w:val="-6"/>
                                  <w:sz w:val="14"/>
                                  <w:szCs w:val="14"/>
                                </w:rPr>
                              </w:pPr>
                              <w:r w:rsidRPr="00C17D33">
                                <w:rPr>
                                  <w:rFonts w:ascii="Arial Narrow" w:hAnsi="Arial Narrow"/>
                                  <w:spacing w:val="-6"/>
                                  <w:sz w:val="14"/>
                                  <w:szCs w:val="14"/>
                                </w:rPr>
                                <w:t>Kvalitatīva un iekļaujoša izglītība personības attīstībai, cilvēku labklājībai un ilgtspējīgai valsts izaugsmei</w:t>
                              </w:r>
                            </w:p>
                          </w:txbxContent>
                        </wps:txbx>
                        <wps:bodyPr rot="0" vert="horz" wrap="square" anchor="t" anchorCtr="0">
                          <a:spAutoFit/>
                        </wps:bodyPr>
                      </wps:wsp>
                      <wps:wsp xmlns:wps="http://schemas.microsoft.com/office/word/2010/wordprocessingShape">
                        <wps:cNvPr id="91" name="AutoShape 2"/>
                        <wps:cNvSpPr>
                          <a:spLocks noChangeArrowheads="1"/>
                        </wps:cNvSpPr>
                        <wps:spPr bwMode="auto">
                          <a:xfrm>
                            <a:off x="2752725" y="361950"/>
                            <a:ext cx="1409700" cy="533400"/>
                          </a:xfrm>
                          <a:prstGeom prst="bracketPair">
                            <a:avLst>
                              <a:gd name="adj" fmla="val 0"/>
                            </a:avLst>
                          </a:prstGeom>
                          <a:noFill/>
                          <a:ln w="12700">
                            <a:solidFill>
                              <a:schemeClr val="bg2">
                                <a:lumMod val="50000"/>
                              </a:schemeClr>
                            </a:solidFill>
                            <a:round/>
                            <a:headEnd/>
                            <a:tailEnd/>
                          </a:ln>
                          <a:extLst>
                            <a:ext xmlns:a="http://schemas.openxmlformats.org/drawingml/2006/main" uri="{909E8E84-426E-40DD-AFC4-6F175D3DCCD1}">
                              <a14:hiddenFill xmlns:a14="http://schemas.microsoft.com/office/drawing/2010/main">
                                <a:solidFill>
                                  <a:srgbClr val="943634"/>
                                </a:solidFill>
                              </a14:hiddenFill>
                            </a:ext>
                            <a:ext xmlns:a="http://schemas.openxmlformats.org/drawingml/2006/main" uri="{AF507438-7753-43E0-B8FC-AC1667EBCBE1}">
                              <a14:hiddenEffects xmlns:a14="http://schemas.microsoft.com/office/drawing/2010/main">
                                <a:effectLst>
                                  <a:outerShdw algn="ctr" dir="2700000" dist="17961" rotWithShape="0">
                                    <a:srgbClr val="9BBB59">
                                      <a:gamma/>
                                      <a:shade val="60000"/>
                                      <a:invGamma/>
                                    </a:srgbClr>
                                  </a:outerShdw>
                                </a:effectLst>
                              </a14:hiddenEffects>
                            </a:ext>
                          </a:extLst>
                        </wps:spPr>
                        <wps:txbx>
                          <w:txbxContent>
                            <w:p w:rsidR="00B55C40" w:rsidRPr="00840E61" w:rsidP="00A74C87" w14:textId="77777777">
                              <w:pPr>
                                <w:pStyle w:val="Normal2"/>
                                <w:spacing w:after="0"/>
                                <w:ind w:firstLine="0"/>
                                <w:jc w:val="center"/>
                                <w:rPr>
                                  <w:rFonts w:ascii="Arial Narrow" w:hAnsi="Arial Narrow" w:cstheme="minorBidi"/>
                                  <w:b/>
                                  <w:color w:val="92278F" w:themeColor="accent1"/>
                                  <w:spacing w:val="-6"/>
                                  <w:sz w:val="16"/>
                                </w:rPr>
                              </w:pPr>
                              <w:r w:rsidRPr="00840E61">
                                <w:rPr>
                                  <w:rFonts w:ascii="Arial Narrow" w:hAnsi="Arial Narrow" w:cstheme="minorBidi"/>
                                  <w:b/>
                                  <w:color w:val="92278F" w:themeColor="accent1"/>
                                  <w:spacing w:val="-6"/>
                                  <w:sz w:val="16"/>
                                </w:rPr>
                                <w:t xml:space="preserve">Latvijas preču un pakalpojumu eksporta veicināšanas un ārvalstu investīciju piesaistes </w:t>
                              </w:r>
                              <w:r>
                                <w:rPr>
                                  <w:rFonts w:ascii="Arial Narrow" w:hAnsi="Arial Narrow" w:cstheme="minorBidi"/>
                                  <w:b/>
                                  <w:color w:val="92278F" w:themeColor="accent1"/>
                                  <w:spacing w:val="-6"/>
                                  <w:sz w:val="16"/>
                                </w:rPr>
                                <w:t>p</w:t>
                              </w:r>
                              <w:r w:rsidRPr="00840E61">
                                <w:rPr>
                                  <w:rFonts w:ascii="Arial Narrow" w:hAnsi="Arial Narrow" w:cstheme="minorBidi"/>
                                  <w:b/>
                                  <w:color w:val="92278F" w:themeColor="accent1"/>
                                  <w:spacing w:val="-6"/>
                                  <w:sz w:val="16"/>
                                </w:rPr>
                                <w:t>amatnostādnes 2013.-2019</w:t>
                              </w:r>
                            </w:p>
                          </w:txbxContent>
                        </wps:txbx>
                        <wps:bodyPr rot="0" vert="horz" wrap="square" lIns="36000" tIns="0" rIns="36000" bIns="0" anchor="t" anchorCtr="0" upright="1"/>
                      </wps:wsp>
                      <wps:wsp xmlns:wps="http://schemas.microsoft.com/office/word/2010/wordprocessingShape">
                        <wps:cNvPr id="92" name="Text Box 2"/>
                        <wps:cNvSpPr txBox="1">
                          <a:spLocks noChangeArrowheads="1"/>
                        </wps:cNvSpPr>
                        <wps:spPr bwMode="auto">
                          <a:xfrm>
                            <a:off x="3149843" y="-43331"/>
                            <a:ext cx="2188606" cy="534669"/>
                          </a:xfrm>
                          <a:prstGeom prst="rect">
                            <a:avLst/>
                          </a:prstGeom>
                          <a:noFill/>
                          <a:ln w="3175">
                            <a:noFill/>
                            <a:prstDash val="sysDash"/>
                            <a:miter lim="800000"/>
                            <a:headEnd/>
                            <a:tailEnd/>
                          </a:ln>
                        </wps:spPr>
                        <wps:txbx>
                          <w:txbxContent>
                            <w:p w:rsidR="00B55C40" w:rsidRPr="00C17D33" w:rsidP="00A74C87" w14:textId="77777777">
                              <w:pPr>
                                <w:spacing w:after="0"/>
                                <w:jc w:val="right"/>
                                <w:rPr>
                                  <w:rFonts w:ascii="Arial Narrow" w:hAnsi="Arial Narrow"/>
                                  <w:spacing w:val="-6"/>
                                  <w:sz w:val="14"/>
                                  <w:szCs w:val="14"/>
                                </w:rPr>
                              </w:pPr>
                              <w:r>
                                <w:rPr>
                                  <w:rFonts w:ascii="Arial Narrow" w:hAnsi="Arial Narrow"/>
                                  <w:spacing w:val="-6"/>
                                  <w:sz w:val="14"/>
                                  <w:szCs w:val="14"/>
                                </w:rPr>
                                <w:t>T</w:t>
                              </w:r>
                              <w:r w:rsidRPr="006251D5">
                                <w:rPr>
                                  <w:rFonts w:ascii="Arial Narrow" w:hAnsi="Arial Narrow"/>
                                  <w:spacing w:val="-6"/>
                                  <w:sz w:val="14"/>
                                  <w:szCs w:val="14"/>
                                </w:rPr>
                                <w:t>autsaimniecības konkurētspēj</w:t>
                              </w:r>
                              <w:r>
                                <w:rPr>
                                  <w:rFonts w:ascii="Arial Narrow" w:hAnsi="Arial Narrow"/>
                                  <w:spacing w:val="-6"/>
                                  <w:sz w:val="14"/>
                                  <w:szCs w:val="14"/>
                                </w:rPr>
                                <w:t>a</w:t>
                              </w:r>
                              <w:r w:rsidRPr="006251D5">
                                <w:rPr>
                                  <w:rFonts w:ascii="Arial Narrow" w:hAnsi="Arial Narrow"/>
                                  <w:spacing w:val="-6"/>
                                  <w:sz w:val="14"/>
                                  <w:szCs w:val="14"/>
                                </w:rPr>
                                <w:t xml:space="preserve"> atvērtos produktu tirgos, sekmējot augsto un vidēji augsto tehnoloģiju nozaru produkcijas pi</w:t>
                              </w:r>
                              <w:r>
                                <w:rPr>
                                  <w:rFonts w:ascii="Arial Narrow" w:hAnsi="Arial Narrow"/>
                                  <w:spacing w:val="-6"/>
                                  <w:sz w:val="14"/>
                                  <w:szCs w:val="14"/>
                                </w:rPr>
                                <w:t>eaugumu Latvijas eksportā, un</w:t>
                              </w:r>
                              <w:r w:rsidRPr="006251D5">
                                <w:rPr>
                                  <w:rFonts w:ascii="Arial Narrow" w:hAnsi="Arial Narrow"/>
                                  <w:spacing w:val="-6"/>
                                  <w:sz w:val="14"/>
                                  <w:szCs w:val="14"/>
                                </w:rPr>
                                <w:t xml:space="preserve"> ĀTI piesaistē fokusē</w:t>
                              </w:r>
                              <w:r>
                                <w:rPr>
                                  <w:rFonts w:ascii="Arial Narrow" w:hAnsi="Arial Narrow"/>
                                  <w:spacing w:val="-6"/>
                                  <w:sz w:val="14"/>
                                  <w:szCs w:val="14"/>
                                </w:rPr>
                                <w:t>t</w:t>
                              </w:r>
                              <w:r w:rsidRPr="006251D5">
                                <w:rPr>
                                  <w:rFonts w:ascii="Arial Narrow" w:hAnsi="Arial Narrow"/>
                                  <w:spacing w:val="-6"/>
                                  <w:sz w:val="14"/>
                                  <w:szCs w:val="14"/>
                                </w:rPr>
                                <w:t>ies uz ārējo pieprasījumu orientētajām nozarēm</w:t>
                              </w:r>
                              <w:r w:rsidRPr="007B1700">
                                <w:rPr>
                                  <w:rFonts w:ascii="Arial Narrow" w:hAnsi="Arial Narrow"/>
                                  <w:spacing w:val="-6"/>
                                  <w:sz w:val="14"/>
                                  <w:szCs w:val="14"/>
                                </w:rPr>
                                <w:t>.</w:t>
                              </w:r>
                            </w:p>
                          </w:txbxContent>
                        </wps:txbx>
                        <wps:bodyPr rot="0" vert="horz" wrap="square"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3" o:spid="_x0000_s1066" style="width:420.3pt;height:175.95pt;margin-top:16.4pt;margin-left:35.65pt;mso-height-relative:margin;mso-width-relative:margin;position:absolute;z-index:251738112" coordorigin="0,-433" coordsize="53384,22347">
                <v:shape id="_x0000_s1067" type="#_x0000_t202" style="width:17915;height:5346;left:1905;mso-wrap-style:square;position:absolute;visibility:visible;v-text-anchor:top" filled="f" stroked="f" strokeweight="0.25pt">
                  <v:stroke dashstyle="solid"/>
                  <v:textbox style="mso-fit-shape-to-text:t">
                    <w:txbxContent>
                      <w:p w:rsidR="00B55C40" w:rsidRPr="00C17D33" w:rsidP="00A74C87" w14:paraId="754634C6" w14:textId="77777777">
                        <w:pPr>
                          <w:spacing w:after="0"/>
                          <w:rPr>
                            <w:rFonts w:ascii="Arial Narrow" w:hAnsi="Arial Narrow"/>
                            <w:spacing w:val="-6"/>
                            <w:sz w:val="14"/>
                            <w:szCs w:val="14"/>
                          </w:rPr>
                        </w:pPr>
                        <w:r w:rsidRPr="00C17D33">
                          <w:rPr>
                            <w:rFonts w:ascii="Arial Narrow" w:hAnsi="Arial Narrow"/>
                            <w:spacing w:val="-6"/>
                            <w:sz w:val="14"/>
                            <w:szCs w:val="14"/>
                          </w:rPr>
                          <w:t>Ekonomikas strukturālās izmaiņas par labu preču un pakalpojumu ar augstāku pievienoto vērtību ražošanai, rūpniecības un pakalpojumu modernizācija, eksporta sarežģītības attīstība</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68" type="#_x0000_t185" style="width:12421;height:5144;left:13525;mso-wrap-style:square;position:absolute;top:3714;visibility:visible;v-text-anchor:top" adj="0" fillcolor="#943634" strokecolor="#7d6482" strokeweight="1pt">
                  <v:shadow color="#5d7035" offset="1pt,1pt"/>
                  <v:textbox inset="2.83pt,0,2.83pt,0">
                    <w:txbxContent>
                      <w:p w:rsidR="00B55C40" w:rsidP="00A74C87" w14:paraId="028386C7" w14:textId="77777777">
                        <w:pPr>
                          <w:pStyle w:val="Normal2"/>
                          <w:spacing w:after="0"/>
                          <w:ind w:firstLine="0"/>
                          <w:jc w:val="center"/>
                          <w:rPr>
                            <w:rFonts w:ascii="Arial Narrow" w:hAnsi="Arial Narrow" w:cstheme="minorBidi"/>
                            <w:b/>
                            <w:color w:val="auto"/>
                            <w:spacing w:val="-6"/>
                            <w:sz w:val="16"/>
                          </w:rPr>
                        </w:pPr>
                      </w:p>
                      <w:p w:rsidR="00B55C40" w:rsidRPr="00840E61" w:rsidP="00A74C87" w14:paraId="0AD62829" w14:textId="77777777">
                        <w:pPr>
                          <w:pStyle w:val="Normal2"/>
                          <w:spacing w:after="0"/>
                          <w:ind w:firstLine="0"/>
                          <w:jc w:val="center"/>
                          <w:rPr>
                            <w:rFonts w:ascii="Arial Narrow" w:hAnsi="Arial Narrow" w:cstheme="minorBidi"/>
                            <w:b/>
                            <w:color w:val="92278F" w:themeColor="accent1"/>
                            <w:spacing w:val="-6"/>
                            <w:sz w:val="16"/>
                          </w:rPr>
                        </w:pPr>
                        <w:r w:rsidRPr="00840E61">
                          <w:rPr>
                            <w:rFonts w:ascii="Arial Narrow" w:hAnsi="Arial Narrow" w:cstheme="minorBidi"/>
                            <w:b/>
                            <w:color w:val="92278F" w:themeColor="accent1"/>
                            <w:spacing w:val="-6"/>
                            <w:sz w:val="16"/>
                          </w:rPr>
                          <w:t>Nacionālās industriālās politikas pamatnostādnes 2014.-2020</w:t>
                        </w:r>
                      </w:p>
                    </w:txbxContent>
                  </v:textbox>
                </v:shape>
                <v:group id="Group 78" o:spid="_x0000_s1069" style="width:15627;height:13436;left:18859;position:absolute;top:8477" coordorigin="19542,5898" coordsize="18342,1527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 o:spid="_x0000_s1070" type="#_x0000_t5" style="width:10841;height:9275;left:23048;mso-wrap-style:square;position:absolute;top:8777;visibility:visible;v-text-anchor:middle" fillcolor="#b4a3b8" strokecolor="black" strokeweight="1pt"/>
                  <v:shape id="Text Box 82" o:spid="_x0000_s1071" type="#_x0000_t202" style="width:9360;height:2880;left:28524;mso-wrap-style:square;position:absolute;top:18298;visibility:visible;v-text-anchor:top" filled="f" stroked="f" strokeweight="1pt">
                    <v:textbox>
                      <w:txbxContent>
                        <w:p w:rsidR="00B55C40" w:rsidRPr="00873AA9" w:rsidP="00A74C87" w14:paraId="30949D7E" w14:textId="77777777">
                          <w:pPr>
                            <w:pStyle w:val="Zmjums"/>
                            <w:spacing w:before="40"/>
                            <w:rPr>
                              <w:rStyle w:val="Strong"/>
                              <w:b w:val="0"/>
                            </w:rPr>
                          </w:pPr>
                          <w:r w:rsidRPr="00873AA9">
                            <w:rPr>
                              <w:rStyle w:val="Strong"/>
                            </w:rPr>
                            <w:t>ZINĀTNE</w:t>
                          </w:r>
                        </w:p>
                      </w:txbxContent>
                    </v:textbox>
                  </v:shape>
                  <v:shape id="Text Box 83" o:spid="_x0000_s1072" type="#_x0000_t202" style="width:9360;height:2880;left:19542;mso-wrap-style:square;position:absolute;top:18175;visibility:visible;v-text-anchor:top" filled="f" stroked="f" strokeweight="1pt">
                    <v:textbox>
                      <w:txbxContent>
                        <w:p w:rsidR="00B55C40" w:rsidRPr="00873AA9" w:rsidP="00A74C87" w14:paraId="286D8A95" w14:textId="77777777">
                          <w:pPr>
                            <w:pStyle w:val="Zmjums"/>
                            <w:spacing w:before="40"/>
                            <w:rPr>
                              <w:rStyle w:val="Strong"/>
                              <w:b w:val="0"/>
                            </w:rPr>
                          </w:pPr>
                          <w:r w:rsidRPr="00873AA9">
                            <w:rPr>
                              <w:rStyle w:val="Strong"/>
                            </w:rPr>
                            <w:t>IZGLĪTĪBA</w:t>
                          </w:r>
                        </w:p>
                      </w:txbxContent>
                    </v:textbox>
                  </v:shape>
                  <v:shape id="Text Box 85" o:spid="_x0000_s1073" type="#_x0000_t202" style="width:11626;height:2880;left:22750;mso-wrap-style:square;position:absolute;top:5898;visibility:visible;v-text-anchor:top" filled="f" stroked="f" strokeweight="1pt">
                    <v:textbox>
                      <w:txbxContent>
                        <w:p w:rsidR="00B55C40" w:rsidRPr="003948C7" w:rsidP="00A74C87" w14:paraId="41685BD4" w14:textId="77777777">
                          <w:pPr>
                            <w:pStyle w:val="Zmjums"/>
                            <w:spacing w:after="0"/>
                            <w:rPr>
                              <w:rStyle w:val="Strong"/>
                              <w:b w:val="0"/>
                              <w:sz w:val="16"/>
                            </w:rPr>
                          </w:pPr>
                          <w:r w:rsidRPr="003948C7">
                            <w:rPr>
                              <w:rStyle w:val="Strong"/>
                              <w:sz w:val="16"/>
                            </w:rPr>
                            <w:t>UZŅĒMĒJDARBĪBA</w:t>
                          </w:r>
                        </w:p>
                      </w:txbxContent>
                    </v:textbox>
                  </v:shape>
                </v:group>
                <v:shape id="AutoShape 2" o:spid="_x0000_s1074" type="#_x0000_t185" style="width:10693;height:4287;left:9239;mso-wrap-style:square;position:absolute;top:16668;visibility:visible;v-text-anchor:top" adj="0" fillcolor="#943634" strokecolor="#7d6482" strokeweight="1pt">
                  <v:shadow color="#5d7035" offset="1pt,1pt"/>
                  <v:textbox inset="2.83pt,0,2.83pt,0">
                    <w:txbxContent>
                      <w:p w:rsidR="00B55C40" w:rsidRPr="00840E61" w:rsidP="00A74C87" w14:paraId="6406E6F6" w14:textId="77777777">
                        <w:pPr>
                          <w:spacing w:after="0"/>
                          <w:jc w:val="center"/>
                          <w:rPr>
                            <w:rFonts w:ascii="Arial Narrow" w:eastAsia="Times New Roman" w:hAnsi="Arial Narrow"/>
                            <w:b/>
                            <w:color w:val="92278F" w:themeColor="accent1"/>
                            <w:spacing w:val="-6"/>
                            <w:sz w:val="16"/>
                            <w:lang w:bidi="lo-LA"/>
                          </w:rPr>
                        </w:pPr>
                        <w:r w:rsidRPr="00840E61">
                          <w:rPr>
                            <w:rFonts w:ascii="Arial Narrow" w:eastAsia="Times New Roman" w:hAnsi="Arial Narrow"/>
                            <w:b/>
                            <w:color w:val="92278F" w:themeColor="accent1"/>
                            <w:spacing w:val="-6"/>
                            <w:sz w:val="16"/>
                            <w:lang w:bidi="lo-LA"/>
                          </w:rPr>
                          <w:t xml:space="preserve">Izglītības attīstības pamatnostādnes </w:t>
                        </w:r>
                      </w:p>
                      <w:p w:rsidR="00B55C40" w:rsidRPr="00840E61" w:rsidP="00A74C87" w14:paraId="77D767E5" w14:textId="77777777">
                        <w:pPr>
                          <w:spacing w:after="0"/>
                          <w:jc w:val="center"/>
                          <w:rPr>
                            <w:rFonts w:ascii="Arial Narrow" w:hAnsi="Arial Narrow"/>
                            <w:b/>
                            <w:i/>
                            <w:iCs/>
                            <w:color w:val="92278F" w:themeColor="accent1"/>
                            <w:spacing w:val="-6"/>
                            <w:sz w:val="16"/>
                          </w:rPr>
                        </w:pPr>
                        <w:r w:rsidRPr="00840E61">
                          <w:rPr>
                            <w:rFonts w:ascii="Arial Narrow" w:eastAsia="Times New Roman" w:hAnsi="Arial Narrow"/>
                            <w:b/>
                            <w:color w:val="92278F" w:themeColor="accent1"/>
                            <w:spacing w:val="-6"/>
                            <w:sz w:val="16"/>
                            <w:lang w:bidi="lo-LA"/>
                          </w:rPr>
                          <w:t>2014.-2020</w:t>
                        </w:r>
                      </w:p>
                    </w:txbxContent>
                  </v:textbox>
                </v:shape>
                <v:shape id="AutoShape 2" o:spid="_x0000_s1075" type="#_x0000_t185" style="width:19240;height:4521;left:33147;mso-wrap-style:square;position:absolute;top:16478;visibility:visible;v-text-anchor:top" adj="0" fillcolor="#943634" strokecolor="#7d6482" strokeweight="1pt">
                  <v:shadow color="#5d7035" offset="1pt,1pt"/>
                  <v:textbox inset="0,0,0,0">
                    <w:txbxContent>
                      <w:p w:rsidR="00B55C40" w:rsidRPr="00840E61" w:rsidP="00A74C87" w14:paraId="78D687F0" w14:textId="77777777">
                        <w:pPr>
                          <w:spacing w:after="0"/>
                          <w:jc w:val="center"/>
                          <w:rPr>
                            <w:rFonts w:ascii="Arial Narrow" w:hAnsi="Arial Narrow"/>
                            <w:b/>
                            <w:i/>
                            <w:iCs/>
                            <w:color w:val="92278F" w:themeColor="accent1"/>
                            <w:spacing w:val="-6"/>
                            <w:sz w:val="16"/>
                          </w:rPr>
                        </w:pPr>
                        <w:r w:rsidRPr="00840E61">
                          <w:rPr>
                            <w:rFonts w:ascii="Arial Narrow" w:eastAsia="Times New Roman" w:hAnsi="Arial Narrow"/>
                            <w:b/>
                            <w:color w:val="92278F" w:themeColor="accent1"/>
                            <w:spacing w:val="-6"/>
                            <w:sz w:val="16"/>
                            <w:lang w:bidi="lo-LA"/>
                          </w:rPr>
                          <w:t>Zinātnes, tehnoloģiju attīstības un inovācijas pamatnostādnes 2014.-2020</w:t>
                        </w:r>
                      </w:p>
                      <w:p w:rsidR="00B55C40" w:rsidRPr="0055031E" w:rsidP="00A74C87" w14:paraId="5929EB63" w14:textId="77777777">
                        <w:pPr>
                          <w:pStyle w:val="Normal2"/>
                          <w:spacing w:after="0"/>
                          <w:ind w:firstLine="0"/>
                          <w:jc w:val="center"/>
                          <w:rPr>
                            <w:rFonts w:ascii="Arial Narrow" w:hAnsi="Arial Narrow" w:cstheme="minorBidi"/>
                            <w:color w:val="auto"/>
                            <w:spacing w:val="-6"/>
                            <w:sz w:val="16"/>
                          </w:rPr>
                        </w:pPr>
                        <w:r w:rsidRPr="0055031E">
                          <w:rPr>
                            <w:rFonts w:ascii="Arial Narrow" w:hAnsi="Arial Narrow" w:cstheme="minorBidi"/>
                            <w:color w:val="auto"/>
                            <w:spacing w:val="-6"/>
                            <w:sz w:val="16"/>
                          </w:rPr>
                          <w:t>(Ietver RIS3 konceptu tautsaimniecības transformācijai)</w:t>
                        </w:r>
                      </w:p>
                    </w:txbxContent>
                  </v:textbox>
                </v:shape>
                <v:shape id="_x0000_s1076" type="#_x0000_t202" style="width:16199;height:3149;left:36766;mso-wrap-style:square;position:absolute;top:13049;visibility:visible;v-text-anchor:top" filled="f" stroked="f" strokeweight="0.25pt">
                  <v:stroke dashstyle="solid"/>
                  <v:textbox style="mso-fit-shape-to-text:t">
                    <w:txbxContent>
                      <w:p w:rsidR="00B55C40" w:rsidRPr="00C17D33" w:rsidP="00A74C87" w14:paraId="59BF44F4" w14:textId="77777777">
                        <w:pPr>
                          <w:spacing w:after="0"/>
                          <w:jc w:val="right"/>
                          <w:rPr>
                            <w:rFonts w:ascii="Arial Narrow" w:hAnsi="Arial Narrow"/>
                            <w:spacing w:val="-6"/>
                            <w:sz w:val="14"/>
                            <w:szCs w:val="14"/>
                          </w:rPr>
                        </w:pPr>
                        <w:r w:rsidRPr="00C17D33">
                          <w:rPr>
                            <w:rFonts w:ascii="Arial Narrow" w:hAnsi="Arial Narrow"/>
                            <w:spacing w:val="-6"/>
                            <w:sz w:val="14"/>
                            <w:szCs w:val="14"/>
                          </w:rPr>
                          <w:t>Latvijas zināšanu bāzes un inovāciju kapacitātes attīstība un inovāciju sistēmas koordinācija</w:t>
                        </w:r>
                      </w:p>
                    </w:txbxContent>
                  </v:textbox>
                </v:shape>
                <v:shape id="_x0000_s1077" type="#_x0000_t202" style="width:13811;height:4248;mso-wrap-style:square;position:absolute;top:13620;visibility:visible;v-text-anchor:top" filled="f" stroked="f" strokeweight="0.25pt">
                  <v:stroke dashstyle="solid"/>
                  <v:textbox style="mso-fit-shape-to-text:t">
                    <w:txbxContent>
                      <w:p w:rsidR="00B55C40" w:rsidRPr="00C17D33" w:rsidP="00A74C87" w14:paraId="3E34380F" w14:textId="77777777">
                        <w:pPr>
                          <w:spacing w:after="0"/>
                          <w:rPr>
                            <w:rFonts w:ascii="Arial Narrow" w:hAnsi="Arial Narrow"/>
                            <w:spacing w:val="-6"/>
                            <w:sz w:val="14"/>
                            <w:szCs w:val="14"/>
                          </w:rPr>
                        </w:pPr>
                        <w:r w:rsidRPr="00C17D33">
                          <w:rPr>
                            <w:rFonts w:ascii="Arial Narrow" w:hAnsi="Arial Narrow"/>
                            <w:spacing w:val="-6"/>
                            <w:sz w:val="14"/>
                            <w:szCs w:val="14"/>
                          </w:rPr>
                          <w:t>Kvalitatīva un iekļaujoša izglītība personības attīstībai, cilvēku labklājībai un ilgtspējīgai valsts izaugsmei</w:t>
                        </w:r>
                      </w:p>
                    </w:txbxContent>
                  </v:textbox>
                </v:shape>
                <v:shape id="AutoShape 2" o:spid="_x0000_s1078" type="#_x0000_t185" style="width:14097;height:5334;left:27527;mso-wrap-style:square;position:absolute;top:3619;visibility:visible;v-text-anchor:top" adj="0" fillcolor="#943634" strokecolor="#7d6482" strokeweight="1pt">
                  <v:shadow color="#5d7035" offset="1pt,1pt"/>
                  <v:textbox inset="2.83pt,0,2.83pt,0">
                    <w:txbxContent>
                      <w:p w:rsidR="00B55C40" w:rsidRPr="00840E61" w:rsidP="00A74C87" w14:paraId="56F01498" w14:textId="77777777">
                        <w:pPr>
                          <w:pStyle w:val="Normal2"/>
                          <w:spacing w:after="0"/>
                          <w:ind w:firstLine="0"/>
                          <w:jc w:val="center"/>
                          <w:rPr>
                            <w:rFonts w:ascii="Arial Narrow" w:hAnsi="Arial Narrow" w:cstheme="minorBidi"/>
                            <w:b/>
                            <w:color w:val="92278F" w:themeColor="accent1"/>
                            <w:spacing w:val="-6"/>
                            <w:sz w:val="16"/>
                          </w:rPr>
                        </w:pPr>
                        <w:r w:rsidRPr="00840E61">
                          <w:rPr>
                            <w:rFonts w:ascii="Arial Narrow" w:hAnsi="Arial Narrow" w:cstheme="minorBidi"/>
                            <w:b/>
                            <w:color w:val="92278F" w:themeColor="accent1"/>
                            <w:spacing w:val="-6"/>
                            <w:sz w:val="16"/>
                          </w:rPr>
                          <w:t xml:space="preserve">Latvijas preču un pakalpojumu eksporta veicināšanas un ārvalstu investīciju piesaistes </w:t>
                        </w:r>
                        <w:r>
                          <w:rPr>
                            <w:rFonts w:ascii="Arial Narrow" w:hAnsi="Arial Narrow" w:cstheme="minorBidi"/>
                            <w:b/>
                            <w:color w:val="92278F" w:themeColor="accent1"/>
                            <w:spacing w:val="-6"/>
                            <w:sz w:val="16"/>
                          </w:rPr>
                          <w:t>p</w:t>
                        </w:r>
                        <w:r w:rsidRPr="00840E61">
                          <w:rPr>
                            <w:rFonts w:ascii="Arial Narrow" w:hAnsi="Arial Narrow" w:cstheme="minorBidi"/>
                            <w:b/>
                            <w:color w:val="92278F" w:themeColor="accent1"/>
                            <w:spacing w:val="-6"/>
                            <w:sz w:val="16"/>
                          </w:rPr>
                          <w:t>amatnostādnes 2013.-2019</w:t>
                        </w:r>
                      </w:p>
                    </w:txbxContent>
                  </v:textbox>
                </v:shape>
                <v:shape id="_x0000_s1079" type="#_x0000_t202" style="width:21886;height:5346;left:31498;mso-wrap-style:square;position:absolute;top:-433;visibility:visible;v-text-anchor:top" filled="f" stroked="f" strokeweight="0.25pt">
                  <v:stroke dashstyle="solid"/>
                  <v:textbox style="mso-fit-shape-to-text:t">
                    <w:txbxContent>
                      <w:p w:rsidR="00B55C40" w:rsidRPr="00C17D33" w:rsidP="00A74C87" w14:paraId="2CDCD120" w14:textId="77777777">
                        <w:pPr>
                          <w:spacing w:after="0"/>
                          <w:jc w:val="right"/>
                          <w:rPr>
                            <w:rFonts w:ascii="Arial Narrow" w:hAnsi="Arial Narrow"/>
                            <w:spacing w:val="-6"/>
                            <w:sz w:val="14"/>
                            <w:szCs w:val="14"/>
                          </w:rPr>
                        </w:pPr>
                        <w:r>
                          <w:rPr>
                            <w:rFonts w:ascii="Arial Narrow" w:hAnsi="Arial Narrow"/>
                            <w:spacing w:val="-6"/>
                            <w:sz w:val="14"/>
                            <w:szCs w:val="14"/>
                          </w:rPr>
                          <w:t>T</w:t>
                        </w:r>
                        <w:r w:rsidRPr="006251D5">
                          <w:rPr>
                            <w:rFonts w:ascii="Arial Narrow" w:hAnsi="Arial Narrow"/>
                            <w:spacing w:val="-6"/>
                            <w:sz w:val="14"/>
                            <w:szCs w:val="14"/>
                          </w:rPr>
                          <w:t>autsaimniecības konkurētspēj</w:t>
                        </w:r>
                        <w:r>
                          <w:rPr>
                            <w:rFonts w:ascii="Arial Narrow" w:hAnsi="Arial Narrow"/>
                            <w:spacing w:val="-6"/>
                            <w:sz w:val="14"/>
                            <w:szCs w:val="14"/>
                          </w:rPr>
                          <w:t>a</w:t>
                        </w:r>
                        <w:r w:rsidRPr="006251D5">
                          <w:rPr>
                            <w:rFonts w:ascii="Arial Narrow" w:hAnsi="Arial Narrow"/>
                            <w:spacing w:val="-6"/>
                            <w:sz w:val="14"/>
                            <w:szCs w:val="14"/>
                          </w:rPr>
                          <w:t xml:space="preserve"> atvērtos produktu tirgos, sekmējot augsto un vidēji augsto tehnoloģiju nozaru produkcijas pi</w:t>
                        </w:r>
                        <w:r>
                          <w:rPr>
                            <w:rFonts w:ascii="Arial Narrow" w:hAnsi="Arial Narrow"/>
                            <w:spacing w:val="-6"/>
                            <w:sz w:val="14"/>
                            <w:szCs w:val="14"/>
                          </w:rPr>
                          <w:t>eaugumu Latvijas eksportā, un</w:t>
                        </w:r>
                        <w:r w:rsidRPr="006251D5">
                          <w:rPr>
                            <w:rFonts w:ascii="Arial Narrow" w:hAnsi="Arial Narrow"/>
                            <w:spacing w:val="-6"/>
                            <w:sz w:val="14"/>
                            <w:szCs w:val="14"/>
                          </w:rPr>
                          <w:t xml:space="preserve"> ĀTI piesaistē fokusē</w:t>
                        </w:r>
                        <w:r>
                          <w:rPr>
                            <w:rFonts w:ascii="Arial Narrow" w:hAnsi="Arial Narrow"/>
                            <w:spacing w:val="-6"/>
                            <w:sz w:val="14"/>
                            <w:szCs w:val="14"/>
                          </w:rPr>
                          <w:t>t</w:t>
                        </w:r>
                        <w:r w:rsidRPr="006251D5">
                          <w:rPr>
                            <w:rFonts w:ascii="Arial Narrow" w:hAnsi="Arial Narrow"/>
                            <w:spacing w:val="-6"/>
                            <w:sz w:val="14"/>
                            <w:szCs w:val="14"/>
                          </w:rPr>
                          <w:t>ies uz ārējo pieprasījumu orientētajām nozarēm</w:t>
                        </w:r>
                        <w:r w:rsidRPr="007B1700">
                          <w:rPr>
                            <w:rFonts w:ascii="Arial Narrow" w:hAnsi="Arial Narrow"/>
                            <w:spacing w:val="-6"/>
                            <w:sz w:val="14"/>
                            <w:szCs w:val="14"/>
                          </w:rPr>
                          <w:t>.</w:t>
                        </w:r>
                      </w:p>
                    </w:txbxContent>
                  </v:textbox>
                </v:shape>
              </v:group>
            </w:pict>
          </mc:Fallback>
        </mc:AlternateContent>
      </w:r>
    </w:p>
    <w:p w:rsidR="00A74C87" w:rsidP="00A74C87" w14:paraId="363E1724" w14:textId="4F0A34C9">
      <w:pPr>
        <w:rPr>
          <w:rFonts w:ascii="Candara" w:eastAsia="Times New Roman" w:hAnsi="Candara" w:cs="Times New Roman"/>
          <w:bCs/>
          <w:lang w:eastAsia="lv-LV"/>
        </w:rPr>
      </w:pPr>
    </w:p>
    <w:p w:rsidR="00A74C87" w:rsidP="00A74C87" w14:paraId="070A8B9C" w14:textId="6137ACB7">
      <w:pPr>
        <w:rPr>
          <w:rFonts w:ascii="Candara" w:eastAsia="Times New Roman" w:hAnsi="Candara" w:cs="Times New Roman"/>
          <w:bCs/>
          <w:lang w:eastAsia="lv-LV"/>
        </w:rPr>
      </w:pPr>
    </w:p>
    <w:p w:rsidR="00A74C87" w:rsidP="00A74C87" w14:paraId="3A9A96BF" w14:textId="25E26937">
      <w:pPr>
        <w:rPr>
          <w:rFonts w:ascii="Candara" w:eastAsia="Times New Roman" w:hAnsi="Candara" w:cs="Times New Roman"/>
          <w:bCs/>
          <w:lang w:eastAsia="lv-LV"/>
        </w:rPr>
      </w:pPr>
    </w:p>
    <w:p w:rsidR="00A74C87" w:rsidP="00A74C87" w14:paraId="5795E445" w14:textId="7DBF4117">
      <w:pPr>
        <w:rPr>
          <w:rFonts w:ascii="Candara" w:eastAsia="Times New Roman" w:hAnsi="Candara" w:cs="Times New Roman"/>
          <w:bCs/>
          <w:lang w:eastAsia="lv-LV"/>
        </w:rPr>
      </w:pPr>
    </w:p>
    <w:p w:rsidR="00A74C87" w:rsidP="00A74C87" w14:paraId="2C62FE77" w14:textId="33B2F90B">
      <w:pPr>
        <w:rPr>
          <w:rFonts w:ascii="Candara" w:eastAsia="Times New Roman" w:hAnsi="Candara" w:cs="Times New Roman"/>
          <w:bCs/>
          <w:lang w:eastAsia="lv-LV"/>
        </w:rPr>
      </w:pPr>
    </w:p>
    <w:p w:rsidR="00A74C87" w:rsidP="00A74C87" w14:paraId="6CC8D513" w14:textId="2CDFEEC4">
      <w:pPr>
        <w:rPr>
          <w:rFonts w:ascii="Candara" w:eastAsia="Times New Roman" w:hAnsi="Candara" w:cs="Times New Roman"/>
          <w:bCs/>
          <w:lang w:eastAsia="lv-LV"/>
        </w:rPr>
      </w:pPr>
    </w:p>
    <w:p w:rsidR="00A74C87" w:rsidRPr="00E84C10" w:rsidP="00A74C87" w14:paraId="6FA31C6E" w14:textId="08ADB6DC">
      <w:pPr>
        <w:rPr>
          <w:rFonts w:ascii="Candara" w:eastAsia="Times New Roman" w:hAnsi="Candara" w:cs="Times New Roman"/>
          <w:bCs/>
          <w:lang w:eastAsia="lv-LV"/>
        </w:rPr>
      </w:pPr>
    </w:p>
    <w:p w:rsidR="00A74C87" w:rsidRPr="00E84C10" w:rsidP="00A74C87" w14:paraId="5F86A2C4" w14:textId="014B67DA">
      <w:pPr>
        <w:rPr>
          <w:rFonts w:ascii="Candara" w:eastAsia="Times New Roman" w:hAnsi="Candara" w:cs="Times New Roman"/>
          <w:bCs/>
          <w:lang w:eastAsia="lv-LV"/>
        </w:rPr>
      </w:pPr>
      <w:r w:rsidRPr="003C209F">
        <w:rPr>
          <w:rFonts w:ascii="Candara" w:eastAsia="Times New Roman" w:hAnsi="Candara" w:cs="Times New Roman"/>
          <w:bCs/>
          <w:noProof/>
          <w:lang w:eastAsia="lv-LV"/>
        </w:rPr>
        <mc:AlternateContent>
          <mc:Choice Requires="wps">
            <w:drawing>
              <wp:anchor distT="45720" distB="45720" distL="114300" distR="114300" simplePos="0" relativeHeight="251743232" behindDoc="0" locked="0" layoutInCell="1" allowOverlap="1">
                <wp:simplePos x="0" y="0"/>
                <wp:positionH relativeFrom="column">
                  <wp:posOffset>177165</wp:posOffset>
                </wp:positionH>
                <wp:positionV relativeFrom="paragraph">
                  <wp:posOffset>1249680</wp:posOffset>
                </wp:positionV>
                <wp:extent cx="6075842" cy="552966"/>
                <wp:effectExtent l="0" t="0" r="0" b="0"/>
                <wp:wrapNone/>
                <wp:docPr id="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75842" cy="552966"/>
                        </a:xfrm>
                        <a:prstGeom prst="rect">
                          <a:avLst/>
                        </a:prstGeom>
                        <a:noFill/>
                        <a:ln w="9525">
                          <a:noFill/>
                          <a:round/>
                          <a:headEnd/>
                          <a:tailEnd/>
                        </a:ln>
                      </wps:spPr>
                      <wps:style>
                        <a:lnRef idx="0">
                          <a:scrgbClr r="0" g="0" b="0"/>
                        </a:lnRef>
                        <a:fillRef idx="0">
                          <a:scrgbClr r="0" g="0" b="0"/>
                        </a:fillRef>
                        <a:effectRef idx="0">
                          <a:scrgbClr r="0" g="0" b="0"/>
                        </a:effectRef>
                        <a:fontRef idx="minor">
                          <a:schemeClr val="dk1"/>
                        </a:fontRef>
                      </wps:style>
                      <wps:txbx>
                        <w:txbxContent>
                          <w:p w:rsidR="00B55C40" w:rsidRPr="00B4626C" w:rsidP="00A74C87" w14:textId="77777777">
                            <w:pPr>
                              <w:spacing w:after="0" w:line="216" w:lineRule="auto"/>
                              <w:ind w:right="-113"/>
                              <w:jc w:val="center"/>
                              <w:outlineLvl w:val="3"/>
                              <w:rPr>
                                <w:rFonts w:ascii="Candara" w:hAnsi="Candara"/>
                                <w:b/>
                              </w:rPr>
                            </w:pPr>
                            <w:r w:rsidRPr="00B4626C">
                              <w:rPr>
                                <w:rFonts w:ascii="Candara" w:hAnsi="Candara"/>
                                <w:b/>
                              </w:rPr>
                              <w:t>Latvijas ekonomikas transformācija, uz zināšanām un inovācijām balstītas konkurētspējas priekšrocības, Latvijas inovāciju sistēmas attīstība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0" type="#_x0000_t202" style="width:478.4pt;height:43.55pt;margin-top:98.4pt;margin-left:13.95pt;mso-height-percent:0;mso-height-relative:margin;mso-width-percent:0;mso-width-relative:margin;mso-wrap-distance-bottom:3.6pt;mso-wrap-distance-left:9pt;mso-wrap-distance-right:9pt;mso-wrap-distance-top:3.6pt;mso-wrap-style:square;position:absolute;visibility:visible;v-text-anchor:top;z-index:251744256" filled="f" stroked="f">
                <v:stroke joinstyle="round"/>
                <v:textbox>
                  <w:txbxContent>
                    <w:p w:rsidR="00B55C40" w:rsidRPr="00B4626C" w:rsidP="00A74C87" w14:paraId="4FE56DDA" w14:textId="77777777">
                      <w:pPr>
                        <w:spacing w:after="0" w:line="216" w:lineRule="auto"/>
                        <w:ind w:right="-113"/>
                        <w:jc w:val="center"/>
                        <w:outlineLvl w:val="3"/>
                        <w:rPr>
                          <w:rFonts w:ascii="Candara" w:hAnsi="Candara"/>
                          <w:b/>
                        </w:rPr>
                      </w:pPr>
                      <w:r w:rsidRPr="00B4626C">
                        <w:rPr>
                          <w:rFonts w:ascii="Candara" w:hAnsi="Candara"/>
                          <w:b/>
                        </w:rPr>
                        <w:t>Latvijas ekonomikas transformācija, uz zināšanām un inovācijām balstītas konkurētspējas priekšrocības, Latvijas inovāciju sistēmas attīstība</w:t>
                      </w:r>
                    </w:p>
                  </w:txbxContent>
                </v:textbox>
              </v:shape>
            </w:pict>
          </mc:Fallback>
        </mc:AlternateContent>
      </w:r>
      <w:r w:rsidRPr="003C209F">
        <w:rPr>
          <w:rFonts w:ascii="Candara" w:eastAsia="Times New Roman" w:hAnsi="Candara" w:cs="Times New Roman"/>
          <w:bCs/>
          <w:noProof/>
          <w:lang w:eastAsia="lv-LV"/>
        </w:rPr>
        <mc:AlternateContent>
          <mc:Choice Requires="wps">
            <w:drawing>
              <wp:anchor distT="45720" distB="45720" distL="114300" distR="114300" simplePos="0" relativeHeight="251739136" behindDoc="0" locked="0" layoutInCell="1" allowOverlap="1">
                <wp:simplePos x="0" y="0"/>
                <wp:positionH relativeFrom="column">
                  <wp:posOffset>132715</wp:posOffset>
                </wp:positionH>
                <wp:positionV relativeFrom="paragraph">
                  <wp:posOffset>142865</wp:posOffset>
                </wp:positionV>
                <wp:extent cx="6086475" cy="866830"/>
                <wp:effectExtent l="0" t="0" r="28575" b="28575"/>
                <wp:wrapNone/>
                <wp:docPr id="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6475" cy="866830"/>
                        </a:xfrm>
                        <a:prstGeom prst="rect">
                          <a:avLst/>
                        </a:prstGeom>
                        <a:solidFill>
                          <a:schemeClr val="bg1">
                            <a:lumMod val="95000"/>
                          </a:schemeClr>
                        </a:solidFill>
                        <a:ln w="6350">
                          <a:solidFill>
                            <a:schemeClr val="tx1"/>
                          </a:solidFill>
                          <a:miter lim="800000"/>
                          <a:headEnd/>
                          <a:tailEnd/>
                        </a:ln>
                      </wps:spPr>
                      <wps:txbx>
                        <w:txbxContent>
                          <w:p w:rsidR="00B55C40" w:rsidP="00A74C87" w14:textId="77777777">
                            <w:pPr>
                              <w:spacing w:after="0" w:line="216" w:lineRule="auto"/>
                              <w:ind w:right="-113"/>
                              <w:outlineLvl w:val="3"/>
                              <w:rPr>
                                <w:rFonts w:ascii="Candara" w:eastAsia="Times New Roman" w:hAnsi="Candara" w:cs="Times New Roman"/>
                                <w:b/>
                                <w:bCs/>
                                <w:sz w:val="20"/>
                                <w:szCs w:val="20"/>
                                <w:lang w:eastAsia="lv-LV"/>
                              </w:rPr>
                            </w:pPr>
                            <w:r>
                              <w:rPr>
                                <w:rFonts w:ascii="Candara" w:eastAsia="Times New Roman" w:hAnsi="Candara" w:cs="Times New Roman"/>
                                <w:b/>
                                <w:bCs/>
                                <w:sz w:val="20"/>
                                <w:szCs w:val="20"/>
                                <w:lang w:eastAsia="lv-LV"/>
                              </w:rPr>
                              <w:t xml:space="preserve"> </w:t>
                            </w:r>
                            <w:r>
                              <w:rPr>
                                <w:rFonts w:ascii="Times New Roman" w:eastAsia="Times New Roman" w:hAnsi="Times New Roman" w:cs="Times New Roman"/>
                                <w:b/>
                                <w:bCs/>
                                <w:noProof/>
                                <w:sz w:val="24"/>
                                <w:szCs w:val="24"/>
                                <w:lang w:eastAsia="lv-LV"/>
                              </w:rPr>
                              <w:drawing>
                                <wp:inline distT="0" distB="0" distL="0" distR="0">
                                  <wp:extent cx="252000" cy="297195"/>
                                  <wp:effectExtent l="0" t="0" r="0" b="7620"/>
                                  <wp:docPr id="1889062622"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57140" name="MP.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52000" cy="297195"/>
                                          </a:xfrm>
                                          <a:prstGeom prst="rect">
                                            <a:avLst/>
                                          </a:prstGeom>
                                        </pic:spPr>
                                      </pic:pic>
                                    </a:graphicData>
                                  </a:graphic>
                                </wp:inline>
                              </w:drawing>
                            </w:r>
                            <w:r w:rsidRPr="00F53018">
                              <w:t xml:space="preserve"> </w:t>
                            </w:r>
                            <w:r w:rsidRPr="00F53018">
                              <w:rPr>
                                <w:rFonts w:ascii="Candara" w:eastAsia="Times New Roman" w:hAnsi="Candara" w:cs="Times New Roman"/>
                                <w:b/>
                                <w:bCs/>
                                <w:sz w:val="20"/>
                                <w:szCs w:val="20"/>
                                <w:lang w:eastAsia="lv-LV"/>
                              </w:rPr>
                              <w:t>MK Rīcības plāna tautsaimniecības  attīstības 3. prioritārā virziena īstenošanas programma</w:t>
                            </w:r>
                            <w:r>
                              <w:rPr>
                                <w:rFonts w:ascii="Candara" w:eastAsia="Times New Roman" w:hAnsi="Candara" w:cs="Times New Roman"/>
                                <w:b/>
                                <w:bCs/>
                                <w:sz w:val="20"/>
                                <w:szCs w:val="20"/>
                                <w:lang w:eastAsia="lv-LV"/>
                              </w:rPr>
                              <w:t xml:space="preserve"> </w:t>
                            </w:r>
                          </w:p>
                          <w:p w:rsidR="00B55C40" w:rsidP="00A74C87" w14:textId="77777777">
                            <w:pPr>
                              <w:spacing w:after="0" w:line="216" w:lineRule="auto"/>
                              <w:ind w:right="-113"/>
                              <w:outlineLvl w:val="3"/>
                            </w:pPr>
                            <w:r w:rsidRPr="00F53018">
                              <w:rPr>
                                <w:rFonts w:ascii="Candara" w:eastAsia="Times New Roman" w:hAnsi="Candara" w:cs="Times New Roman"/>
                                <w:bCs/>
                                <w:spacing w:val="-8"/>
                                <w:sz w:val="16"/>
                                <w:lang w:eastAsia="lv-LV"/>
                              </w:rPr>
                              <w:t>Inovācija kā ekonomikas transformācijai nepieciešams priekšnoteikums, privātā sektora motivācija ieguldījumiem pētniecībā un attīstībā 47 % apjomā no kopējiem ieguldījumiem 2018. gadā. Prioritāte ietver - Nacionālās inovāciju sistēmas pilnveidošana, cilvēkresursu attīstība, motivācijas pasākumu izstrāde pētniekiem un biznesam un viņu kopdarbības stimulēšana, resursu koordinēšana, koncentrācija un pieejamība; Konkurētspējīgu inovatīvu produktu un procesu radīšanas/pilnveidošanas un eksportspējas atbalsts kā Latvijai tradicionālajās nozarēs un procesos, tā augsto un vidējo tehnoloģiju nozarēs</w:t>
                            </w:r>
                            <w:r>
                              <w:rPr>
                                <w:rFonts w:ascii="Candara" w:eastAsia="Times New Roman" w:hAnsi="Candara" w:cs="Times New Roman"/>
                                <w:bCs/>
                                <w:spacing w:val="-8"/>
                                <w:sz w:val="16"/>
                                <w:lang w:eastAsia="lv-LV"/>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1" type="#_x0000_t202" style="width:479.25pt;height:68.25pt;margin-top:11.25pt;margin-left:10.45pt;mso-height-percent:0;mso-height-relative:margin;mso-width-percent:0;mso-width-relative:margin;mso-wrap-distance-bottom:3.6pt;mso-wrap-distance-left:9pt;mso-wrap-distance-right:9pt;mso-wrap-distance-top:3.6pt;mso-wrap-style:square;position:absolute;visibility:visible;v-text-anchor:top;z-index:251740160" fillcolor="#f2f2f2" strokecolor="black" strokeweight="0.5pt">
                <v:textbox>
                  <w:txbxContent>
                    <w:p w:rsidR="00B55C40" w:rsidP="00A74C87" w14:paraId="2D2D42B8" w14:textId="77777777">
                      <w:pPr>
                        <w:spacing w:after="0" w:line="216" w:lineRule="auto"/>
                        <w:ind w:right="-113"/>
                        <w:outlineLvl w:val="3"/>
                        <w:rPr>
                          <w:rFonts w:ascii="Candara" w:eastAsia="Times New Roman" w:hAnsi="Candara" w:cs="Times New Roman"/>
                          <w:b/>
                          <w:bCs/>
                          <w:sz w:val="20"/>
                          <w:szCs w:val="20"/>
                          <w:lang w:eastAsia="lv-LV"/>
                        </w:rPr>
                      </w:pPr>
                      <w:r>
                        <w:rPr>
                          <w:rFonts w:ascii="Candara" w:eastAsia="Times New Roman" w:hAnsi="Candara" w:cs="Times New Roman"/>
                          <w:b/>
                          <w:bCs/>
                          <w:sz w:val="20"/>
                          <w:szCs w:val="20"/>
                          <w:lang w:eastAsia="lv-LV"/>
                        </w:rPr>
                        <w:t xml:space="preserve"> </w:t>
                      </w:r>
                      <w:drawing>
                        <wp:inline distT="0" distB="0" distL="0" distR="0">
                          <wp:extent cx="252000" cy="297195"/>
                          <wp:effectExtent l="0" t="0" r="0" b="762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P.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52000" cy="297195"/>
                                  </a:xfrm>
                                  <a:prstGeom prst="rect">
                                    <a:avLst/>
                                  </a:prstGeom>
                                </pic:spPr>
                              </pic:pic>
                            </a:graphicData>
                          </a:graphic>
                        </wp:inline>
                      </w:drawing>
                      <w:r w:rsidRPr="00F53018">
                        <w:t xml:space="preserve"> </w:t>
                      </w:r>
                      <w:r w:rsidRPr="00F53018">
                        <w:rPr>
                          <w:rFonts w:ascii="Candara" w:eastAsia="Times New Roman" w:hAnsi="Candara" w:cs="Times New Roman"/>
                          <w:b/>
                          <w:bCs/>
                          <w:sz w:val="20"/>
                          <w:szCs w:val="20"/>
                          <w:lang w:eastAsia="lv-LV"/>
                        </w:rPr>
                        <w:t>MK Rīcības plāna tautsaimniecības  attīstības 3. prioritārā virziena īstenošanas programma</w:t>
                      </w:r>
                      <w:r>
                        <w:rPr>
                          <w:rFonts w:ascii="Candara" w:eastAsia="Times New Roman" w:hAnsi="Candara" w:cs="Times New Roman"/>
                          <w:b/>
                          <w:bCs/>
                          <w:sz w:val="20"/>
                          <w:szCs w:val="20"/>
                          <w:lang w:eastAsia="lv-LV"/>
                        </w:rPr>
                        <w:t xml:space="preserve"> </w:t>
                      </w:r>
                    </w:p>
                    <w:p w:rsidR="00B55C40" w:rsidP="00A74C87" w14:paraId="3C6546EA" w14:textId="77777777">
                      <w:pPr>
                        <w:spacing w:after="0" w:line="216" w:lineRule="auto"/>
                        <w:ind w:right="-113"/>
                        <w:outlineLvl w:val="3"/>
                      </w:pPr>
                      <w:r w:rsidRPr="00F53018">
                        <w:rPr>
                          <w:rFonts w:ascii="Candara" w:eastAsia="Times New Roman" w:hAnsi="Candara" w:cs="Times New Roman"/>
                          <w:bCs/>
                          <w:spacing w:val="-8"/>
                          <w:sz w:val="16"/>
                          <w:lang w:eastAsia="lv-LV"/>
                        </w:rPr>
                        <w:t>Inovācija kā ekonomikas transformācijai nepieciešams priekšnoteikums, privātā sektora motivācija ieguldījumiem pētniecībā un attīstībā 47 % apjomā no kopējiem ieguldījumiem 2018. gadā. Prioritāte ietver - Nacionālās inovāciju sistēmas pilnveidošana, cilvēkresursu attīstība, motivācijas pasākumu izstrāde pētniekiem un biznesam un viņu kopdarbības stimulēšana, resursu koordinēšana, koncentrācija un pieejamība; Konkurētspējīgu inovatīvu produktu un procesu radīšanas/pilnveidošanas un eksportspējas atbalsts kā Latvijai tradicionālajās nozarēs un procesos, tā augsto un vidējo tehnoloģiju nozarēs</w:t>
                      </w:r>
                      <w:r>
                        <w:rPr>
                          <w:rFonts w:ascii="Candara" w:eastAsia="Times New Roman" w:hAnsi="Candara" w:cs="Times New Roman"/>
                          <w:bCs/>
                          <w:spacing w:val="-8"/>
                          <w:sz w:val="16"/>
                          <w:lang w:eastAsia="lv-LV"/>
                        </w:rPr>
                        <w:t>.</w:t>
                      </w:r>
                    </w:p>
                  </w:txbxContent>
                </v:textbox>
              </v:shape>
            </w:pict>
          </mc:Fallback>
        </mc:AlternateContent>
      </w:r>
    </w:p>
    <w:p w:rsidR="00A74C87" w:rsidP="00A74C87" w14:paraId="4B1F2E51" w14:textId="6B611470">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rsidR="00E84C10" w:rsidRPr="00883473" w:rsidP="00133F91" w14:paraId="0640AF99" w14:textId="77777777">
      <w:pPr>
        <w:pStyle w:val="Heading1"/>
        <w:shd w:val="clear" w:color="auto" w:fill="6D1D6A" w:themeFill="accent1" w:themeFillShade="BF"/>
        <w:rPr>
          <w:rFonts w:ascii="Candara" w:eastAsia="Times New Roman" w:hAnsi="Candara"/>
          <w:b/>
          <w:color w:val="FFFFFF" w:themeColor="background1"/>
          <w:lang w:eastAsia="lv-LV"/>
        </w:rPr>
      </w:pPr>
      <w:bookmarkStart w:id="13" w:name="_Toc256000004"/>
      <w:bookmarkStart w:id="14" w:name="_Toc256000020"/>
      <w:r>
        <w:rPr>
          <w:rFonts w:ascii="Candara" w:eastAsia="Times New Roman" w:hAnsi="Candara"/>
          <w:b/>
          <w:color w:val="FFFFFF" w:themeColor="background1"/>
          <w:lang w:eastAsia="lv-LV"/>
        </w:rPr>
        <w:t>2.</w:t>
      </w:r>
      <w:r w:rsidR="00133F91">
        <w:rPr>
          <w:rFonts w:ascii="Candara" w:eastAsia="Times New Roman" w:hAnsi="Candara"/>
          <w:b/>
          <w:color w:val="FFFFFF" w:themeColor="background1"/>
          <w:lang w:eastAsia="lv-LV"/>
        </w:rPr>
        <w:t xml:space="preserve"> </w:t>
      </w:r>
      <w:bookmarkStart w:id="15" w:name="_Toc484445188"/>
      <w:r w:rsidRPr="00883473" w:rsidR="00581249">
        <w:rPr>
          <w:rFonts w:ascii="Candara" w:eastAsia="Times New Roman" w:hAnsi="Candara"/>
          <w:b/>
          <w:color w:val="FFFFFF" w:themeColor="background1"/>
          <w:lang w:eastAsia="lv-LV"/>
        </w:rPr>
        <w:t xml:space="preserve">RIS3 </w:t>
      </w:r>
      <w:r w:rsidR="00A400D3">
        <w:rPr>
          <w:rFonts w:ascii="Candara" w:eastAsia="Times New Roman" w:hAnsi="Candara"/>
          <w:b/>
          <w:color w:val="FFFFFF" w:themeColor="background1"/>
          <w:lang w:eastAsia="lv-LV"/>
        </w:rPr>
        <w:t>KONCEPTS</w:t>
      </w:r>
      <w:bookmarkEnd w:id="14"/>
      <w:bookmarkEnd w:id="13"/>
      <w:bookmarkEnd w:id="15"/>
    </w:p>
    <w:p w:rsidR="00E84C10" w:rsidRPr="008D3B9D" w14:paraId="7A9D2FB5" w14:textId="77777777">
      <w:pPr>
        <w:rPr>
          <w:rFonts w:ascii="Candara" w:eastAsia="Times New Roman" w:hAnsi="Candara" w:cs="Times New Roman"/>
          <w:b/>
          <w:bCs/>
          <w:sz w:val="2"/>
          <w:szCs w:val="8"/>
          <w:lang w:eastAsia="lv-LV"/>
        </w:rPr>
      </w:pPr>
    </w:p>
    <w:p w:rsidR="004A53FC" w:rsidRPr="004A53FC" w:rsidP="004A53FC" w14:paraId="7B3C3C9E" w14:textId="77777777">
      <w:pPr>
        <w:pStyle w:val="NumberedF"/>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adjustRightInd w:val="0"/>
        <w:snapToGrid w:val="0"/>
        <w:spacing w:before="0" w:after="0" w:line="240" w:lineRule="auto"/>
        <w:contextualSpacing w:val="0"/>
        <w:rPr>
          <w:rFonts w:ascii="Candara" w:eastAsia="SimSun" w:hAnsi="Candara" w:cs="Times New Roman"/>
          <w:b/>
          <w:color w:val="6D1D6A" w:themeColor="accent1" w:themeShade="BF"/>
          <w:sz w:val="22"/>
          <w:szCs w:val="22"/>
        </w:rPr>
      </w:pPr>
      <w:r w:rsidRPr="004A53FC">
        <w:rPr>
          <w:rFonts w:ascii="Candara" w:eastAsia="SimSun" w:hAnsi="Candara" w:cs="Times New Roman"/>
          <w:b/>
          <w:color w:val="6D1D6A" w:themeColor="accent1" w:themeShade="BF"/>
          <w:sz w:val="22"/>
          <w:szCs w:val="22"/>
        </w:rPr>
        <w:t xml:space="preserve">Latvijas Viedās specializācijas stratēģija (RIS3) ir tautsaimniecības transformācijas stratēģija uz augstāku pievienoto vērtību, produktivitāti un efektīvāku resursu izmantošanu. Tautsaimniecības transformācijas stratēģija ir cieši saistīta ar </w:t>
      </w:r>
      <w:r w:rsidRPr="004A53FC" w:rsidR="006251D5">
        <w:rPr>
          <w:rFonts w:ascii="Candara" w:eastAsia="SimSun" w:hAnsi="Candara" w:cs="Times New Roman"/>
          <w:b/>
          <w:color w:val="6D1D6A" w:themeColor="accent1" w:themeShade="BF"/>
          <w:sz w:val="22"/>
          <w:szCs w:val="22"/>
        </w:rPr>
        <w:t xml:space="preserve">tautsaimniecības </w:t>
      </w:r>
      <w:r w:rsidRPr="004A53FC">
        <w:rPr>
          <w:rFonts w:ascii="Candara" w:eastAsia="SimSun" w:hAnsi="Candara" w:cs="Times New Roman"/>
          <w:b/>
          <w:color w:val="6D1D6A" w:themeColor="accent1" w:themeShade="BF"/>
          <w:sz w:val="22"/>
          <w:szCs w:val="22"/>
        </w:rPr>
        <w:t xml:space="preserve">pašreizējo attīstības līmeni un konkurētspējas priekšrocībām (esošajām un potenciālajām). </w:t>
      </w:r>
    </w:p>
    <w:p w:rsidR="004A53FC" w:rsidRPr="004A53FC" w:rsidP="004A53FC" w14:paraId="50EE81FE" w14:textId="77777777">
      <w:pPr>
        <w:pStyle w:val="NumberedF"/>
        <w:numPr>
          <w:ilvl w:val="0"/>
          <w:numId w:val="0"/>
        </w:numPr>
        <w:adjustRightInd w:val="0"/>
        <w:snapToGrid w:val="0"/>
        <w:spacing w:before="0" w:after="0" w:line="240" w:lineRule="auto"/>
        <w:ind w:firstLine="284"/>
        <w:contextualSpacing w:val="0"/>
        <w:rPr>
          <w:rFonts w:ascii="Candara" w:eastAsia="SimSun" w:hAnsi="Candara" w:cs="Times New Roman"/>
          <w:sz w:val="8"/>
          <w:szCs w:val="8"/>
        </w:rPr>
      </w:pPr>
    </w:p>
    <w:p w:rsidR="004A53FC" w:rsidRPr="008D3B9D" w:rsidP="00214364" w14:paraId="68FDCC35" w14:textId="77777777">
      <w:pPr>
        <w:pStyle w:val="NumberedF"/>
        <w:numPr>
          <w:ilvl w:val="0"/>
          <w:numId w:val="0"/>
        </w:numPr>
        <w:adjustRightInd w:val="0"/>
        <w:snapToGrid w:val="0"/>
        <w:spacing w:before="0" w:after="0" w:line="240" w:lineRule="auto"/>
        <w:ind w:firstLine="426"/>
        <w:contextualSpacing w:val="0"/>
        <w:rPr>
          <w:rFonts w:ascii="Candara" w:eastAsia="SimSun" w:hAnsi="Candara" w:cs="Times New Roman"/>
          <w:iCs/>
          <w:sz w:val="22"/>
          <w:szCs w:val="22"/>
        </w:rPr>
      </w:pPr>
      <w:r w:rsidRPr="008D3B9D">
        <w:rPr>
          <w:rFonts w:ascii="Candara" w:hAnsi="Candara" w:cs="Times New Roman"/>
          <w:bCs/>
          <w:sz w:val="22"/>
        </w:rPr>
        <w:t>Būtisks priekšnoteikums pārejai</w:t>
      </w:r>
      <w:r w:rsidRPr="008D3B9D">
        <w:rPr>
          <w:rFonts w:ascii="Candara" w:hAnsi="Candara" w:cs="Times New Roman"/>
          <w:sz w:val="22"/>
        </w:rPr>
        <w:t xml:space="preserve"> uz inovatīvu ekonomiku ir Latvijas </w:t>
      </w:r>
      <w:r w:rsidRPr="008D3B9D">
        <w:rPr>
          <w:rFonts w:ascii="Candara" w:hAnsi="Candara" w:cs="Times New Roman"/>
          <w:bCs/>
          <w:sz w:val="22"/>
        </w:rPr>
        <w:t>inovācijas sistēmas stiprināšana</w:t>
      </w:r>
      <w:r w:rsidRPr="008D3B9D">
        <w:rPr>
          <w:rFonts w:ascii="Candara" w:hAnsi="Candara" w:cs="Times New Roman"/>
          <w:sz w:val="22"/>
        </w:rPr>
        <w:t xml:space="preserve">, novēršot tās nepilnības un veicinot mijiedarbību starp visiem inovācijas sistēmas subjektiem – uzņēmējdarbību, zinātni un izglītību, kā arī </w:t>
      </w:r>
      <w:r w:rsidR="006251D5">
        <w:rPr>
          <w:rFonts w:ascii="Candara" w:hAnsi="Candara" w:cs="Times New Roman"/>
          <w:sz w:val="22"/>
        </w:rPr>
        <w:t>institucionālās vides pilnveidošanu</w:t>
      </w:r>
      <w:r w:rsidRPr="008D3B9D">
        <w:rPr>
          <w:rFonts w:ascii="Candara" w:hAnsi="Candara" w:cs="Times New Roman"/>
          <w:sz w:val="22"/>
        </w:rPr>
        <w:t>.</w:t>
      </w:r>
    </w:p>
    <w:p w:rsidR="004A53FC" w:rsidRPr="008D3B9D" w:rsidP="00214364" w14:paraId="6B8FEC69" w14:textId="77777777">
      <w:pPr>
        <w:pStyle w:val="Normal2"/>
        <w:adjustRightInd w:val="0"/>
        <w:snapToGrid w:val="0"/>
        <w:spacing w:after="0"/>
        <w:ind w:firstLine="426"/>
        <w:rPr>
          <w:rFonts w:ascii="Candara" w:hAnsi="Candara"/>
          <w:color w:val="auto"/>
          <w:sz w:val="22"/>
          <w:szCs w:val="24"/>
        </w:rPr>
      </w:pPr>
      <w:r w:rsidRPr="008D3B9D">
        <w:rPr>
          <w:rFonts w:ascii="Candara" w:hAnsi="Candara"/>
          <w:b/>
          <w:bCs/>
          <w:color w:val="auto"/>
          <w:sz w:val="22"/>
          <w:szCs w:val="24"/>
        </w:rPr>
        <w:t>RIS3</w:t>
      </w:r>
      <w:r w:rsidRPr="008D3B9D">
        <w:rPr>
          <w:rFonts w:ascii="Candara" w:hAnsi="Candara"/>
          <w:color w:val="auto"/>
          <w:sz w:val="22"/>
          <w:szCs w:val="24"/>
        </w:rPr>
        <w:t xml:space="preserve"> </w:t>
      </w:r>
      <w:r w:rsidRPr="008D3B9D">
        <w:rPr>
          <w:rFonts w:ascii="Candara" w:hAnsi="Candara"/>
          <w:b/>
          <w:color w:val="auto"/>
          <w:sz w:val="22"/>
          <w:szCs w:val="24"/>
        </w:rPr>
        <w:t>mērķis</w:t>
      </w:r>
      <w:r w:rsidRPr="008D3B9D">
        <w:rPr>
          <w:rFonts w:ascii="Candara" w:hAnsi="Candara"/>
          <w:color w:val="auto"/>
          <w:sz w:val="22"/>
          <w:szCs w:val="24"/>
        </w:rPr>
        <w:t xml:space="preserve"> – palielināt inovācijas kapacitāti, kā arī </w:t>
      </w:r>
      <w:r w:rsidRPr="008D3B9D">
        <w:rPr>
          <w:rFonts w:ascii="Candara" w:hAnsi="Candara"/>
          <w:bCs/>
          <w:color w:val="auto"/>
          <w:sz w:val="22"/>
          <w:szCs w:val="24"/>
        </w:rPr>
        <w:t>veidot inovācijas</w:t>
      </w:r>
      <w:r w:rsidRPr="008D3B9D">
        <w:rPr>
          <w:rFonts w:ascii="Candara" w:hAnsi="Candara"/>
          <w:color w:val="auto"/>
          <w:sz w:val="22"/>
          <w:szCs w:val="24"/>
        </w:rPr>
        <w:t xml:space="preserve"> sistēmu, kas veicina un atbalsta tehnoloģisko progresu tautsaimniecībā. </w:t>
      </w:r>
    </w:p>
    <w:p w:rsidR="004A53FC" w:rsidRPr="008D3B9D" w:rsidP="00214364" w14:paraId="0B6D6C36" w14:textId="77777777">
      <w:pPr>
        <w:pStyle w:val="Normal2"/>
        <w:adjustRightInd w:val="0"/>
        <w:snapToGrid w:val="0"/>
        <w:spacing w:after="0"/>
        <w:ind w:firstLine="426"/>
        <w:rPr>
          <w:rFonts w:ascii="Candara" w:hAnsi="Candara"/>
          <w:b/>
          <w:bCs/>
          <w:color w:val="auto"/>
          <w:sz w:val="22"/>
          <w:szCs w:val="24"/>
        </w:rPr>
      </w:pPr>
      <w:r w:rsidRPr="008D3B9D">
        <w:rPr>
          <w:rFonts w:ascii="Candara" w:hAnsi="Candara"/>
          <w:b/>
          <w:bCs/>
          <w:color w:val="auto"/>
          <w:sz w:val="22"/>
          <w:szCs w:val="24"/>
        </w:rPr>
        <w:t>RIS3</w:t>
      </w:r>
      <w:r w:rsidRPr="008D3B9D">
        <w:rPr>
          <w:rFonts w:ascii="Candara" w:hAnsi="Candara"/>
          <w:color w:val="auto"/>
          <w:sz w:val="22"/>
          <w:szCs w:val="24"/>
        </w:rPr>
        <w:t xml:space="preserve"> </w:t>
      </w:r>
      <w:r w:rsidRPr="008D3B9D">
        <w:rPr>
          <w:rFonts w:ascii="Candara" w:hAnsi="Candara"/>
          <w:b/>
          <w:color w:val="auto"/>
          <w:sz w:val="22"/>
          <w:szCs w:val="24"/>
        </w:rPr>
        <w:t xml:space="preserve">uzdevums </w:t>
      </w:r>
      <w:r w:rsidRPr="008D3B9D">
        <w:rPr>
          <w:rFonts w:ascii="Candara" w:hAnsi="Candara"/>
          <w:color w:val="auto"/>
          <w:sz w:val="22"/>
          <w:szCs w:val="24"/>
        </w:rPr>
        <w:t xml:space="preserve">– nodrošināt attīstības prioritāšu izvirzīšanu un regulāru pārskatīšanu, publisko investīciju mērķtiecīgu fokusēšanu, t.sk. </w:t>
      </w:r>
      <w:r w:rsidRPr="008D3B9D">
        <w:rPr>
          <w:rFonts w:ascii="Candara" w:hAnsi="Candara"/>
          <w:bCs/>
          <w:color w:val="auto"/>
          <w:sz w:val="22"/>
          <w:szCs w:val="24"/>
        </w:rPr>
        <w:t>s</w:t>
      </w:r>
      <w:r w:rsidRPr="008D3B9D">
        <w:rPr>
          <w:rFonts w:ascii="Candara" w:hAnsi="Candara"/>
          <w:color w:val="auto"/>
          <w:sz w:val="22"/>
          <w:szCs w:val="24"/>
        </w:rPr>
        <w:t>t</w:t>
      </w:r>
      <w:r w:rsidRPr="008D3B9D">
        <w:rPr>
          <w:rFonts w:ascii="Candara" w:hAnsi="Candara"/>
          <w:bCs/>
          <w:color w:val="auto"/>
          <w:sz w:val="22"/>
          <w:szCs w:val="24"/>
        </w:rPr>
        <w:t>ratēģijas uzstādījumiem atbilstošu rīcībpolitikas instrumentu izvēli un tādas monitoringa sistēmas izveidi, kas ļauj sekot publisko ieguldījumu ietekmei un nodrošina maksimālu virzību uz izvirzīto mērķu sasniegšanu</w:t>
      </w:r>
      <w:r w:rsidRPr="008D3B9D">
        <w:rPr>
          <w:rFonts w:ascii="Candara" w:hAnsi="Candara"/>
          <w:color w:val="auto"/>
          <w:sz w:val="22"/>
          <w:szCs w:val="24"/>
        </w:rPr>
        <w:t xml:space="preserve">. </w:t>
      </w:r>
    </w:p>
    <w:p w:rsidR="004A53FC" w:rsidRPr="008D3B9D" w:rsidP="00214364" w14:paraId="7FDD1507" w14:textId="77777777">
      <w:pPr>
        <w:adjustRightInd w:val="0"/>
        <w:snapToGrid w:val="0"/>
        <w:spacing w:after="0" w:line="240" w:lineRule="auto"/>
        <w:ind w:firstLine="426"/>
        <w:jc w:val="both"/>
        <w:rPr>
          <w:rFonts w:ascii="Candara" w:eastAsia="SimSun" w:hAnsi="Candara" w:cs="Times New Roman"/>
          <w:szCs w:val="24"/>
        </w:rPr>
      </w:pPr>
      <w:r w:rsidRPr="008D3B9D">
        <w:rPr>
          <w:rFonts w:ascii="Candara" w:eastAsia="Times New Roman" w:hAnsi="Candara" w:cs="Times New Roman"/>
          <w:szCs w:val="24"/>
          <w:lang w:eastAsia="zh-CN" w:bidi="lo-LA"/>
        </w:rPr>
        <w:t xml:space="preserve">Saskaņā ar Zinātnes, tehnoloģiju attīstības un inovācijas pamatnostādnēm 2014-2020.gadam </w:t>
      </w:r>
      <w:r w:rsidRPr="008D3B9D">
        <w:rPr>
          <w:rFonts w:ascii="Candara" w:hAnsi="Candara" w:cs="Times New Roman"/>
          <w:b/>
          <w:szCs w:val="24"/>
        </w:rPr>
        <w:t>RIS3 paredz pastāvīgu konkurētspējas priekšrocību atrašanu, stratēģisku prioritāšu izvēli</w:t>
      </w:r>
      <w:r w:rsidRPr="008D3B9D">
        <w:rPr>
          <w:rFonts w:ascii="Candara" w:hAnsi="Candara" w:cs="Times New Roman"/>
          <w:szCs w:val="24"/>
        </w:rPr>
        <w:t xml:space="preserve"> un tādu politikas instrumentu izvēli, kas maksimāli atraisa valsts uz zināšanām balstīto attīstības potenciālu, un tādējādi nodrošina tautsaimniecības izaugsmi.</w:t>
      </w:r>
    </w:p>
    <w:p w:rsidR="004A53FC" w:rsidRPr="008D3B9D" w:rsidP="00214364" w14:paraId="5F7C9D56" w14:textId="77777777">
      <w:pPr>
        <w:spacing w:after="0" w:line="240" w:lineRule="auto"/>
        <w:ind w:firstLine="426"/>
        <w:jc w:val="both"/>
        <w:rPr>
          <w:rFonts w:ascii="Candara" w:eastAsia="SimSun" w:hAnsi="Candara" w:cs="Times New Roman"/>
          <w:szCs w:val="24"/>
          <w:lang w:eastAsia="zh-CN" w:bidi="lo-LA"/>
        </w:rPr>
      </w:pPr>
      <w:r w:rsidRPr="008D3B9D">
        <w:rPr>
          <w:rFonts w:ascii="Candara" w:eastAsia="SimSun" w:hAnsi="Candara" w:cs="Times New Roman"/>
          <w:szCs w:val="24"/>
          <w:lang w:eastAsia="zh-CN" w:bidi="lo-LA"/>
        </w:rPr>
        <w:t xml:space="preserve">Ievērojot RIS3 mērķus, RIS3 publisko investīciju programmas ir vērstas uz Latvijas tautsaimniecības inovācijas kapacitātes stiprināšanu un uz inovācijas šķēršļu mazināšanu. </w:t>
      </w:r>
    </w:p>
    <w:p w:rsidR="004A53FC" w:rsidRPr="008D3B9D" w:rsidP="004A53FC" w14:paraId="4AACC661" w14:textId="77777777">
      <w:pPr>
        <w:adjustRightInd w:val="0"/>
        <w:snapToGrid w:val="0"/>
        <w:spacing w:after="0" w:line="240" w:lineRule="auto"/>
        <w:jc w:val="both"/>
        <w:rPr>
          <w:rFonts w:ascii="Candara" w:hAnsi="Candara" w:cs="Times New Roman"/>
          <w:sz w:val="14"/>
          <w:szCs w:val="24"/>
        </w:rPr>
      </w:pPr>
    </w:p>
    <w:p w:rsidR="004A53FC" w:rsidP="004A53FC" w14:paraId="614364C8" w14:textId="77777777">
      <w:pPr>
        <w:pStyle w:val="NumberedF"/>
        <w:numPr>
          <w:ilvl w:val="0"/>
          <w:numId w:val="0"/>
        </w:numPr>
        <w:adjustRightInd w:val="0"/>
        <w:snapToGrid w:val="0"/>
        <w:spacing w:before="0" w:after="0" w:line="240" w:lineRule="auto"/>
        <w:contextualSpacing w:val="0"/>
        <w:jc w:val="center"/>
        <w:rPr>
          <w:rFonts w:ascii="Candara" w:eastAsia="SimSun" w:hAnsi="Candara" w:cs="Times New Roman"/>
          <w:b/>
          <w:iCs/>
        </w:rPr>
      </w:pPr>
      <w:r w:rsidRPr="008D3B9D">
        <w:rPr>
          <w:rFonts w:ascii="Candara" w:eastAsia="SimSun" w:hAnsi="Candara" w:cs="Times New Roman"/>
          <w:b/>
          <w:iCs/>
          <w:noProof/>
          <w:sz w:val="22"/>
          <w:lang w:eastAsia="lv-LV" w:bidi="ar-SA"/>
        </w:rPr>
        <mc:AlternateContent>
          <mc:Choice Requires="wps">
            <w:drawing>
              <wp:anchor distT="45720" distB="45720" distL="114300" distR="114300" simplePos="0" relativeHeight="251670528" behindDoc="0" locked="0" layoutInCell="1" allowOverlap="1">
                <wp:simplePos x="0" y="0"/>
                <wp:positionH relativeFrom="column">
                  <wp:posOffset>-285115</wp:posOffset>
                </wp:positionH>
                <wp:positionV relativeFrom="paragraph">
                  <wp:posOffset>211455</wp:posOffset>
                </wp:positionV>
                <wp:extent cx="1685925" cy="228600"/>
                <wp:effectExtent l="0" t="0" r="0" b="0"/>
                <wp:wrapNone/>
                <wp:docPr id="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85925" cy="228600"/>
                        </a:xfrm>
                        <a:prstGeom prst="rect">
                          <a:avLst/>
                        </a:prstGeom>
                        <a:noFill/>
                        <a:ln w="9525">
                          <a:noFill/>
                          <a:miter lim="800000"/>
                          <a:headEnd/>
                          <a:tailEnd/>
                        </a:ln>
                      </wps:spPr>
                      <wps:txbx>
                        <w:txbxContent>
                          <w:p w:rsidR="00B55C40" w14:textId="77777777">
                            <w:r>
                              <w:rPr>
                                <w:rFonts w:ascii="Candara" w:eastAsia="SimSun" w:hAnsi="Candara" w:cs="Times New Roman"/>
                                <w:b/>
                                <w:sz w:val="20"/>
                                <w:szCs w:val="20"/>
                              </w:rPr>
                              <w:t>T</w:t>
                            </w:r>
                            <w:r w:rsidRPr="004A53FC">
                              <w:rPr>
                                <w:rFonts w:ascii="Candara" w:eastAsia="SimSun" w:hAnsi="Candara" w:cs="Times New Roman"/>
                                <w:b/>
                                <w:sz w:val="20"/>
                                <w:szCs w:val="20"/>
                              </w:rPr>
                              <w:t>ransformācijas virzieni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2" type="#_x0000_t202" style="width:132.75pt;height:18pt;margin-top:16.65pt;margin-left:-22.45pt;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B55C40" w14:paraId="0132FDA4" w14:textId="77777777">
                      <w:r>
                        <w:rPr>
                          <w:rFonts w:ascii="Candara" w:eastAsia="SimSun" w:hAnsi="Candara" w:cs="Times New Roman"/>
                          <w:b/>
                          <w:sz w:val="20"/>
                          <w:szCs w:val="20"/>
                        </w:rPr>
                        <w:t>T</w:t>
                      </w:r>
                      <w:r w:rsidRPr="004A53FC">
                        <w:rPr>
                          <w:rFonts w:ascii="Candara" w:eastAsia="SimSun" w:hAnsi="Candara" w:cs="Times New Roman"/>
                          <w:b/>
                          <w:sz w:val="20"/>
                          <w:szCs w:val="20"/>
                        </w:rPr>
                        <w:t>ransformācijas virzieni</w:t>
                      </w:r>
                    </w:p>
                  </w:txbxContent>
                </v:textbox>
              </v:shape>
            </w:pict>
          </mc:Fallback>
        </mc:AlternateContent>
      </w:r>
      <w:r w:rsidRPr="008D3B9D" w:rsidR="004A53FC">
        <w:rPr>
          <w:rFonts w:ascii="Candara" w:eastAsia="SimSun" w:hAnsi="Candara" w:cs="Times New Roman"/>
          <w:b/>
          <w:iCs/>
          <w:sz w:val="22"/>
          <w:szCs w:val="22"/>
        </w:rPr>
        <w:t>RIS3 noteiktie t</w:t>
      </w:r>
      <w:r w:rsidRPr="008D3B9D" w:rsidR="004A53FC">
        <w:rPr>
          <w:rFonts w:ascii="Candara" w:eastAsia="SimSun" w:hAnsi="Candara" w:cs="Times New Roman"/>
          <w:b/>
          <w:iCs/>
          <w:sz w:val="22"/>
        </w:rPr>
        <w:t>autsaimniecības transformācijas virzieni, prioritātes un specializācijas jomas</w:t>
      </w:r>
    </w:p>
    <w:p w:rsidR="004A53FC" w:rsidP="004A53FC" w14:paraId="717E3BEC" w14:textId="77777777">
      <w:pPr>
        <w:pStyle w:val="NumberedF"/>
        <w:numPr>
          <w:ilvl w:val="0"/>
          <w:numId w:val="0"/>
        </w:numPr>
        <w:adjustRightInd w:val="0"/>
        <w:snapToGrid w:val="0"/>
        <w:spacing w:before="0" w:after="0" w:line="240" w:lineRule="auto"/>
        <w:contextualSpacing w:val="0"/>
        <w:jc w:val="center"/>
        <w:rPr>
          <w:rFonts w:ascii="Candara" w:eastAsia="SimSun" w:hAnsi="Candara" w:cs="Times New Roman"/>
          <w:b/>
          <w:iCs/>
        </w:rPr>
      </w:pPr>
      <w:r w:rsidRPr="008D3B9D">
        <w:rPr>
          <w:rFonts w:ascii="Candara" w:eastAsia="SimSun" w:hAnsi="Candara" w:cs="Times New Roman"/>
          <w:b/>
          <w:iCs/>
          <w:noProof/>
          <w:sz w:val="22"/>
          <w:lang w:eastAsia="lv-LV" w:bidi="ar-SA"/>
        </w:rPr>
        <mc:AlternateContent>
          <mc:Choice Requires="wps">
            <w:drawing>
              <wp:anchor distT="45720" distB="45720" distL="114300" distR="114300" simplePos="0" relativeHeight="251678720" behindDoc="0" locked="0" layoutInCell="1" allowOverlap="1">
                <wp:simplePos x="0" y="0"/>
                <wp:positionH relativeFrom="column">
                  <wp:posOffset>1324610</wp:posOffset>
                </wp:positionH>
                <wp:positionV relativeFrom="paragraph">
                  <wp:posOffset>35560</wp:posOffset>
                </wp:positionV>
                <wp:extent cx="1485900" cy="266700"/>
                <wp:effectExtent l="0" t="0" r="0" b="0"/>
                <wp:wrapNone/>
                <wp:docPr id="20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85900" cy="266700"/>
                        </a:xfrm>
                        <a:prstGeom prst="rect">
                          <a:avLst/>
                        </a:prstGeom>
                        <a:noFill/>
                        <a:ln w="9525">
                          <a:noFill/>
                          <a:miter lim="800000"/>
                          <a:headEnd/>
                          <a:tailEnd/>
                        </a:ln>
                      </wps:spPr>
                      <wps:txbx>
                        <w:txbxContent>
                          <w:p w:rsidR="00B55C40" w:rsidRPr="008D3B9D" w:rsidP="008D3B9D" w14:textId="77777777">
                            <w:pPr>
                              <w:jc w:val="both"/>
                              <w:rPr>
                                <w:sz w:val="24"/>
                              </w:rPr>
                            </w:pPr>
                            <w:r w:rsidRPr="008D3B9D">
                              <w:rPr>
                                <w:rFonts w:ascii="Candara" w:eastAsia="SimSun" w:hAnsi="Candara" w:cs="Times New Roman"/>
                                <w:b/>
                                <w:sz w:val="20"/>
                                <w:szCs w:val="20"/>
                              </w:rPr>
                              <w:t>Izaugsmes prioritātes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3" type="#_x0000_t202" style="width:117pt;height:21pt;margin-top:2.8pt;margin-left:104.3pt;mso-height-percent:0;mso-height-relative:margin;mso-width-percent:0;mso-width-relative:margin;mso-wrap-distance-bottom:3.6pt;mso-wrap-distance-left:9pt;mso-wrap-distance-right:9pt;mso-wrap-distance-top:3.6pt;mso-wrap-style:square;position:absolute;visibility:visible;v-text-anchor:top;z-index:251679744" filled="f" stroked="f">
                <v:textbox>
                  <w:txbxContent>
                    <w:p w:rsidR="00B55C40" w:rsidRPr="008D3B9D" w:rsidP="008D3B9D" w14:paraId="5668D81D" w14:textId="77777777">
                      <w:pPr>
                        <w:jc w:val="both"/>
                        <w:rPr>
                          <w:sz w:val="24"/>
                        </w:rPr>
                      </w:pPr>
                      <w:r w:rsidRPr="008D3B9D">
                        <w:rPr>
                          <w:rFonts w:ascii="Candara" w:eastAsia="SimSun" w:hAnsi="Candara" w:cs="Times New Roman"/>
                          <w:b/>
                          <w:sz w:val="20"/>
                          <w:szCs w:val="20"/>
                        </w:rPr>
                        <w:t>Izaugsmes prioritātes</w:t>
                      </w:r>
                    </w:p>
                  </w:txbxContent>
                </v:textbox>
              </v:shape>
            </w:pict>
          </mc:Fallback>
        </mc:AlternateContent>
      </w:r>
    </w:p>
    <w:p w:rsidR="004A53FC" w:rsidP="004A53FC" w14:paraId="12CDC2D3" w14:textId="77777777">
      <w:pPr>
        <w:pStyle w:val="NumberedF"/>
        <w:numPr>
          <w:ilvl w:val="0"/>
          <w:numId w:val="0"/>
        </w:numPr>
        <w:adjustRightInd w:val="0"/>
        <w:snapToGrid w:val="0"/>
        <w:spacing w:before="0" w:after="0" w:line="240" w:lineRule="auto"/>
        <w:contextualSpacing w:val="0"/>
        <w:jc w:val="center"/>
        <w:rPr>
          <w:rFonts w:ascii="Candara" w:eastAsia="SimSun" w:hAnsi="Candara" w:cs="Times New Roman"/>
          <w:b/>
          <w:iCs/>
        </w:rPr>
      </w:pPr>
      <w:r w:rsidRPr="008D3B9D">
        <w:rPr>
          <w:rFonts w:ascii="Candara" w:eastAsia="SimSun" w:hAnsi="Candara" w:cs="Times New Roman"/>
          <w:b/>
          <w:iCs/>
          <w:noProof/>
          <w:sz w:val="22"/>
          <w:lang w:eastAsia="lv-LV" w:bidi="ar-SA"/>
        </w:rPr>
        <mc:AlternateContent>
          <mc:Choice Requires="wps">
            <w:drawing>
              <wp:anchor distT="45720" distB="45720" distL="114300" distR="114300" simplePos="0" relativeHeight="251680768" behindDoc="0" locked="0" layoutInCell="1" allowOverlap="1">
                <wp:simplePos x="0" y="0"/>
                <wp:positionH relativeFrom="column">
                  <wp:posOffset>1396365</wp:posOffset>
                </wp:positionH>
                <wp:positionV relativeFrom="paragraph">
                  <wp:posOffset>107950</wp:posOffset>
                </wp:positionV>
                <wp:extent cx="4562475" cy="575945"/>
                <wp:effectExtent l="0" t="0" r="28575" b="14605"/>
                <wp:wrapNone/>
                <wp:docPr id="205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62475" cy="575945"/>
                        </a:xfrm>
                        <a:prstGeom prst="rect">
                          <a:avLst/>
                        </a:prstGeom>
                        <a:solidFill>
                          <a:schemeClr val="accent4">
                            <a:lumMod val="20000"/>
                            <a:lumOff val="80000"/>
                          </a:schemeClr>
                        </a:solidFill>
                        <a:ln w="9525">
                          <a:solidFill>
                            <a:srgbClr val="000000"/>
                          </a:solidFill>
                          <a:miter lim="800000"/>
                          <a:headEnd/>
                          <a:tailEnd/>
                        </a:ln>
                      </wps:spPr>
                      <wps:txbx>
                        <w:txbxContent>
                          <w:p w:rsidR="00B55C40" w:rsidRPr="001F1988" w:rsidP="001F1988" w14:textId="77777777">
                            <w:pPr>
                              <w:adjustRightInd w:val="0"/>
                              <w:snapToGrid w:val="0"/>
                              <w:spacing w:after="0" w:line="240" w:lineRule="auto"/>
                              <w:rPr>
                                <w:sz w:val="20"/>
                              </w:rPr>
                            </w:pPr>
                            <w:r w:rsidRPr="001F1988">
                              <w:rPr>
                                <w:rFonts w:ascii="Candara" w:hAnsi="Candara" w:cs="Times New Roman"/>
                                <w:b/>
                                <w:i/>
                                <w:sz w:val="16"/>
                                <w:szCs w:val="20"/>
                                <w:u w:val="single"/>
                              </w:rPr>
                              <w:t>1.prioritāte:</w:t>
                            </w:r>
                            <w:r w:rsidRPr="001F1988">
                              <w:rPr>
                                <w:rFonts w:ascii="Candara" w:hAnsi="Candara" w:cs="Times New Roman"/>
                                <w:b/>
                                <w:sz w:val="16"/>
                                <w:szCs w:val="20"/>
                              </w:rPr>
                              <w:t xml:space="preserve"> </w:t>
                            </w:r>
                            <w:r w:rsidRPr="001F1988">
                              <w:rPr>
                                <w:rFonts w:ascii="Candara" w:hAnsi="Candara" w:cs="Times New Roman"/>
                                <w:sz w:val="16"/>
                                <w:szCs w:val="20"/>
                              </w:rPr>
                              <w:t>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un pakalpojumu ražošanai.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4" type="#_x0000_t202" style="width:359.25pt;height:45.35pt;margin-top:8.5pt;margin-left:109.95pt;mso-height-percent:0;mso-height-relative:margin;mso-width-percent:0;mso-width-relative:margin;mso-wrap-distance-bottom:3.6pt;mso-wrap-distance-left:9pt;mso-wrap-distance-right:9pt;mso-wrap-distance-top:3.6pt;mso-wrap-style:square;position:absolute;visibility:visible;v-text-anchor:top;z-index:251681792" fillcolor="#e0def0">
                <v:textbox>
                  <w:txbxContent>
                    <w:p w:rsidR="00B55C40" w:rsidRPr="001F1988" w:rsidP="001F1988" w14:paraId="696E39F4" w14:textId="77777777">
                      <w:pPr>
                        <w:adjustRightInd w:val="0"/>
                        <w:snapToGrid w:val="0"/>
                        <w:spacing w:after="0" w:line="240" w:lineRule="auto"/>
                        <w:rPr>
                          <w:sz w:val="20"/>
                        </w:rPr>
                      </w:pPr>
                      <w:r w:rsidRPr="001F1988">
                        <w:rPr>
                          <w:rFonts w:ascii="Candara" w:hAnsi="Candara" w:cs="Times New Roman"/>
                          <w:b/>
                          <w:i/>
                          <w:sz w:val="16"/>
                          <w:szCs w:val="20"/>
                          <w:u w:val="single"/>
                        </w:rPr>
                        <w:t>1.prioritāte:</w:t>
                      </w:r>
                      <w:r w:rsidRPr="001F1988">
                        <w:rPr>
                          <w:rFonts w:ascii="Candara" w:hAnsi="Candara" w:cs="Times New Roman"/>
                          <w:b/>
                          <w:sz w:val="16"/>
                          <w:szCs w:val="20"/>
                        </w:rPr>
                        <w:t xml:space="preserve"> </w:t>
                      </w:r>
                      <w:r w:rsidRPr="001F1988">
                        <w:rPr>
                          <w:rFonts w:ascii="Candara" w:hAnsi="Candara" w:cs="Times New Roman"/>
                          <w:sz w:val="16"/>
                          <w:szCs w:val="20"/>
                        </w:rPr>
                        <w:t>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un pakalpojumu ražošanai.</w:t>
                      </w:r>
                    </w:p>
                  </w:txbxContent>
                </v:textbox>
              </v:shape>
            </w:pict>
          </mc:Fallback>
        </mc:AlternateContent>
      </w:r>
      <w:r w:rsidRPr="008D3B9D" w:rsidR="008D3B9D">
        <w:rPr>
          <w:rFonts w:ascii="Candara" w:eastAsia="SimSun" w:hAnsi="Candara" w:cs="Times New Roman"/>
          <w:b/>
          <w:iCs/>
          <w:noProof/>
          <w:sz w:val="22"/>
          <w:lang w:eastAsia="lv-LV" w:bidi="ar-SA"/>
        </w:rPr>
        <mc:AlternateContent>
          <mc:Choice Requires="wps">
            <w:drawing>
              <wp:anchor distT="45720" distB="45720" distL="114300" distR="114300" simplePos="0" relativeHeight="251672576" behindDoc="0" locked="0" layoutInCell="1" allowOverlap="1">
                <wp:simplePos x="0" y="0"/>
                <wp:positionH relativeFrom="column">
                  <wp:posOffset>-285115</wp:posOffset>
                </wp:positionH>
                <wp:positionV relativeFrom="paragraph">
                  <wp:posOffset>111760</wp:posOffset>
                </wp:positionV>
                <wp:extent cx="1647825" cy="575945"/>
                <wp:effectExtent l="0" t="0" r="28575" b="14605"/>
                <wp:wrapNone/>
                <wp:docPr id="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47825" cy="575945"/>
                        </a:xfrm>
                        <a:prstGeom prst="rect">
                          <a:avLst/>
                        </a:prstGeom>
                        <a:solidFill>
                          <a:schemeClr val="accent4">
                            <a:lumMod val="20000"/>
                            <a:lumOff val="80000"/>
                          </a:schemeClr>
                        </a:solidFill>
                        <a:ln w="9525">
                          <a:solidFill>
                            <a:srgbClr val="000000"/>
                          </a:solidFill>
                          <a:miter lim="800000"/>
                          <a:headEnd/>
                          <a:tailEnd/>
                        </a:ln>
                      </wps:spPr>
                      <wps:txbx>
                        <w:txbxContent>
                          <w:p w:rsidR="00B55C40" w:rsidRPr="008D3B9D" w:rsidP="004A53FC" w14:textId="77777777">
                            <w:pPr>
                              <w:ind w:left="-142" w:right="-82"/>
                              <w:jc w:val="center"/>
                              <w:rPr>
                                <w:sz w:val="18"/>
                                <w:szCs w:val="19"/>
                              </w:rPr>
                            </w:pPr>
                            <w:r w:rsidRPr="008D3B9D">
                              <w:rPr>
                                <w:rFonts w:ascii="Candara" w:hAnsi="Candara" w:cs="Times New Roman"/>
                                <w:sz w:val="18"/>
                                <w:szCs w:val="19"/>
                              </w:rPr>
                              <w:t>Ražošanas un eksporta struktūras maiņa tradicionālajās tautsaimniecības nozarēs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5" type="#_x0000_t202" style="width:129.75pt;height:45.35pt;margin-top:8.8pt;margin-left:-22.45pt;mso-height-percent:0;mso-height-relative:margin;mso-width-percent:0;mso-width-relative:margin;mso-wrap-distance-bottom:3.6pt;mso-wrap-distance-left:9pt;mso-wrap-distance-right:9pt;mso-wrap-distance-top:3.6pt;mso-wrap-style:square;position:absolute;visibility:visible;v-text-anchor:top;z-index:251673600" fillcolor="#e0def0">
                <v:textbox>
                  <w:txbxContent>
                    <w:p w:rsidR="00B55C40" w:rsidRPr="008D3B9D" w:rsidP="004A53FC" w14:paraId="058D4863" w14:textId="77777777">
                      <w:pPr>
                        <w:ind w:left="-142" w:right="-82"/>
                        <w:jc w:val="center"/>
                        <w:rPr>
                          <w:sz w:val="18"/>
                          <w:szCs w:val="19"/>
                        </w:rPr>
                      </w:pPr>
                      <w:r w:rsidRPr="008D3B9D">
                        <w:rPr>
                          <w:rFonts w:ascii="Candara" w:hAnsi="Candara" w:cs="Times New Roman"/>
                          <w:sz w:val="18"/>
                          <w:szCs w:val="19"/>
                        </w:rPr>
                        <w:t>Ražošanas un eksporta struktūras maiņa tradicionālajās tautsaimniecības nozarēs</w:t>
                      </w:r>
                    </w:p>
                  </w:txbxContent>
                </v:textbox>
              </v:shape>
            </w:pict>
          </mc:Fallback>
        </mc:AlternateContent>
      </w:r>
    </w:p>
    <w:p w:rsidR="004A53FC" w:rsidP="004A53FC" w14:paraId="7AB7D651" w14:textId="77777777">
      <w:pPr>
        <w:pStyle w:val="NumberedF"/>
        <w:numPr>
          <w:ilvl w:val="0"/>
          <w:numId w:val="0"/>
        </w:numPr>
        <w:adjustRightInd w:val="0"/>
        <w:snapToGrid w:val="0"/>
        <w:spacing w:before="0" w:after="0" w:line="240" w:lineRule="auto"/>
        <w:contextualSpacing w:val="0"/>
        <w:jc w:val="center"/>
        <w:rPr>
          <w:rFonts w:ascii="Candara" w:eastAsia="SimSun" w:hAnsi="Candara" w:cs="Times New Roman"/>
          <w:b/>
          <w:iCs/>
        </w:rPr>
      </w:pPr>
    </w:p>
    <w:p w:rsidR="004A53FC" w:rsidP="004A53FC" w14:paraId="79A5CE12" w14:textId="77777777">
      <w:pPr>
        <w:pStyle w:val="NumberedF"/>
        <w:numPr>
          <w:ilvl w:val="0"/>
          <w:numId w:val="0"/>
        </w:numPr>
        <w:adjustRightInd w:val="0"/>
        <w:snapToGrid w:val="0"/>
        <w:spacing w:before="0" w:after="0" w:line="240" w:lineRule="auto"/>
        <w:contextualSpacing w:val="0"/>
        <w:jc w:val="center"/>
        <w:rPr>
          <w:rFonts w:ascii="Candara" w:eastAsia="SimSun" w:hAnsi="Candara" w:cs="Times New Roman"/>
          <w:b/>
          <w:iCs/>
        </w:rPr>
      </w:pPr>
    </w:p>
    <w:p w:rsidR="004A53FC" w:rsidP="004A53FC" w14:paraId="68DF7110"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r>
        <w:rPr>
          <w:rFonts w:ascii="Candara" w:hAnsi="Candara" w:cs="Times New Roman"/>
          <w:bCs/>
          <w:noProof/>
          <w:lang w:eastAsia="lv-LV" w:bidi="ar-SA"/>
        </w:rPr>
        <mc:AlternateContent>
          <mc:Choice Requires="wps">
            <w:drawing>
              <wp:anchor distT="0" distB="0" distL="114300" distR="114300" simplePos="0" relativeHeight="251697152" behindDoc="0" locked="0" layoutInCell="1" allowOverlap="1">
                <wp:simplePos x="0" y="0"/>
                <wp:positionH relativeFrom="column">
                  <wp:posOffset>3189112</wp:posOffset>
                </wp:positionH>
                <wp:positionV relativeFrom="paragraph">
                  <wp:posOffset>41836</wp:posOffset>
                </wp:positionV>
                <wp:extent cx="190500" cy="6560185"/>
                <wp:effectExtent l="0" t="60643" r="15558" b="15557"/>
                <wp:wrapNone/>
                <wp:docPr id="2069" name="Right Brace 2069"/>
                <wp:cNvGraphicFramePr/>
                <a:graphic xmlns:a="http://schemas.openxmlformats.org/drawingml/2006/main">
                  <a:graphicData uri="http://schemas.microsoft.com/office/word/2010/wordprocessingShape">
                    <wps:wsp xmlns:wps="http://schemas.microsoft.com/office/word/2010/wordprocessingShape">
                      <wps:cNvSpPr/>
                      <wps:spPr>
                        <a:xfrm rot="16200000">
                          <a:off x="0" y="0"/>
                          <a:ext cx="190500" cy="6560185"/>
                        </a:xfrm>
                        <a:prstGeom prst="rightBrace">
                          <a:avLst>
                            <a:gd name="adj1" fmla="val 75679"/>
                            <a:gd name="adj2" fmla="val 50000"/>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Right Brace 2069" o:spid="_x0000_s1086" type="#_x0000_t88" style="width:15pt;height:516.55pt;margin-top:3.3pt;margin-left:251.1pt;mso-height-percent:0;mso-height-relative:margin;mso-width-percent:0;mso-width-relative:margin;mso-wrap-distance-bottom:0;mso-wrap-distance-left:9pt;mso-wrap-distance-right:9pt;mso-wrap-distance-top:0;mso-wrap-style:square;position:absolute;rotation:-90;visibility:visible;v-text-anchor:middle;z-index:251698176" adj="475" strokecolor="#92278f" strokeweight="1.5pt">
                <v:stroke joinstyle="miter"/>
              </v:shape>
            </w:pict>
          </mc:Fallback>
        </mc:AlternateContent>
      </w:r>
    </w:p>
    <w:p w:rsidR="004A53FC" w:rsidP="004A53FC" w14:paraId="5F015BA3"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r w:rsidRPr="008D3B9D">
        <w:rPr>
          <w:rFonts w:ascii="Candara" w:eastAsia="SimSun" w:hAnsi="Candara" w:cs="Times New Roman"/>
          <w:b/>
          <w:iCs/>
          <w:noProof/>
          <w:sz w:val="22"/>
          <w:lang w:eastAsia="lv-LV" w:bidi="ar-SA"/>
        </w:rPr>
        <mc:AlternateContent>
          <mc:Choice Requires="wps">
            <w:drawing>
              <wp:anchor distT="45720" distB="45720" distL="114300" distR="114300" simplePos="0" relativeHeight="251674624" behindDoc="0" locked="0" layoutInCell="1" allowOverlap="1">
                <wp:simplePos x="0" y="0"/>
                <wp:positionH relativeFrom="column">
                  <wp:posOffset>-285115</wp:posOffset>
                </wp:positionH>
                <wp:positionV relativeFrom="paragraph">
                  <wp:posOffset>106045</wp:posOffset>
                </wp:positionV>
                <wp:extent cx="1647825" cy="666750"/>
                <wp:effectExtent l="0" t="0" r="28575" b="19050"/>
                <wp:wrapNone/>
                <wp:docPr id="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47825" cy="666750"/>
                        </a:xfrm>
                        <a:prstGeom prst="rect">
                          <a:avLst/>
                        </a:prstGeom>
                        <a:solidFill>
                          <a:schemeClr val="accent6">
                            <a:lumMod val="60000"/>
                            <a:lumOff val="40000"/>
                          </a:schemeClr>
                        </a:solidFill>
                        <a:ln w="9525">
                          <a:solidFill>
                            <a:srgbClr val="000000"/>
                          </a:solidFill>
                          <a:miter lim="800000"/>
                          <a:headEnd/>
                          <a:tailEnd/>
                        </a:ln>
                      </wps:spPr>
                      <wps:txbx>
                        <w:txbxContent>
                          <w:p w:rsidR="00B55C40" w:rsidRPr="008D3B9D" w:rsidP="006C74B6" w14:textId="77777777">
                            <w:pPr>
                              <w:ind w:left="-142" w:right="-82"/>
                              <w:jc w:val="center"/>
                              <w:rPr>
                                <w:rFonts w:ascii="Candara" w:hAnsi="Candara" w:cs="Times New Roman"/>
                                <w:sz w:val="18"/>
                                <w:szCs w:val="19"/>
                              </w:rPr>
                            </w:pPr>
                            <w:r w:rsidRPr="008D3B9D">
                              <w:rPr>
                                <w:rFonts w:ascii="Candara" w:hAnsi="Candara" w:cs="Times New Roman"/>
                                <w:sz w:val="18"/>
                                <w:szCs w:val="19"/>
                              </w:rPr>
                              <w:t>Nākotnes izaugsmes nozares, kurās eksistē vai var rasties produkti un pakalpojumi ar augstu pievienoto vērtību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7" type="#_x0000_t202" style="width:129.75pt;height:52.5pt;margin-top:8.35pt;margin-left:-22.45pt;mso-height-percent:0;mso-height-relative:margin;mso-width-percent:0;mso-width-relative:margin;mso-wrap-distance-bottom:3.6pt;mso-wrap-distance-left:9pt;mso-wrap-distance-right:9pt;mso-wrap-distance-top:3.6pt;mso-wrap-style:square;position:absolute;visibility:visible;v-text-anchor:top;z-index:251675648" fillcolor="#9bb3e9">
                <v:textbox>
                  <w:txbxContent>
                    <w:p w:rsidR="00B55C40" w:rsidRPr="008D3B9D" w:rsidP="006C74B6" w14:paraId="6C8FCD76" w14:textId="77777777">
                      <w:pPr>
                        <w:ind w:left="-142" w:right="-82"/>
                        <w:jc w:val="center"/>
                        <w:rPr>
                          <w:rFonts w:ascii="Candara" w:hAnsi="Candara" w:cs="Times New Roman"/>
                          <w:sz w:val="18"/>
                          <w:szCs w:val="19"/>
                        </w:rPr>
                      </w:pPr>
                      <w:r w:rsidRPr="008D3B9D">
                        <w:rPr>
                          <w:rFonts w:ascii="Candara" w:hAnsi="Candara" w:cs="Times New Roman"/>
                          <w:sz w:val="18"/>
                          <w:szCs w:val="19"/>
                        </w:rPr>
                        <w:t>Nākotnes izaugsmes nozares, kurās eksistē vai var rasties produkti un pakalpojumi ar augstu pievienoto vērtību</w:t>
                      </w:r>
                    </w:p>
                  </w:txbxContent>
                </v:textbox>
              </v:shape>
            </w:pict>
          </mc:Fallback>
        </mc:AlternateContent>
      </w:r>
    </w:p>
    <w:p w:rsidR="004A53FC" w:rsidP="004A53FC" w14:paraId="52255A79"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r w:rsidRPr="008D3B9D">
        <w:rPr>
          <w:rFonts w:ascii="Candara" w:eastAsia="SimSun" w:hAnsi="Candara" w:cs="Times New Roman"/>
          <w:b/>
          <w:iCs/>
          <w:noProof/>
          <w:sz w:val="22"/>
          <w:lang w:eastAsia="lv-LV" w:bidi="ar-SA"/>
        </w:rPr>
        <mc:AlternateContent>
          <mc:Choice Requires="wps">
            <w:drawing>
              <wp:anchor distT="45720" distB="45720" distL="114300" distR="114300" simplePos="0" relativeHeight="251682816" behindDoc="0" locked="0" layoutInCell="1" allowOverlap="1">
                <wp:simplePos x="0" y="0"/>
                <wp:positionH relativeFrom="column">
                  <wp:posOffset>1396365</wp:posOffset>
                </wp:positionH>
                <wp:positionV relativeFrom="paragraph">
                  <wp:posOffset>54610</wp:posOffset>
                </wp:positionV>
                <wp:extent cx="4562475" cy="657225"/>
                <wp:effectExtent l="0" t="0" r="28575" b="28575"/>
                <wp:wrapNone/>
                <wp:docPr id="205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62475" cy="657225"/>
                        </a:xfrm>
                        <a:prstGeom prst="rect">
                          <a:avLst/>
                        </a:prstGeom>
                        <a:solidFill>
                          <a:schemeClr val="accent6">
                            <a:lumMod val="60000"/>
                            <a:lumOff val="40000"/>
                          </a:schemeClr>
                        </a:solidFill>
                        <a:ln w="9525">
                          <a:solidFill>
                            <a:srgbClr val="000000"/>
                          </a:solidFill>
                          <a:miter lim="800000"/>
                          <a:headEnd/>
                          <a:tailEnd/>
                        </a:ln>
                      </wps:spPr>
                      <wps:txbx>
                        <w:txbxContent>
                          <w:p w:rsidR="00B55C40" w:rsidRPr="006C74B6" w:rsidP="006C74B6" w14:textId="77777777">
                            <w:pPr>
                              <w:adjustRightInd w:val="0"/>
                              <w:snapToGrid w:val="0"/>
                              <w:spacing w:after="0" w:line="240" w:lineRule="auto"/>
                              <w:rPr>
                                <w:sz w:val="18"/>
                              </w:rPr>
                            </w:pPr>
                            <w:r w:rsidRPr="006C74B6">
                              <w:rPr>
                                <w:rFonts w:ascii="Candara" w:hAnsi="Candara" w:cs="Times New Roman"/>
                                <w:b/>
                                <w:i/>
                                <w:sz w:val="16"/>
                                <w:szCs w:val="20"/>
                                <w:u w:val="single"/>
                              </w:rPr>
                              <w:t>2.prioritāte:</w:t>
                            </w:r>
                            <w:r w:rsidRPr="006C74B6">
                              <w:rPr>
                                <w:rFonts w:ascii="Candara" w:hAnsi="Candara" w:cs="Times New Roman"/>
                                <w:b/>
                                <w:sz w:val="16"/>
                                <w:szCs w:val="20"/>
                              </w:rPr>
                              <w:t xml:space="preserve"> </w:t>
                            </w:r>
                            <w:r w:rsidRPr="006C74B6">
                              <w:rPr>
                                <w:rFonts w:ascii="Candara" w:hAnsi="Candara" w:cs="Times New Roman"/>
                                <w:sz w:val="16"/>
                                <w:szCs w:val="20"/>
                              </w:rPr>
                              <w:t>Jaun</w:t>
                            </w:r>
                            <w:r>
                              <w:rPr>
                                <w:rFonts w:ascii="Candara" w:hAnsi="Candara" w:cs="Times New Roman"/>
                                <w:sz w:val="16"/>
                                <w:szCs w:val="20"/>
                              </w:rPr>
                              <w:t>i</w:t>
                            </w:r>
                            <w:r w:rsidRPr="006C74B6">
                              <w:rPr>
                                <w:rFonts w:ascii="Candara" w:hAnsi="Candara" w:cs="Times New Roman"/>
                                <w:sz w:val="16"/>
                                <w:szCs w:val="20"/>
                              </w:rPr>
                              <w:t xml:space="preserve"> produkt</w:t>
                            </w:r>
                            <w:r>
                              <w:rPr>
                                <w:rFonts w:ascii="Candara" w:hAnsi="Candara" w:cs="Times New Roman"/>
                                <w:sz w:val="16"/>
                                <w:szCs w:val="20"/>
                              </w:rPr>
                              <w:t>i</w:t>
                            </w:r>
                            <w:r w:rsidRPr="006C74B6">
                              <w:rPr>
                                <w:rFonts w:ascii="Candara" w:hAnsi="Candara" w:cs="Times New Roman"/>
                                <w:sz w:val="16"/>
                                <w:szCs w:val="20"/>
                              </w:rPr>
                              <w:t>/ pakalpojum</w:t>
                            </w:r>
                            <w:r>
                              <w:rPr>
                                <w:rFonts w:ascii="Candara" w:hAnsi="Candara" w:cs="Times New Roman"/>
                                <w:sz w:val="16"/>
                                <w:szCs w:val="20"/>
                              </w:rPr>
                              <w:t>i</w:t>
                            </w:r>
                            <w:r w:rsidRPr="006C74B6">
                              <w:rPr>
                                <w:rFonts w:ascii="Candara" w:hAnsi="Candara" w:cs="Times New Roman"/>
                                <w:sz w:val="16"/>
                                <w:szCs w:val="20"/>
                              </w:rPr>
                              <w:t>, kur</w:t>
                            </w:r>
                            <w:r>
                              <w:rPr>
                                <w:rFonts w:ascii="Candara" w:hAnsi="Candara" w:cs="Times New Roman"/>
                                <w:sz w:val="16"/>
                                <w:szCs w:val="20"/>
                              </w:rPr>
                              <w:t>u radīšanai i</w:t>
                            </w:r>
                            <w:r w:rsidRPr="006C74B6">
                              <w:rPr>
                                <w:rFonts w:ascii="Candara" w:hAnsi="Candara" w:cs="Times New Roman"/>
                                <w:sz w:val="16"/>
                                <w:szCs w:val="20"/>
                              </w:rPr>
                              <w:t xml:space="preserve">r nepieciešams </w:t>
                            </w:r>
                            <w:r>
                              <w:rPr>
                                <w:rFonts w:ascii="Candara" w:hAnsi="Candara" w:cs="Times New Roman"/>
                                <w:sz w:val="16"/>
                                <w:szCs w:val="20"/>
                              </w:rPr>
                              <w:t xml:space="preserve">veidot </w:t>
                            </w:r>
                            <w:r w:rsidRPr="006C74B6">
                              <w:rPr>
                                <w:rFonts w:ascii="Candara" w:hAnsi="Candara" w:cs="Times New Roman"/>
                                <w:sz w:val="16"/>
                                <w:szCs w:val="20"/>
                              </w:rPr>
                              <w:t xml:space="preserve">efektīvu identifikācijas sistēmu, kas spēj atrast un sniegt atbalstu jaunu produktu radīšanai esošo nozaru </w:t>
                            </w:r>
                            <w:r w:rsidRPr="006C74B6">
                              <w:rPr>
                                <w:rFonts w:ascii="Candara" w:hAnsi="Candara" w:cs="Times New Roman"/>
                                <w:bCs/>
                                <w:sz w:val="16"/>
                                <w:szCs w:val="20"/>
                              </w:rPr>
                              <w:t>un</w:t>
                            </w:r>
                            <w:r w:rsidRPr="006C74B6">
                              <w:rPr>
                                <w:rFonts w:ascii="Candara" w:hAnsi="Candara" w:cs="Times New Roman"/>
                                <w:sz w:val="16"/>
                                <w:szCs w:val="20"/>
                              </w:rPr>
                              <w:t xml:space="preserve"> starpnozaru ietvaros, </w:t>
                            </w:r>
                            <w:r w:rsidRPr="006C74B6">
                              <w:rPr>
                                <w:rFonts w:ascii="Candara" w:hAnsi="Candara" w:cs="Times New Roman"/>
                                <w:bCs/>
                                <w:sz w:val="16"/>
                                <w:szCs w:val="20"/>
                              </w:rPr>
                              <w:t>kā arī veidot jaunas nozares ar augstu izaugsmes potenciālu</w:t>
                            </w:r>
                            <w:r w:rsidRPr="006C74B6">
                              <w:rPr>
                                <w:rFonts w:ascii="Candara" w:hAnsi="Candara" w:cs="Times New Roman"/>
                                <w:sz w:val="16"/>
                                <w:szCs w:val="20"/>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8" type="#_x0000_t202" style="width:359.25pt;height:51.75pt;margin-top:4.3pt;margin-left:109.95pt;mso-height-percent:0;mso-height-relative:margin;mso-width-percent:0;mso-width-relative:margin;mso-wrap-distance-bottom:3.6pt;mso-wrap-distance-left:9pt;mso-wrap-distance-right:9pt;mso-wrap-distance-top:3.6pt;mso-wrap-style:square;position:absolute;visibility:visible;v-text-anchor:top;z-index:251683840" fillcolor="#9bb3e9">
                <v:textbox>
                  <w:txbxContent>
                    <w:p w:rsidR="00B55C40" w:rsidRPr="006C74B6" w:rsidP="006C74B6" w14:paraId="5C229B49" w14:textId="77777777">
                      <w:pPr>
                        <w:adjustRightInd w:val="0"/>
                        <w:snapToGrid w:val="0"/>
                        <w:spacing w:after="0" w:line="240" w:lineRule="auto"/>
                        <w:rPr>
                          <w:sz w:val="18"/>
                        </w:rPr>
                      </w:pPr>
                      <w:r w:rsidRPr="006C74B6">
                        <w:rPr>
                          <w:rFonts w:ascii="Candara" w:hAnsi="Candara" w:cs="Times New Roman"/>
                          <w:b/>
                          <w:i/>
                          <w:sz w:val="16"/>
                          <w:szCs w:val="20"/>
                          <w:u w:val="single"/>
                        </w:rPr>
                        <w:t>2.prioritāte:</w:t>
                      </w:r>
                      <w:r w:rsidRPr="006C74B6">
                        <w:rPr>
                          <w:rFonts w:ascii="Candara" w:hAnsi="Candara" w:cs="Times New Roman"/>
                          <w:b/>
                          <w:sz w:val="16"/>
                          <w:szCs w:val="20"/>
                        </w:rPr>
                        <w:t xml:space="preserve"> </w:t>
                      </w:r>
                      <w:r w:rsidRPr="006C74B6">
                        <w:rPr>
                          <w:rFonts w:ascii="Candara" w:hAnsi="Candara" w:cs="Times New Roman"/>
                          <w:sz w:val="16"/>
                          <w:szCs w:val="20"/>
                        </w:rPr>
                        <w:t>Jaun</w:t>
                      </w:r>
                      <w:r>
                        <w:rPr>
                          <w:rFonts w:ascii="Candara" w:hAnsi="Candara" w:cs="Times New Roman"/>
                          <w:sz w:val="16"/>
                          <w:szCs w:val="20"/>
                        </w:rPr>
                        <w:t>i</w:t>
                      </w:r>
                      <w:r w:rsidRPr="006C74B6">
                        <w:rPr>
                          <w:rFonts w:ascii="Candara" w:hAnsi="Candara" w:cs="Times New Roman"/>
                          <w:sz w:val="16"/>
                          <w:szCs w:val="20"/>
                        </w:rPr>
                        <w:t xml:space="preserve"> produkt</w:t>
                      </w:r>
                      <w:r>
                        <w:rPr>
                          <w:rFonts w:ascii="Candara" w:hAnsi="Candara" w:cs="Times New Roman"/>
                          <w:sz w:val="16"/>
                          <w:szCs w:val="20"/>
                        </w:rPr>
                        <w:t>i</w:t>
                      </w:r>
                      <w:r w:rsidRPr="006C74B6">
                        <w:rPr>
                          <w:rFonts w:ascii="Candara" w:hAnsi="Candara" w:cs="Times New Roman"/>
                          <w:sz w:val="16"/>
                          <w:szCs w:val="20"/>
                        </w:rPr>
                        <w:t>/ pakalpojum</w:t>
                      </w:r>
                      <w:r>
                        <w:rPr>
                          <w:rFonts w:ascii="Candara" w:hAnsi="Candara" w:cs="Times New Roman"/>
                          <w:sz w:val="16"/>
                          <w:szCs w:val="20"/>
                        </w:rPr>
                        <w:t>i</w:t>
                      </w:r>
                      <w:r w:rsidRPr="006C74B6">
                        <w:rPr>
                          <w:rFonts w:ascii="Candara" w:hAnsi="Candara" w:cs="Times New Roman"/>
                          <w:sz w:val="16"/>
                          <w:szCs w:val="20"/>
                        </w:rPr>
                        <w:t>, kur</w:t>
                      </w:r>
                      <w:r>
                        <w:rPr>
                          <w:rFonts w:ascii="Candara" w:hAnsi="Candara" w:cs="Times New Roman"/>
                          <w:sz w:val="16"/>
                          <w:szCs w:val="20"/>
                        </w:rPr>
                        <w:t>u radīšanai i</w:t>
                      </w:r>
                      <w:r w:rsidRPr="006C74B6">
                        <w:rPr>
                          <w:rFonts w:ascii="Candara" w:hAnsi="Candara" w:cs="Times New Roman"/>
                          <w:sz w:val="16"/>
                          <w:szCs w:val="20"/>
                        </w:rPr>
                        <w:t xml:space="preserve">r nepieciešams </w:t>
                      </w:r>
                      <w:r>
                        <w:rPr>
                          <w:rFonts w:ascii="Candara" w:hAnsi="Candara" w:cs="Times New Roman"/>
                          <w:sz w:val="16"/>
                          <w:szCs w:val="20"/>
                        </w:rPr>
                        <w:t xml:space="preserve">veidot </w:t>
                      </w:r>
                      <w:r w:rsidRPr="006C74B6">
                        <w:rPr>
                          <w:rFonts w:ascii="Candara" w:hAnsi="Candara" w:cs="Times New Roman"/>
                          <w:sz w:val="16"/>
                          <w:szCs w:val="20"/>
                        </w:rPr>
                        <w:t xml:space="preserve">efektīvu identifikācijas sistēmu, kas spēj atrast un sniegt atbalstu jaunu produktu radīšanai esošo nozaru </w:t>
                      </w:r>
                      <w:r w:rsidRPr="006C74B6">
                        <w:rPr>
                          <w:rFonts w:ascii="Candara" w:hAnsi="Candara" w:cs="Times New Roman"/>
                          <w:bCs/>
                          <w:sz w:val="16"/>
                          <w:szCs w:val="20"/>
                        </w:rPr>
                        <w:t>un</w:t>
                      </w:r>
                      <w:r w:rsidRPr="006C74B6">
                        <w:rPr>
                          <w:rFonts w:ascii="Candara" w:hAnsi="Candara" w:cs="Times New Roman"/>
                          <w:sz w:val="16"/>
                          <w:szCs w:val="20"/>
                        </w:rPr>
                        <w:t xml:space="preserve"> starpnozaru ietvaros, </w:t>
                      </w:r>
                      <w:r w:rsidRPr="006C74B6">
                        <w:rPr>
                          <w:rFonts w:ascii="Candara" w:hAnsi="Candara" w:cs="Times New Roman"/>
                          <w:bCs/>
                          <w:sz w:val="16"/>
                          <w:szCs w:val="20"/>
                        </w:rPr>
                        <w:t>kā arī veidot jaunas nozares ar augstu izaugsmes potenciālu</w:t>
                      </w:r>
                      <w:r w:rsidRPr="006C74B6">
                        <w:rPr>
                          <w:rFonts w:ascii="Candara" w:hAnsi="Candara" w:cs="Times New Roman"/>
                          <w:sz w:val="16"/>
                          <w:szCs w:val="20"/>
                        </w:rPr>
                        <w:t>.</w:t>
                      </w:r>
                    </w:p>
                  </w:txbxContent>
                </v:textbox>
              </v:shape>
            </w:pict>
          </mc:Fallback>
        </mc:AlternateContent>
      </w:r>
    </w:p>
    <w:p w:rsidR="006C74B6" w:rsidP="004A53FC" w14:paraId="7E0CC120"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4A59DB6A"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744355D5"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5640D4E6"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10345399"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4277D878"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0AB83CCD"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590149B5"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2175784D"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3294E9C1"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15D86B68"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r w:rsidRPr="008D3B9D">
        <w:rPr>
          <w:rFonts w:ascii="Candara" w:eastAsia="SimSun" w:hAnsi="Candara" w:cs="Times New Roman"/>
          <w:b/>
          <w:iCs/>
          <w:noProof/>
          <w:sz w:val="22"/>
          <w:lang w:eastAsia="lv-LV" w:bidi="ar-SA"/>
        </w:rPr>
        <mc:AlternateContent>
          <mc:Choice Requires="wps">
            <w:drawing>
              <wp:anchor distT="45720" distB="45720" distL="114300" distR="114300" simplePos="0" relativeHeight="251676672" behindDoc="0" locked="0" layoutInCell="1" allowOverlap="1">
                <wp:simplePos x="0" y="0"/>
                <wp:positionH relativeFrom="column">
                  <wp:posOffset>-275590</wp:posOffset>
                </wp:positionH>
                <wp:positionV relativeFrom="paragraph">
                  <wp:posOffset>76200</wp:posOffset>
                </wp:positionV>
                <wp:extent cx="1647825" cy="575945"/>
                <wp:effectExtent l="0" t="0" r="28575" b="14605"/>
                <wp:wrapNone/>
                <wp:docPr id="20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47825" cy="575945"/>
                        </a:xfrm>
                        <a:prstGeom prst="rect">
                          <a:avLst/>
                        </a:prstGeom>
                        <a:solidFill>
                          <a:schemeClr val="accent2">
                            <a:lumMod val="60000"/>
                            <a:lumOff val="40000"/>
                          </a:schemeClr>
                        </a:solidFill>
                        <a:ln w="9525">
                          <a:solidFill>
                            <a:srgbClr val="000000"/>
                          </a:solidFill>
                          <a:miter lim="800000"/>
                          <a:headEnd/>
                          <a:tailEnd/>
                        </a:ln>
                      </wps:spPr>
                      <wps:txbx>
                        <w:txbxContent>
                          <w:p w:rsidR="00B55C40" w:rsidRPr="008D3B9D" w:rsidP="006C74B6" w14:textId="77777777">
                            <w:pPr>
                              <w:ind w:left="-142" w:right="-82"/>
                              <w:jc w:val="center"/>
                              <w:rPr>
                                <w:rFonts w:ascii="Candara" w:hAnsi="Candara" w:cs="Times New Roman"/>
                                <w:sz w:val="18"/>
                                <w:szCs w:val="19"/>
                              </w:rPr>
                            </w:pPr>
                            <w:r w:rsidRPr="008D3B9D">
                              <w:rPr>
                                <w:rFonts w:ascii="Candara" w:hAnsi="Candara" w:cs="Times New Roman"/>
                                <w:sz w:val="18"/>
                                <w:szCs w:val="19"/>
                              </w:rPr>
                              <w:t>Nozares ar nozīmīgu horizontālo ietekmi un ieguldījumu tautsaimniecības transformācijā.</w:t>
                            </w:r>
                          </w:p>
                          <w:p w:rsidR="00B55C40" w:rsidRPr="008D3B9D" w:rsidP="006C74B6" w14:textId="77777777">
                            <w:pPr>
                              <w:ind w:left="-142" w:right="-82"/>
                              <w:jc w:val="center"/>
                              <w:rPr>
                                <w:rFonts w:ascii="Candara" w:hAnsi="Candara" w:cs="Times New Roman"/>
                                <w:sz w:val="18"/>
                                <w:szCs w:val="19"/>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9" type="#_x0000_t202" style="width:129.75pt;height:45.35pt;margin-top:6pt;margin-left:-21.7pt;mso-height-percent:0;mso-height-relative:margin;mso-width-percent:0;mso-width-relative:margin;mso-wrap-distance-bottom:3.6pt;mso-wrap-distance-left:9pt;mso-wrap-distance-right:9pt;mso-wrap-distance-top:3.6pt;mso-wrap-style:square;position:absolute;visibility:visible;v-text-anchor:top;z-index:251677696" fillcolor="#c29ae4">
                <v:textbox>
                  <w:txbxContent>
                    <w:p w:rsidR="00B55C40" w:rsidRPr="008D3B9D" w:rsidP="006C74B6" w14:paraId="06F62653" w14:textId="77777777">
                      <w:pPr>
                        <w:ind w:left="-142" w:right="-82"/>
                        <w:jc w:val="center"/>
                        <w:rPr>
                          <w:rFonts w:ascii="Candara" w:hAnsi="Candara" w:cs="Times New Roman"/>
                          <w:sz w:val="18"/>
                          <w:szCs w:val="19"/>
                        </w:rPr>
                      </w:pPr>
                      <w:r w:rsidRPr="008D3B9D">
                        <w:rPr>
                          <w:rFonts w:ascii="Candara" w:hAnsi="Candara" w:cs="Times New Roman"/>
                          <w:sz w:val="18"/>
                          <w:szCs w:val="19"/>
                        </w:rPr>
                        <w:t>Nozares ar nozīmīgu horizontālo ietekmi un ieguldījumu tautsaimniecības transformācijā.</w:t>
                      </w:r>
                    </w:p>
                    <w:p w:rsidR="00B55C40" w:rsidRPr="008D3B9D" w:rsidP="006C74B6" w14:paraId="2C28FCCB" w14:textId="77777777">
                      <w:pPr>
                        <w:ind w:left="-142" w:right="-82"/>
                        <w:jc w:val="center"/>
                        <w:rPr>
                          <w:rFonts w:ascii="Candara" w:hAnsi="Candara" w:cs="Times New Roman"/>
                          <w:sz w:val="18"/>
                          <w:szCs w:val="19"/>
                        </w:rPr>
                      </w:pPr>
                    </w:p>
                  </w:txbxContent>
                </v:textbox>
              </v:shape>
            </w:pict>
          </mc:Fallback>
        </mc:AlternateContent>
      </w:r>
    </w:p>
    <w:p w:rsidR="008D3B9D" w:rsidP="004A53FC" w14:paraId="2A9D238A"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r w:rsidRPr="004A53FC">
        <w:rPr>
          <w:rFonts w:ascii="Candara" w:eastAsia="SimSun" w:hAnsi="Candara" w:cs="Times New Roman"/>
          <w:b/>
          <w:iCs/>
          <w:noProof/>
          <w:lang w:eastAsia="lv-LV" w:bidi="ar-SA"/>
        </w:rPr>
        <mc:AlternateContent>
          <mc:Choice Requires="wps">
            <w:drawing>
              <wp:anchor distT="45720" distB="45720" distL="114300" distR="114300" simplePos="0" relativeHeight="251684864" behindDoc="0" locked="0" layoutInCell="1" allowOverlap="1">
                <wp:simplePos x="0" y="0"/>
                <wp:positionH relativeFrom="column">
                  <wp:posOffset>1396365</wp:posOffset>
                </wp:positionH>
                <wp:positionV relativeFrom="paragraph">
                  <wp:posOffset>15240</wp:posOffset>
                </wp:positionV>
                <wp:extent cx="4562475" cy="361950"/>
                <wp:effectExtent l="0" t="0" r="28575" b="19050"/>
                <wp:wrapNone/>
                <wp:docPr id="20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62475" cy="361950"/>
                        </a:xfrm>
                        <a:prstGeom prst="rect">
                          <a:avLst/>
                        </a:prstGeom>
                        <a:solidFill>
                          <a:schemeClr val="accent2">
                            <a:lumMod val="60000"/>
                            <a:lumOff val="40000"/>
                          </a:schemeClr>
                        </a:solidFill>
                        <a:ln w="9525">
                          <a:solidFill>
                            <a:srgbClr val="000000"/>
                          </a:solidFill>
                          <a:miter lim="800000"/>
                          <a:headEnd/>
                          <a:tailEnd/>
                        </a:ln>
                      </wps:spPr>
                      <wps:txbx>
                        <w:txbxContent>
                          <w:p w:rsidR="00B55C40" w:rsidRPr="006C74B6" w:rsidP="006C74B6" w14:textId="77777777">
                            <w:pPr>
                              <w:adjustRightInd w:val="0"/>
                              <w:snapToGrid w:val="0"/>
                              <w:spacing w:after="0" w:line="240" w:lineRule="auto"/>
                              <w:rPr>
                                <w:sz w:val="16"/>
                              </w:rPr>
                            </w:pPr>
                            <w:r w:rsidRPr="006C74B6">
                              <w:rPr>
                                <w:rFonts w:ascii="Candara" w:hAnsi="Candara" w:cs="Times New Roman"/>
                                <w:b/>
                                <w:i/>
                                <w:sz w:val="16"/>
                                <w:szCs w:val="20"/>
                                <w:u w:val="single"/>
                              </w:rPr>
                              <w:t xml:space="preserve">3.prioritāte: </w:t>
                            </w:r>
                            <w:r>
                              <w:rPr>
                                <w:rFonts w:ascii="Candara" w:hAnsi="Candara" w:cs="Times New Roman"/>
                                <w:b/>
                                <w:i/>
                                <w:sz w:val="16"/>
                                <w:szCs w:val="20"/>
                                <w:u w:val="single"/>
                              </w:rPr>
                              <w:t xml:space="preserve"> </w:t>
                            </w:r>
                            <w:r w:rsidRPr="006C74B6">
                              <w:rPr>
                                <w:rFonts w:ascii="Candara" w:hAnsi="Candara" w:cs="Times New Roman"/>
                                <w:sz w:val="16"/>
                                <w:szCs w:val="20"/>
                              </w:rPr>
                              <w:t>Energoefektivitātes paaugstināšana, kas ietver jaunu materiālu radīšanu, ražošanas procesu optimizāciju, tehnoloģisko jauninājumu ieviešanu, alternatīvo energoresursu izmantošanu u.c. risinājumus.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90" type="#_x0000_t202" style="width:359.25pt;height:28.5pt;margin-top:1.2pt;margin-left:109.95pt;mso-height-percent:0;mso-height-relative:margin;mso-width-percent:0;mso-width-relative:margin;mso-wrap-distance-bottom:3.6pt;mso-wrap-distance-left:9pt;mso-wrap-distance-right:9pt;mso-wrap-distance-top:3.6pt;mso-wrap-style:square;position:absolute;visibility:visible;v-text-anchor:top;z-index:251685888" fillcolor="#c29ae4">
                <v:textbox>
                  <w:txbxContent>
                    <w:p w:rsidR="00B55C40" w:rsidRPr="006C74B6" w:rsidP="006C74B6" w14:paraId="5778C2FE" w14:textId="77777777">
                      <w:pPr>
                        <w:adjustRightInd w:val="0"/>
                        <w:snapToGrid w:val="0"/>
                        <w:spacing w:after="0" w:line="240" w:lineRule="auto"/>
                        <w:rPr>
                          <w:sz w:val="16"/>
                        </w:rPr>
                      </w:pPr>
                      <w:r w:rsidRPr="006C74B6">
                        <w:rPr>
                          <w:rFonts w:ascii="Candara" w:hAnsi="Candara" w:cs="Times New Roman"/>
                          <w:b/>
                          <w:i/>
                          <w:sz w:val="16"/>
                          <w:szCs w:val="20"/>
                          <w:u w:val="single"/>
                        </w:rPr>
                        <w:t xml:space="preserve">3.prioritāte: </w:t>
                      </w:r>
                      <w:r>
                        <w:rPr>
                          <w:rFonts w:ascii="Candara" w:hAnsi="Candara" w:cs="Times New Roman"/>
                          <w:b/>
                          <w:i/>
                          <w:sz w:val="16"/>
                          <w:szCs w:val="20"/>
                          <w:u w:val="single"/>
                        </w:rPr>
                        <w:t xml:space="preserve"> </w:t>
                      </w:r>
                      <w:r w:rsidRPr="006C74B6">
                        <w:rPr>
                          <w:rFonts w:ascii="Candara" w:hAnsi="Candara" w:cs="Times New Roman"/>
                          <w:sz w:val="16"/>
                          <w:szCs w:val="20"/>
                        </w:rPr>
                        <w:t>Energoefektivitātes paaugstināšana, kas ietver jaunu materiālu radīšanu, ražošanas procesu optimizāciju, tehnoloģisko jauninājumu ieviešanu, alternatīvo energoresursu izmantošanu u.c. risinājumus.</w:t>
                      </w:r>
                    </w:p>
                  </w:txbxContent>
                </v:textbox>
              </v:shape>
            </w:pict>
          </mc:Fallback>
        </mc:AlternateContent>
      </w:r>
    </w:p>
    <w:p w:rsidR="008D3B9D" w:rsidP="004A53FC" w14:paraId="696925CB"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01DBD396"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6950D81D"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5D7FBA56"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081C5202"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4182C542"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r w:rsidRPr="008D3B9D">
        <w:rPr>
          <w:rFonts w:ascii="Candara" w:eastAsia="SimSun" w:hAnsi="Candara" w:cs="Times New Roman"/>
          <w:b/>
          <w:iCs/>
          <w:noProof/>
          <w:sz w:val="22"/>
          <w:lang w:eastAsia="lv-LV" w:bidi="ar-SA"/>
        </w:rPr>
        <mc:AlternateContent>
          <mc:Choice Requires="wps">
            <w:drawing>
              <wp:anchor distT="45720" distB="45720" distL="114300" distR="114300" simplePos="0" relativeHeight="251686912" behindDoc="0" locked="0" layoutInCell="1" allowOverlap="1">
                <wp:simplePos x="0" y="0"/>
                <wp:positionH relativeFrom="column">
                  <wp:posOffset>1396365</wp:posOffset>
                </wp:positionH>
                <wp:positionV relativeFrom="paragraph">
                  <wp:posOffset>33655</wp:posOffset>
                </wp:positionV>
                <wp:extent cx="4562475" cy="247650"/>
                <wp:effectExtent l="0" t="0" r="28575" b="19050"/>
                <wp:wrapNone/>
                <wp:docPr id="20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62475" cy="247650"/>
                        </a:xfrm>
                        <a:prstGeom prst="rect">
                          <a:avLst/>
                        </a:prstGeom>
                        <a:solidFill>
                          <a:schemeClr val="accent2">
                            <a:lumMod val="60000"/>
                            <a:lumOff val="40000"/>
                          </a:schemeClr>
                        </a:solidFill>
                        <a:ln w="9525">
                          <a:solidFill>
                            <a:srgbClr val="000000"/>
                          </a:solidFill>
                          <a:miter lim="800000"/>
                          <a:headEnd/>
                          <a:tailEnd/>
                        </a:ln>
                      </wps:spPr>
                      <wps:txbx>
                        <w:txbxContent>
                          <w:p w:rsidR="00B55C40" w:rsidRPr="006C74B6" w:rsidP="006C74B6" w14:textId="77777777">
                            <w:pPr>
                              <w:adjustRightInd w:val="0"/>
                              <w:snapToGrid w:val="0"/>
                              <w:spacing w:after="0" w:line="240" w:lineRule="auto"/>
                              <w:rPr>
                                <w:sz w:val="14"/>
                              </w:rPr>
                            </w:pPr>
                            <w:r w:rsidRPr="006C74B6">
                              <w:rPr>
                                <w:rFonts w:ascii="Candara" w:hAnsi="Candara" w:cs="Times New Roman"/>
                                <w:b/>
                                <w:i/>
                                <w:sz w:val="16"/>
                                <w:szCs w:val="20"/>
                                <w:u w:val="single"/>
                              </w:rPr>
                              <w:t>4.prioritāte:</w:t>
                            </w:r>
                            <w:r w:rsidRPr="006C74B6">
                              <w:rPr>
                                <w:rFonts w:ascii="Candara" w:hAnsi="Candara" w:cs="Times New Roman"/>
                                <w:b/>
                                <w:sz w:val="16"/>
                                <w:szCs w:val="20"/>
                              </w:rPr>
                              <w:t xml:space="preserve">  </w:t>
                            </w:r>
                            <w:r w:rsidRPr="006C74B6">
                              <w:rPr>
                                <w:rFonts w:ascii="Candara" w:hAnsi="Candara" w:cs="Times New Roman"/>
                                <w:bCs/>
                                <w:sz w:val="16"/>
                                <w:szCs w:val="20"/>
                              </w:rPr>
                              <w:t>Moderna</w:t>
                            </w:r>
                            <w:r w:rsidRPr="006C74B6">
                              <w:rPr>
                                <w:rFonts w:ascii="Candara" w:hAnsi="Candara" w:cs="Times New Roman"/>
                                <w:sz w:val="16"/>
                                <w:szCs w:val="20"/>
                              </w:rPr>
                              <w:t xml:space="preserve"> un </w:t>
                            </w:r>
                            <w:r w:rsidRPr="006C74B6">
                              <w:rPr>
                                <w:rFonts w:ascii="Candara" w:hAnsi="Candara" w:cs="Times New Roman"/>
                                <w:bCs/>
                                <w:sz w:val="16"/>
                                <w:szCs w:val="20"/>
                              </w:rPr>
                              <w:t>mūsdienu prasībām atbilstoša IKT sistēma</w:t>
                            </w:r>
                            <w:r w:rsidRPr="006C74B6">
                              <w:rPr>
                                <w:rFonts w:ascii="Candara" w:hAnsi="Candara" w:cs="Times New Roman"/>
                                <w:sz w:val="16"/>
                                <w:szCs w:val="20"/>
                              </w:rPr>
                              <w:t xml:space="preserve"> privātajā </w:t>
                            </w:r>
                            <w:r w:rsidRPr="006C74B6">
                              <w:rPr>
                                <w:rFonts w:ascii="Candara" w:hAnsi="Candara" w:cs="Times New Roman"/>
                                <w:bCs/>
                                <w:sz w:val="16"/>
                                <w:szCs w:val="20"/>
                              </w:rPr>
                              <w:t>un valsts</w:t>
                            </w:r>
                            <w:r w:rsidRPr="006C74B6">
                              <w:rPr>
                                <w:rFonts w:ascii="Candara" w:hAnsi="Candara" w:cs="Times New Roman"/>
                                <w:sz w:val="16"/>
                                <w:szCs w:val="20"/>
                              </w:rPr>
                              <w:t xml:space="preserve"> sektorā.</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359.25pt;height:19.5pt;margin-top:2.65pt;margin-left:109.95pt;mso-height-percent:0;mso-height-relative:margin;mso-width-percent:0;mso-width-relative:margin;mso-wrap-distance-bottom:3.6pt;mso-wrap-distance-left:9pt;mso-wrap-distance-right:9pt;mso-wrap-distance-top:3.6pt;mso-wrap-style:square;position:absolute;visibility:visible;v-text-anchor:top;z-index:251687936" fillcolor="#c29ae4">
                <v:textbox>
                  <w:txbxContent>
                    <w:p w:rsidR="00B55C40" w:rsidRPr="006C74B6" w:rsidP="006C74B6" w14:paraId="1F36B41F" w14:textId="77777777">
                      <w:pPr>
                        <w:adjustRightInd w:val="0"/>
                        <w:snapToGrid w:val="0"/>
                        <w:spacing w:after="0" w:line="240" w:lineRule="auto"/>
                        <w:rPr>
                          <w:sz w:val="14"/>
                        </w:rPr>
                      </w:pPr>
                      <w:r w:rsidRPr="006C74B6">
                        <w:rPr>
                          <w:rFonts w:ascii="Candara" w:hAnsi="Candara" w:cs="Times New Roman"/>
                          <w:b/>
                          <w:i/>
                          <w:sz w:val="16"/>
                          <w:szCs w:val="20"/>
                          <w:u w:val="single"/>
                        </w:rPr>
                        <w:t>4.prioritāte:</w:t>
                      </w:r>
                      <w:r w:rsidRPr="006C74B6">
                        <w:rPr>
                          <w:rFonts w:ascii="Candara" w:hAnsi="Candara" w:cs="Times New Roman"/>
                          <w:b/>
                          <w:sz w:val="16"/>
                          <w:szCs w:val="20"/>
                        </w:rPr>
                        <w:t xml:space="preserve">  </w:t>
                      </w:r>
                      <w:r w:rsidRPr="006C74B6">
                        <w:rPr>
                          <w:rFonts w:ascii="Candara" w:hAnsi="Candara" w:cs="Times New Roman"/>
                          <w:bCs/>
                          <w:sz w:val="16"/>
                          <w:szCs w:val="20"/>
                        </w:rPr>
                        <w:t>Moderna</w:t>
                      </w:r>
                      <w:r w:rsidRPr="006C74B6">
                        <w:rPr>
                          <w:rFonts w:ascii="Candara" w:hAnsi="Candara" w:cs="Times New Roman"/>
                          <w:sz w:val="16"/>
                          <w:szCs w:val="20"/>
                        </w:rPr>
                        <w:t xml:space="preserve"> un </w:t>
                      </w:r>
                      <w:r w:rsidRPr="006C74B6">
                        <w:rPr>
                          <w:rFonts w:ascii="Candara" w:hAnsi="Candara" w:cs="Times New Roman"/>
                          <w:bCs/>
                          <w:sz w:val="16"/>
                          <w:szCs w:val="20"/>
                        </w:rPr>
                        <w:t>mūsdienu prasībām atbilstoša IKT sistēma</w:t>
                      </w:r>
                      <w:r w:rsidRPr="006C74B6">
                        <w:rPr>
                          <w:rFonts w:ascii="Candara" w:hAnsi="Candara" w:cs="Times New Roman"/>
                          <w:sz w:val="16"/>
                          <w:szCs w:val="20"/>
                        </w:rPr>
                        <w:t xml:space="preserve"> privātajā </w:t>
                      </w:r>
                      <w:r w:rsidRPr="006C74B6">
                        <w:rPr>
                          <w:rFonts w:ascii="Candara" w:hAnsi="Candara" w:cs="Times New Roman"/>
                          <w:bCs/>
                          <w:sz w:val="16"/>
                          <w:szCs w:val="20"/>
                        </w:rPr>
                        <w:t>un valsts</w:t>
                      </w:r>
                      <w:r w:rsidRPr="006C74B6">
                        <w:rPr>
                          <w:rFonts w:ascii="Candara" w:hAnsi="Candara" w:cs="Times New Roman"/>
                          <w:sz w:val="16"/>
                          <w:szCs w:val="20"/>
                        </w:rPr>
                        <w:t xml:space="preserve"> sektorā.</w:t>
                      </w:r>
                    </w:p>
                  </w:txbxContent>
                </v:textbox>
              </v:shape>
            </w:pict>
          </mc:Fallback>
        </mc:AlternateContent>
      </w:r>
    </w:p>
    <w:p w:rsidR="008D3B9D" w:rsidP="004A53FC" w14:paraId="50D64719"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477266EB"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P="004A53FC" w14:paraId="0AE3213D"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8D3B9D" w:rsidRPr="004A53FC" w:rsidP="004A53FC" w14:paraId="467EC8CC" w14:textId="77777777">
      <w:pPr>
        <w:pStyle w:val="NumberedF"/>
        <w:numPr>
          <w:ilvl w:val="0"/>
          <w:numId w:val="0"/>
        </w:numPr>
        <w:adjustRightInd w:val="0"/>
        <w:snapToGrid w:val="0"/>
        <w:spacing w:before="0" w:after="0" w:line="240" w:lineRule="auto"/>
        <w:contextualSpacing w:val="0"/>
        <w:jc w:val="right"/>
        <w:rPr>
          <w:rFonts w:ascii="Candara" w:eastAsia="SimSun" w:hAnsi="Candara" w:cs="Times New Roman"/>
          <w:i/>
          <w:iCs/>
          <w:sz w:val="8"/>
          <w:szCs w:val="8"/>
        </w:rPr>
      </w:pPr>
    </w:p>
    <w:p w:rsidR="004A53FC" w:rsidRPr="004A53FC" w:rsidP="004A53FC" w14:paraId="08EA1753" w14:textId="77777777">
      <w:pPr>
        <w:pStyle w:val="Normal2"/>
        <w:adjustRightInd w:val="0"/>
        <w:snapToGrid w:val="0"/>
        <w:spacing w:after="0"/>
        <w:rPr>
          <w:rFonts w:ascii="Candara" w:hAnsi="Candara"/>
          <w:color w:val="auto"/>
          <w:sz w:val="10"/>
          <w:szCs w:val="26"/>
        </w:rPr>
      </w:pPr>
      <w:r w:rsidRPr="008D3B9D">
        <w:rPr>
          <w:rFonts w:ascii="Candara" w:eastAsia="SimSun" w:hAnsi="Candara"/>
          <w:b/>
          <w:iCs/>
          <w:noProof/>
          <w:sz w:val="22"/>
          <w:lang w:eastAsia="lv-LV" w:bidi="ar-SA"/>
        </w:rPr>
        <mc:AlternateContent>
          <mc:Choice Requires="wps">
            <w:drawing>
              <wp:anchor distT="45720" distB="45720" distL="114300" distR="114300" simplePos="0" relativeHeight="251688960" behindDoc="0" locked="0" layoutInCell="1" allowOverlap="1">
                <wp:simplePos x="0" y="0"/>
                <wp:positionH relativeFrom="column">
                  <wp:posOffset>548640</wp:posOffset>
                </wp:positionH>
                <wp:positionV relativeFrom="paragraph">
                  <wp:posOffset>-9525</wp:posOffset>
                </wp:positionV>
                <wp:extent cx="5410200" cy="361950"/>
                <wp:effectExtent l="0" t="0" r="19050" b="19050"/>
                <wp:wrapNone/>
                <wp:docPr id="206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10200" cy="361950"/>
                        </a:xfrm>
                        <a:prstGeom prst="rect">
                          <a:avLst/>
                        </a:prstGeom>
                        <a:solidFill>
                          <a:schemeClr val="accent2">
                            <a:lumMod val="60000"/>
                            <a:lumOff val="40000"/>
                          </a:schemeClr>
                        </a:solidFill>
                        <a:ln w="9525">
                          <a:solidFill>
                            <a:srgbClr val="000000"/>
                          </a:solidFill>
                          <a:miter lim="800000"/>
                          <a:headEnd/>
                          <a:tailEnd/>
                        </a:ln>
                      </wps:spPr>
                      <wps:txbx>
                        <w:txbxContent>
                          <w:p w:rsidR="00B55C40" w:rsidRPr="006C74B6" w:rsidP="006C74B6" w14:textId="77777777">
                            <w:pPr>
                              <w:adjustRightInd w:val="0"/>
                              <w:snapToGrid w:val="0"/>
                              <w:spacing w:after="0" w:line="240" w:lineRule="auto"/>
                              <w:rPr>
                                <w:sz w:val="14"/>
                              </w:rPr>
                            </w:pPr>
                            <w:r w:rsidRPr="006C74B6">
                              <w:rPr>
                                <w:rFonts w:ascii="Candara" w:hAnsi="Candara" w:cs="Times New Roman"/>
                                <w:b/>
                                <w:i/>
                                <w:sz w:val="16"/>
                                <w:szCs w:val="20"/>
                                <w:u w:val="single"/>
                              </w:rPr>
                              <w:t>5.prioritāte:</w:t>
                            </w:r>
                            <w:r w:rsidRPr="006C74B6">
                              <w:rPr>
                                <w:rFonts w:ascii="Candara" w:hAnsi="Candara" w:cs="Times New Roman"/>
                                <w:b/>
                                <w:sz w:val="16"/>
                                <w:szCs w:val="20"/>
                              </w:rPr>
                              <w:t xml:space="preserve"> </w:t>
                            </w:r>
                            <w:r w:rsidRPr="006C74B6">
                              <w:rPr>
                                <w:rFonts w:ascii="Candara" w:hAnsi="Candara" w:cs="Times New Roman"/>
                                <w:sz w:val="16"/>
                                <w:szCs w:val="20"/>
                              </w:rPr>
                              <w:t xml:space="preserve">Moderna un </w:t>
                            </w:r>
                            <w:r w:rsidRPr="006C74B6">
                              <w:rPr>
                                <w:rFonts w:ascii="Candara" w:hAnsi="Candara" w:cs="Times New Roman"/>
                                <w:bCs/>
                                <w:sz w:val="16"/>
                                <w:szCs w:val="20"/>
                              </w:rPr>
                              <w:t>nākotnes</w:t>
                            </w:r>
                            <w:r w:rsidRPr="006C74B6">
                              <w:rPr>
                                <w:rFonts w:ascii="Candara" w:hAnsi="Candara" w:cs="Times New Roman"/>
                                <w:sz w:val="16"/>
                                <w:szCs w:val="20"/>
                              </w:rPr>
                              <w:t xml:space="preserve"> darba tirgus prasībām atbilstoša izglītības sistēma, kas </w:t>
                            </w:r>
                            <w:r w:rsidRPr="006C74B6">
                              <w:rPr>
                                <w:rFonts w:ascii="Candara" w:hAnsi="Candara" w:cs="Times New Roman"/>
                                <w:bCs/>
                                <w:sz w:val="16"/>
                                <w:szCs w:val="20"/>
                              </w:rPr>
                              <w:t>veicina tautsaimniecības transformāciju un VSS</w:t>
                            </w:r>
                            <w:r w:rsidRPr="006C74B6">
                              <w:rPr>
                                <w:rFonts w:ascii="Candara" w:hAnsi="Candara" w:cs="Times New Roman"/>
                                <w:sz w:val="16"/>
                                <w:szCs w:val="20"/>
                              </w:rPr>
                              <w:t xml:space="preserve"> prioritāšu īstenošanai nepieciešamo kompetenču, uzņēmējspējas </w:t>
                            </w:r>
                            <w:r w:rsidRPr="006C74B6">
                              <w:rPr>
                                <w:rFonts w:ascii="Candara" w:hAnsi="Candara" w:cs="Times New Roman"/>
                                <w:bCs/>
                                <w:sz w:val="16"/>
                                <w:szCs w:val="20"/>
                              </w:rPr>
                              <w:t>un radošuma</w:t>
                            </w:r>
                            <w:r w:rsidRPr="006C74B6">
                              <w:rPr>
                                <w:rFonts w:ascii="Candara" w:hAnsi="Candara" w:cs="Times New Roman"/>
                                <w:sz w:val="16"/>
                                <w:szCs w:val="20"/>
                              </w:rPr>
                              <w:t xml:space="preserve"> att</w:t>
                            </w:r>
                            <w:r>
                              <w:rPr>
                                <w:rFonts w:ascii="Candara" w:hAnsi="Candara" w:cs="Times New Roman"/>
                                <w:sz w:val="16"/>
                                <w:szCs w:val="20"/>
                              </w:rPr>
                              <w:t>īstību visos izglītības līmeņos.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92" type="#_x0000_t202" style="width:426pt;height:28.5pt;margin-top:-0.75pt;margin-left:43.2pt;mso-height-percent:0;mso-height-relative:margin;mso-width-percent:0;mso-width-relative:margin;mso-wrap-distance-bottom:3.6pt;mso-wrap-distance-left:9pt;mso-wrap-distance-right:9pt;mso-wrap-distance-top:3.6pt;mso-wrap-style:square;position:absolute;visibility:visible;v-text-anchor:top;z-index:251689984" fillcolor="#c29ae4">
                <v:textbox>
                  <w:txbxContent>
                    <w:p w:rsidR="00B55C40" w:rsidRPr="006C74B6" w:rsidP="006C74B6" w14:paraId="37DE47FC" w14:textId="77777777">
                      <w:pPr>
                        <w:adjustRightInd w:val="0"/>
                        <w:snapToGrid w:val="0"/>
                        <w:spacing w:after="0" w:line="240" w:lineRule="auto"/>
                        <w:rPr>
                          <w:sz w:val="14"/>
                        </w:rPr>
                      </w:pPr>
                      <w:r w:rsidRPr="006C74B6">
                        <w:rPr>
                          <w:rFonts w:ascii="Candara" w:hAnsi="Candara" w:cs="Times New Roman"/>
                          <w:b/>
                          <w:i/>
                          <w:sz w:val="16"/>
                          <w:szCs w:val="20"/>
                          <w:u w:val="single"/>
                        </w:rPr>
                        <w:t>5.prioritāte:</w:t>
                      </w:r>
                      <w:r w:rsidRPr="006C74B6">
                        <w:rPr>
                          <w:rFonts w:ascii="Candara" w:hAnsi="Candara" w:cs="Times New Roman"/>
                          <w:b/>
                          <w:sz w:val="16"/>
                          <w:szCs w:val="20"/>
                        </w:rPr>
                        <w:t xml:space="preserve"> </w:t>
                      </w:r>
                      <w:r w:rsidRPr="006C74B6">
                        <w:rPr>
                          <w:rFonts w:ascii="Candara" w:hAnsi="Candara" w:cs="Times New Roman"/>
                          <w:sz w:val="16"/>
                          <w:szCs w:val="20"/>
                        </w:rPr>
                        <w:t xml:space="preserve">Moderna un </w:t>
                      </w:r>
                      <w:r w:rsidRPr="006C74B6">
                        <w:rPr>
                          <w:rFonts w:ascii="Candara" w:hAnsi="Candara" w:cs="Times New Roman"/>
                          <w:bCs/>
                          <w:sz w:val="16"/>
                          <w:szCs w:val="20"/>
                        </w:rPr>
                        <w:t>nākotnes</w:t>
                      </w:r>
                      <w:r w:rsidRPr="006C74B6">
                        <w:rPr>
                          <w:rFonts w:ascii="Candara" w:hAnsi="Candara" w:cs="Times New Roman"/>
                          <w:sz w:val="16"/>
                          <w:szCs w:val="20"/>
                        </w:rPr>
                        <w:t xml:space="preserve"> darba tirgus prasībām atbilstoša izglītības sistēma, kas </w:t>
                      </w:r>
                      <w:r w:rsidRPr="006C74B6">
                        <w:rPr>
                          <w:rFonts w:ascii="Candara" w:hAnsi="Candara" w:cs="Times New Roman"/>
                          <w:bCs/>
                          <w:sz w:val="16"/>
                          <w:szCs w:val="20"/>
                        </w:rPr>
                        <w:t>veicina tautsaimniecības transformāciju un VSS</w:t>
                      </w:r>
                      <w:r w:rsidRPr="006C74B6">
                        <w:rPr>
                          <w:rFonts w:ascii="Candara" w:hAnsi="Candara" w:cs="Times New Roman"/>
                          <w:sz w:val="16"/>
                          <w:szCs w:val="20"/>
                        </w:rPr>
                        <w:t xml:space="preserve"> prioritāšu īstenošanai nepieciešamo kompetenču, uzņēmējspējas </w:t>
                      </w:r>
                      <w:r w:rsidRPr="006C74B6">
                        <w:rPr>
                          <w:rFonts w:ascii="Candara" w:hAnsi="Candara" w:cs="Times New Roman"/>
                          <w:bCs/>
                          <w:sz w:val="16"/>
                          <w:szCs w:val="20"/>
                        </w:rPr>
                        <w:t>un radošuma</w:t>
                      </w:r>
                      <w:r w:rsidRPr="006C74B6">
                        <w:rPr>
                          <w:rFonts w:ascii="Candara" w:hAnsi="Candara" w:cs="Times New Roman"/>
                          <w:sz w:val="16"/>
                          <w:szCs w:val="20"/>
                        </w:rPr>
                        <w:t xml:space="preserve"> att</w:t>
                      </w:r>
                      <w:r>
                        <w:rPr>
                          <w:rFonts w:ascii="Candara" w:hAnsi="Candara" w:cs="Times New Roman"/>
                          <w:sz w:val="16"/>
                          <w:szCs w:val="20"/>
                        </w:rPr>
                        <w:t>īstību visos izglītības līmeņos.</w:t>
                      </w:r>
                    </w:p>
                  </w:txbxContent>
                </v:textbox>
              </v:shape>
            </w:pict>
          </mc:Fallback>
        </mc:AlternateContent>
      </w:r>
    </w:p>
    <w:p w:rsidR="00A400D3" w:rsidRPr="004A53FC" w14:paraId="178D7D22" w14:textId="77777777">
      <w:pPr>
        <w:rPr>
          <w:rFonts w:ascii="Candara" w:hAnsi="Candara"/>
        </w:rPr>
      </w:pPr>
      <w:r>
        <w:rPr>
          <w:rFonts w:ascii="Candara" w:eastAsia="SimSun" w:hAnsi="Candara" w:cs="Times New Roman"/>
          <w:i/>
          <w:iCs/>
          <w:noProof/>
          <w:sz w:val="8"/>
          <w:szCs w:val="8"/>
          <w:lang w:eastAsia="lv-LV"/>
        </w:rPr>
        <mc:AlternateContent>
          <mc:Choice Requires="wpg">
            <w:drawing>
              <wp:anchor distT="0" distB="0" distL="114300" distR="114300" simplePos="0" relativeHeight="251695104" behindDoc="0" locked="0" layoutInCell="1" allowOverlap="1">
                <wp:simplePos x="0" y="0"/>
                <wp:positionH relativeFrom="column">
                  <wp:posOffset>-337288</wp:posOffset>
                </wp:positionH>
                <wp:positionV relativeFrom="paragraph">
                  <wp:posOffset>1791784</wp:posOffset>
                </wp:positionV>
                <wp:extent cx="6684542" cy="1112874"/>
                <wp:effectExtent l="0" t="0" r="21590" b="0"/>
                <wp:wrapNone/>
                <wp:docPr id="65" name="Group 65"/>
                <wp:cNvGraphicFramePr/>
                <a:graphic xmlns:a="http://schemas.openxmlformats.org/drawingml/2006/main">
                  <a:graphicData uri="http://schemas.microsoft.com/office/word/2010/wordprocessingGroup">
                    <wpg:wgp xmlns:wpg="http://schemas.microsoft.com/office/word/2010/wordprocessingGroup">
                      <wpg:cNvGrpSpPr/>
                      <wpg:grpSpPr>
                        <a:xfrm>
                          <a:off x="0" y="0"/>
                          <a:ext cx="6684542" cy="1112874"/>
                          <a:chOff x="0" y="0"/>
                          <a:chExt cx="6684542" cy="1112874"/>
                        </a:xfrm>
                      </wpg:grpSpPr>
                      <wpg:grpSp>
                        <wpg:cNvPr id="57" name="Group 57"/>
                        <wpg:cNvGrpSpPr/>
                        <wpg:grpSpPr>
                          <a:xfrm>
                            <a:off x="1212112" y="0"/>
                            <a:ext cx="5472430" cy="1030605"/>
                            <a:chOff x="0" y="0"/>
                            <a:chExt cx="5472666" cy="657559"/>
                          </a:xfrm>
                        </wpg:grpSpPr>
                        <wps:wsp xmlns:wps="http://schemas.microsoft.com/office/word/2010/wordprocessingShape">
                          <wps:cNvPr id="2063" name="Text Box 2"/>
                          <wps:cNvSpPr txBox="1">
                            <a:spLocks noChangeArrowheads="1"/>
                          </wps:cNvSpPr>
                          <wps:spPr bwMode="auto">
                            <a:xfrm>
                              <a:off x="0" y="244460"/>
                              <a:ext cx="990600" cy="413099"/>
                            </a:xfrm>
                            <a:prstGeom prst="rect">
                              <a:avLst/>
                            </a:prstGeom>
                            <a:solidFill>
                              <a:schemeClr val="accent1">
                                <a:lumMod val="75000"/>
                              </a:schemeClr>
                            </a:solidFill>
                            <a:ln w="9525">
                              <a:solidFill>
                                <a:srgbClr val="000000"/>
                              </a:solidFill>
                              <a:miter lim="800000"/>
                              <a:headEnd/>
                              <a:tailEnd/>
                            </a:ln>
                          </wps:spPr>
                          <wps:txbx>
                            <w:txbxContent>
                              <w:p w:rsidR="00B55C40" w:rsidRPr="00AD1483" w:rsidP="00AD1483" w14:textId="77777777">
                                <w:pPr>
                                  <w:adjustRightInd w:val="0"/>
                                  <w:snapToGrid w:val="0"/>
                                  <w:spacing w:after="0" w:line="240" w:lineRule="auto"/>
                                  <w:jc w:val="center"/>
                                  <w:rPr>
                                    <w:rFonts w:ascii="Candara" w:hAnsi="Candara" w:cs="Times New Roman"/>
                                    <w:b/>
                                    <w:color w:val="FFFFFF" w:themeColor="background1"/>
                                    <w:sz w:val="18"/>
                                    <w:szCs w:val="20"/>
                                  </w:rPr>
                                </w:pPr>
                                <w:r>
                                  <w:rPr>
                                    <w:rFonts w:ascii="Candara" w:hAnsi="Candara" w:cs="Times New Roman"/>
                                    <w:b/>
                                    <w:color w:val="FFFFFF" w:themeColor="background1"/>
                                    <w:sz w:val="18"/>
                                    <w:szCs w:val="20"/>
                                  </w:rPr>
                                  <w:t>1. Zināšanu-ietilpīga bioe</w:t>
                                </w:r>
                                <w:r w:rsidRPr="00AD1483">
                                  <w:rPr>
                                    <w:rFonts w:ascii="Candara" w:hAnsi="Candara" w:cs="Times New Roman"/>
                                    <w:b/>
                                    <w:color w:val="FFFFFF" w:themeColor="background1"/>
                                    <w:sz w:val="18"/>
                                    <w:szCs w:val="20"/>
                                  </w:rPr>
                                  <w:t>konomika</w:t>
                                </w:r>
                              </w:p>
                              <w:p w:rsidR="00B55C40" w:rsidRPr="00AD1483" w:rsidP="008D3B9D" w14:textId="77777777">
                                <w:pPr>
                                  <w:adjustRightInd w:val="0"/>
                                  <w:snapToGrid w:val="0"/>
                                  <w:spacing w:after="0" w:line="240" w:lineRule="auto"/>
                                  <w:rPr>
                                    <w:rFonts w:ascii="Candara" w:hAnsi="Candara" w:cs="Times New Roman"/>
                                    <w:b/>
                                    <w:color w:val="FFFFFF" w:themeColor="background1"/>
                                    <w:sz w:val="18"/>
                                    <w:szCs w:val="20"/>
                                  </w:rPr>
                                </w:pPr>
                              </w:p>
                              <w:p w:rsidR="00B55C40" w:rsidRPr="00AD1483" w:rsidP="008D3B9D" w14:textId="77777777">
                                <w:pPr>
                                  <w:ind w:left="-142" w:right="-82"/>
                                  <w:jc w:val="center"/>
                                  <w:rPr>
                                    <w:color w:val="FFFFFF" w:themeColor="background1"/>
                                    <w:sz w:val="18"/>
                                    <w:szCs w:val="19"/>
                                  </w:rPr>
                                </w:pPr>
                              </w:p>
                            </w:txbxContent>
                          </wps:txbx>
                          <wps:bodyPr rot="0" vert="horz" wrap="square" anchor="t" anchorCtr="0"/>
                        </wps:wsp>
                        <wps:wsp xmlns:wps="http://schemas.microsoft.com/office/word/2010/wordprocessingShape">
                          <wps:cNvPr id="2064" name="Text Box 2"/>
                          <wps:cNvSpPr txBox="1">
                            <a:spLocks noChangeArrowheads="1"/>
                          </wps:cNvSpPr>
                          <wps:spPr bwMode="auto">
                            <a:xfrm>
                              <a:off x="1137684" y="0"/>
                              <a:ext cx="1000125" cy="657559"/>
                            </a:xfrm>
                            <a:prstGeom prst="rect">
                              <a:avLst/>
                            </a:prstGeom>
                            <a:solidFill>
                              <a:schemeClr val="accent1">
                                <a:lumMod val="75000"/>
                              </a:schemeClr>
                            </a:solidFill>
                            <a:ln w="9525">
                              <a:solidFill>
                                <a:srgbClr val="000000"/>
                              </a:solidFill>
                              <a:miter lim="800000"/>
                              <a:headEnd/>
                              <a:tailEnd/>
                            </a:ln>
                          </wps:spPr>
                          <wps:txbx>
                            <w:txbxContent>
                              <w:p w:rsidR="00B55C40" w:rsidRPr="00AD1483" w:rsidP="00AD1483" w14:textId="77777777">
                                <w:pPr>
                                  <w:adjustRightInd w:val="0"/>
                                  <w:snapToGrid w:val="0"/>
                                  <w:spacing w:after="0" w:line="240" w:lineRule="auto"/>
                                  <w:jc w:val="center"/>
                                  <w:rPr>
                                    <w:rFonts w:ascii="Candara" w:hAnsi="Candara" w:cs="Times New Roman"/>
                                    <w:b/>
                                    <w:color w:val="FFFFFF" w:themeColor="background1"/>
                                    <w:sz w:val="18"/>
                                    <w:szCs w:val="20"/>
                                  </w:rPr>
                                </w:pPr>
                                <w:r w:rsidRPr="00AD1483">
                                  <w:rPr>
                                    <w:rFonts w:ascii="Candara" w:hAnsi="Candara" w:cs="Times New Roman"/>
                                    <w:b/>
                                    <w:color w:val="FFFFFF" w:themeColor="background1"/>
                                    <w:sz w:val="18"/>
                                    <w:szCs w:val="20"/>
                                  </w:rPr>
                                  <w:t>2. Biomedicīna, medicīnas tehnoloģijas, biofarmācija un biotehnoloģijas</w:t>
                                </w:r>
                              </w:p>
                              <w:p w:rsidR="00B55C40" w:rsidRPr="00AD1483" w:rsidP="008D3B9D" w14:textId="77777777">
                                <w:pPr>
                                  <w:ind w:left="-142" w:right="-82"/>
                                  <w:jc w:val="center"/>
                                  <w:rPr>
                                    <w:color w:val="FFFFFF" w:themeColor="background1"/>
                                    <w:sz w:val="18"/>
                                    <w:szCs w:val="19"/>
                                  </w:rPr>
                                </w:pPr>
                              </w:p>
                            </w:txbxContent>
                          </wps:txbx>
                          <wps:bodyPr rot="0" vert="horz" wrap="square" anchor="t" anchorCtr="0"/>
                        </wps:wsp>
                        <wps:wsp xmlns:wps="http://schemas.microsoft.com/office/word/2010/wordprocessingShape">
                          <wps:cNvPr id="2065" name="Text Box 2"/>
                          <wps:cNvSpPr txBox="1">
                            <a:spLocks noChangeArrowheads="1"/>
                          </wps:cNvSpPr>
                          <wps:spPr bwMode="auto">
                            <a:xfrm>
                              <a:off x="2211572" y="244549"/>
                              <a:ext cx="1123950" cy="413009"/>
                            </a:xfrm>
                            <a:prstGeom prst="rect">
                              <a:avLst/>
                            </a:prstGeom>
                            <a:solidFill>
                              <a:schemeClr val="accent1">
                                <a:lumMod val="75000"/>
                              </a:schemeClr>
                            </a:solidFill>
                            <a:ln w="9525">
                              <a:solidFill>
                                <a:srgbClr val="000000"/>
                              </a:solidFill>
                              <a:miter lim="800000"/>
                              <a:headEnd/>
                              <a:tailEnd/>
                            </a:ln>
                          </wps:spPr>
                          <wps:txbx>
                            <w:txbxContent>
                              <w:p w:rsidR="00B55C40" w:rsidRPr="00AD1483" w:rsidP="00AD1483" w14:textId="77777777">
                                <w:pPr>
                                  <w:ind w:left="-142" w:right="-82"/>
                                  <w:jc w:val="center"/>
                                  <w:rPr>
                                    <w:color w:val="FFFFFF" w:themeColor="background1"/>
                                    <w:sz w:val="18"/>
                                    <w:szCs w:val="19"/>
                                  </w:rPr>
                                </w:pPr>
                                <w:r w:rsidRPr="00AD1483">
                                  <w:rPr>
                                    <w:rFonts w:ascii="Candara" w:hAnsi="Candara" w:cs="Times New Roman"/>
                                    <w:b/>
                                    <w:color w:val="FFFFFF" w:themeColor="background1"/>
                                    <w:sz w:val="18"/>
                                    <w:szCs w:val="20"/>
                                  </w:rPr>
                                  <w:t>3. Viedie materiāli,  tehnoloģijas un inženiersistēmas</w:t>
                                </w:r>
                              </w:p>
                            </w:txbxContent>
                          </wps:txbx>
                          <wps:bodyPr rot="0" vert="horz" wrap="square" anchor="t" anchorCtr="0"/>
                        </wps:wsp>
                        <wps:wsp xmlns:wps="http://schemas.microsoft.com/office/word/2010/wordprocessingShape">
                          <wps:cNvPr id="2066" name="Text Box 2"/>
                          <wps:cNvSpPr txBox="1">
                            <a:spLocks noChangeArrowheads="1"/>
                          </wps:cNvSpPr>
                          <wps:spPr bwMode="auto">
                            <a:xfrm>
                              <a:off x="3476847" y="244549"/>
                              <a:ext cx="781050" cy="413009"/>
                            </a:xfrm>
                            <a:prstGeom prst="rect">
                              <a:avLst/>
                            </a:prstGeom>
                            <a:solidFill>
                              <a:schemeClr val="accent1">
                                <a:lumMod val="75000"/>
                              </a:schemeClr>
                            </a:solidFill>
                            <a:ln w="9525">
                              <a:solidFill>
                                <a:srgbClr val="000000"/>
                              </a:solidFill>
                              <a:miter lim="800000"/>
                              <a:headEnd/>
                              <a:tailEnd/>
                            </a:ln>
                          </wps:spPr>
                          <wps:txbx>
                            <w:txbxContent>
                              <w:p w:rsidR="00B55C40" w:rsidRPr="00AD1483" w:rsidP="008D3B9D" w14:textId="77777777">
                                <w:pPr>
                                  <w:adjustRightInd w:val="0"/>
                                  <w:snapToGrid w:val="0"/>
                                  <w:spacing w:after="0" w:line="240" w:lineRule="auto"/>
                                  <w:rPr>
                                    <w:rFonts w:ascii="Candara" w:hAnsi="Candara" w:cs="Times New Roman"/>
                                    <w:b/>
                                    <w:color w:val="FFFFFF" w:themeColor="background1"/>
                                    <w:sz w:val="18"/>
                                    <w:szCs w:val="20"/>
                                  </w:rPr>
                                </w:pPr>
                                <w:r w:rsidRPr="00AD1483">
                                  <w:rPr>
                                    <w:rFonts w:ascii="Candara" w:hAnsi="Candara" w:cs="Times New Roman"/>
                                    <w:b/>
                                    <w:color w:val="FFFFFF" w:themeColor="background1"/>
                                    <w:sz w:val="18"/>
                                    <w:szCs w:val="20"/>
                                  </w:rPr>
                                  <w:t>4.Viedā enerģētika</w:t>
                                </w:r>
                              </w:p>
                              <w:p w:rsidR="00B55C40" w:rsidRPr="00AD1483" w:rsidP="00AD1483" w14:textId="77777777">
                                <w:pPr>
                                  <w:ind w:left="-142" w:right="-82"/>
                                  <w:jc w:val="center"/>
                                  <w:rPr>
                                    <w:color w:val="FFFFFF" w:themeColor="background1"/>
                                    <w:sz w:val="18"/>
                                    <w:szCs w:val="19"/>
                                  </w:rPr>
                                </w:pPr>
                              </w:p>
                            </w:txbxContent>
                          </wps:txbx>
                          <wps:bodyPr rot="0" vert="horz" wrap="square" anchor="t" anchorCtr="0"/>
                        </wps:wsp>
                        <wps:wsp xmlns:wps="http://schemas.microsoft.com/office/word/2010/wordprocessingShape">
                          <wps:cNvPr id="2067" name="Text Box 2"/>
                          <wps:cNvSpPr txBox="1">
                            <a:spLocks noChangeArrowheads="1"/>
                          </wps:cNvSpPr>
                          <wps:spPr bwMode="auto">
                            <a:xfrm>
                              <a:off x="4348716" y="244549"/>
                              <a:ext cx="1123950" cy="413010"/>
                            </a:xfrm>
                            <a:prstGeom prst="rect">
                              <a:avLst/>
                            </a:prstGeom>
                            <a:solidFill>
                              <a:schemeClr val="accent1">
                                <a:lumMod val="75000"/>
                              </a:schemeClr>
                            </a:solidFill>
                            <a:ln w="9525">
                              <a:solidFill>
                                <a:srgbClr val="000000"/>
                              </a:solidFill>
                              <a:miter lim="800000"/>
                              <a:headEnd/>
                              <a:tailEnd/>
                            </a:ln>
                          </wps:spPr>
                          <wps:txbx>
                            <w:txbxContent>
                              <w:p w:rsidR="00B55C40" w:rsidRPr="00AD1483" w:rsidP="00AD1483" w14:textId="77777777">
                                <w:pPr>
                                  <w:ind w:left="-142" w:right="-82"/>
                                  <w:jc w:val="center"/>
                                  <w:rPr>
                                    <w:color w:val="FFFFFF" w:themeColor="background1"/>
                                    <w:sz w:val="18"/>
                                    <w:szCs w:val="19"/>
                                  </w:rPr>
                                </w:pPr>
                                <w:r w:rsidRPr="00AD1483">
                                  <w:rPr>
                                    <w:rFonts w:ascii="Candara" w:hAnsi="Candara" w:cs="Times New Roman"/>
                                    <w:b/>
                                    <w:color w:val="FFFFFF" w:themeColor="background1"/>
                                    <w:sz w:val="18"/>
                                    <w:szCs w:val="20"/>
                                  </w:rPr>
                                  <w:t>5.Informācijas un komunikāciju tehnoloģijas</w:t>
                                </w:r>
                              </w:p>
                            </w:txbxContent>
                          </wps:txbx>
                          <wps:bodyPr rot="0" vert="horz" wrap="square" anchor="t" anchorCtr="0"/>
                        </wps:wsp>
                      </wpg:grpSp>
                      <wps:wsp xmlns:wps="http://schemas.microsoft.com/office/word/2010/wordprocessingShape">
                        <wps:cNvPr id="2068" name="Text Box 2"/>
                        <wps:cNvSpPr txBox="1">
                          <a:spLocks noChangeArrowheads="1"/>
                        </wps:cNvSpPr>
                        <wps:spPr bwMode="auto">
                          <a:xfrm>
                            <a:off x="0" y="350874"/>
                            <a:ext cx="1000125" cy="762000"/>
                          </a:xfrm>
                          <a:prstGeom prst="rect">
                            <a:avLst/>
                          </a:prstGeom>
                          <a:noFill/>
                          <a:ln w="9525">
                            <a:noFill/>
                            <a:miter lim="800000"/>
                            <a:headEnd/>
                            <a:tailEnd/>
                          </a:ln>
                        </wps:spPr>
                        <wps:txbx>
                          <w:txbxContent>
                            <w:p w:rsidR="00B55C40" w:rsidP="00346B1F" w14:textId="77777777">
                              <w:pPr>
                                <w:jc w:val="right"/>
                              </w:pPr>
                              <w:r>
                                <w:rPr>
                                  <w:rFonts w:ascii="Candara" w:eastAsia="SimSun" w:hAnsi="Candara" w:cs="Times New Roman"/>
                                  <w:b/>
                                  <w:sz w:val="20"/>
                                  <w:szCs w:val="20"/>
                                </w:rPr>
                                <w:t>Viedās specializācijas jomas</w:t>
                              </w:r>
                            </w:p>
                          </w:txbxContent>
                        </wps:txbx>
                        <wps:bodyPr rot="0" vert="horz" wrap="square" anchor="t" anchorCtr="0"/>
                      </wps:wsp>
                    </wpg:wgp>
                  </a:graphicData>
                </a:graphic>
              </wp:anchor>
            </w:drawing>
          </mc:Choice>
          <mc:Fallback>
            <w:pict>
              <v:group id="Group 65" o:spid="_x0000_s1093" style="width:526.35pt;height:87.65pt;margin-top:141.1pt;margin-left:-26.55pt;position:absolute;z-index:251696128" coordsize="66845,11128">
                <v:group id="Group 57" o:spid="_x0000_s1094" style="width:54724;height:10306;left:12121;position:absolute" coordsize="54726,6575">
                  <v:shape id="_x0000_s1095" type="#_x0000_t202" style="width:9906;height:4131;mso-wrap-style:square;position:absolute;top:2444;visibility:visible;v-text-anchor:top" fillcolor="#6d1d6a">
                    <v:textbox>
                      <w:txbxContent>
                        <w:p w:rsidR="00B55C40" w:rsidRPr="00AD1483" w:rsidP="00AD1483" w14:paraId="6DB5528D" w14:textId="77777777">
                          <w:pPr>
                            <w:adjustRightInd w:val="0"/>
                            <w:snapToGrid w:val="0"/>
                            <w:spacing w:after="0" w:line="240" w:lineRule="auto"/>
                            <w:jc w:val="center"/>
                            <w:rPr>
                              <w:rFonts w:ascii="Candara" w:hAnsi="Candara" w:cs="Times New Roman"/>
                              <w:b/>
                              <w:color w:val="FFFFFF" w:themeColor="background1"/>
                              <w:sz w:val="18"/>
                              <w:szCs w:val="20"/>
                            </w:rPr>
                          </w:pPr>
                          <w:r>
                            <w:rPr>
                              <w:rFonts w:ascii="Candara" w:hAnsi="Candara" w:cs="Times New Roman"/>
                              <w:b/>
                              <w:color w:val="FFFFFF" w:themeColor="background1"/>
                              <w:sz w:val="18"/>
                              <w:szCs w:val="20"/>
                            </w:rPr>
                            <w:t>1. Zināšanu-ietilpīga bioe</w:t>
                          </w:r>
                          <w:r w:rsidRPr="00AD1483">
                            <w:rPr>
                              <w:rFonts w:ascii="Candara" w:hAnsi="Candara" w:cs="Times New Roman"/>
                              <w:b/>
                              <w:color w:val="FFFFFF" w:themeColor="background1"/>
                              <w:sz w:val="18"/>
                              <w:szCs w:val="20"/>
                            </w:rPr>
                            <w:t>konomika</w:t>
                          </w:r>
                        </w:p>
                        <w:p w:rsidR="00B55C40" w:rsidRPr="00AD1483" w:rsidP="008D3B9D" w14:paraId="602CEB20" w14:textId="77777777">
                          <w:pPr>
                            <w:adjustRightInd w:val="0"/>
                            <w:snapToGrid w:val="0"/>
                            <w:spacing w:after="0" w:line="240" w:lineRule="auto"/>
                            <w:rPr>
                              <w:rFonts w:ascii="Candara" w:hAnsi="Candara" w:cs="Times New Roman"/>
                              <w:b/>
                              <w:color w:val="FFFFFF" w:themeColor="background1"/>
                              <w:sz w:val="18"/>
                              <w:szCs w:val="20"/>
                            </w:rPr>
                          </w:pPr>
                        </w:p>
                        <w:p w:rsidR="00B55C40" w:rsidRPr="00AD1483" w:rsidP="008D3B9D" w14:paraId="364506DD" w14:textId="77777777">
                          <w:pPr>
                            <w:ind w:left="-142" w:right="-82"/>
                            <w:jc w:val="center"/>
                            <w:rPr>
                              <w:color w:val="FFFFFF" w:themeColor="background1"/>
                              <w:sz w:val="18"/>
                              <w:szCs w:val="19"/>
                            </w:rPr>
                          </w:pPr>
                        </w:p>
                      </w:txbxContent>
                    </v:textbox>
                  </v:shape>
                  <v:shape id="_x0000_s1096" type="#_x0000_t202" style="width:10002;height:6575;left:11376;mso-wrap-style:square;position:absolute;visibility:visible;v-text-anchor:top" fillcolor="#6d1d6a">
                    <v:textbox>
                      <w:txbxContent>
                        <w:p w:rsidR="00B55C40" w:rsidRPr="00AD1483" w:rsidP="00AD1483" w14:paraId="56E725CF" w14:textId="77777777">
                          <w:pPr>
                            <w:adjustRightInd w:val="0"/>
                            <w:snapToGrid w:val="0"/>
                            <w:spacing w:after="0" w:line="240" w:lineRule="auto"/>
                            <w:jc w:val="center"/>
                            <w:rPr>
                              <w:rFonts w:ascii="Candara" w:hAnsi="Candara" w:cs="Times New Roman"/>
                              <w:b/>
                              <w:color w:val="FFFFFF" w:themeColor="background1"/>
                              <w:sz w:val="18"/>
                              <w:szCs w:val="20"/>
                            </w:rPr>
                          </w:pPr>
                          <w:r w:rsidRPr="00AD1483">
                            <w:rPr>
                              <w:rFonts w:ascii="Candara" w:hAnsi="Candara" w:cs="Times New Roman"/>
                              <w:b/>
                              <w:color w:val="FFFFFF" w:themeColor="background1"/>
                              <w:sz w:val="18"/>
                              <w:szCs w:val="20"/>
                            </w:rPr>
                            <w:t>2. Biomedicīna, medicīnas tehnoloģijas, biofarmācija un biotehnoloģijas</w:t>
                          </w:r>
                        </w:p>
                        <w:p w:rsidR="00B55C40" w:rsidRPr="00AD1483" w:rsidP="008D3B9D" w14:paraId="7CA25069" w14:textId="77777777">
                          <w:pPr>
                            <w:ind w:left="-142" w:right="-82"/>
                            <w:jc w:val="center"/>
                            <w:rPr>
                              <w:color w:val="FFFFFF" w:themeColor="background1"/>
                              <w:sz w:val="18"/>
                              <w:szCs w:val="19"/>
                            </w:rPr>
                          </w:pPr>
                        </w:p>
                      </w:txbxContent>
                    </v:textbox>
                  </v:shape>
                  <v:shape id="_x0000_s1097" type="#_x0000_t202" style="width:11240;height:4130;left:22115;mso-wrap-style:square;position:absolute;top:2445;visibility:visible;v-text-anchor:top" fillcolor="#6d1d6a">
                    <v:textbox>
                      <w:txbxContent>
                        <w:p w:rsidR="00B55C40" w:rsidRPr="00AD1483" w:rsidP="00AD1483" w14:paraId="1732D842" w14:textId="77777777">
                          <w:pPr>
                            <w:ind w:left="-142" w:right="-82"/>
                            <w:jc w:val="center"/>
                            <w:rPr>
                              <w:color w:val="FFFFFF" w:themeColor="background1"/>
                              <w:sz w:val="18"/>
                              <w:szCs w:val="19"/>
                            </w:rPr>
                          </w:pPr>
                          <w:r w:rsidRPr="00AD1483">
                            <w:rPr>
                              <w:rFonts w:ascii="Candara" w:hAnsi="Candara" w:cs="Times New Roman"/>
                              <w:b/>
                              <w:color w:val="FFFFFF" w:themeColor="background1"/>
                              <w:sz w:val="18"/>
                              <w:szCs w:val="20"/>
                            </w:rPr>
                            <w:t>3. Viedie materiāli,  tehnoloģijas un inženiersistēmas</w:t>
                          </w:r>
                        </w:p>
                      </w:txbxContent>
                    </v:textbox>
                  </v:shape>
                  <v:shape id="_x0000_s1098" type="#_x0000_t202" style="width:7810;height:4130;left:34768;mso-wrap-style:square;position:absolute;top:2445;visibility:visible;v-text-anchor:top" fillcolor="#6d1d6a">
                    <v:textbox>
                      <w:txbxContent>
                        <w:p w:rsidR="00B55C40" w:rsidRPr="00AD1483" w:rsidP="008D3B9D" w14:paraId="34B92B78" w14:textId="77777777">
                          <w:pPr>
                            <w:adjustRightInd w:val="0"/>
                            <w:snapToGrid w:val="0"/>
                            <w:spacing w:after="0" w:line="240" w:lineRule="auto"/>
                            <w:rPr>
                              <w:rFonts w:ascii="Candara" w:hAnsi="Candara" w:cs="Times New Roman"/>
                              <w:b/>
                              <w:color w:val="FFFFFF" w:themeColor="background1"/>
                              <w:sz w:val="18"/>
                              <w:szCs w:val="20"/>
                            </w:rPr>
                          </w:pPr>
                          <w:r w:rsidRPr="00AD1483">
                            <w:rPr>
                              <w:rFonts w:ascii="Candara" w:hAnsi="Candara" w:cs="Times New Roman"/>
                              <w:b/>
                              <w:color w:val="FFFFFF" w:themeColor="background1"/>
                              <w:sz w:val="18"/>
                              <w:szCs w:val="20"/>
                            </w:rPr>
                            <w:t>4.Viedā enerģētika</w:t>
                          </w:r>
                        </w:p>
                        <w:p w:rsidR="00B55C40" w:rsidRPr="00AD1483" w:rsidP="00AD1483" w14:paraId="3EC56EE3" w14:textId="77777777">
                          <w:pPr>
                            <w:ind w:left="-142" w:right="-82"/>
                            <w:jc w:val="center"/>
                            <w:rPr>
                              <w:color w:val="FFFFFF" w:themeColor="background1"/>
                              <w:sz w:val="18"/>
                              <w:szCs w:val="19"/>
                            </w:rPr>
                          </w:pPr>
                        </w:p>
                      </w:txbxContent>
                    </v:textbox>
                  </v:shape>
                  <v:shape id="_x0000_s1099" type="#_x0000_t202" style="width:11239;height:4130;left:43487;mso-wrap-style:square;position:absolute;top:2445;visibility:visible;v-text-anchor:top" fillcolor="#6d1d6a">
                    <v:textbox>
                      <w:txbxContent>
                        <w:p w:rsidR="00B55C40" w:rsidRPr="00AD1483" w:rsidP="00AD1483" w14:paraId="0F494F1F" w14:textId="77777777">
                          <w:pPr>
                            <w:ind w:left="-142" w:right="-82"/>
                            <w:jc w:val="center"/>
                            <w:rPr>
                              <w:color w:val="FFFFFF" w:themeColor="background1"/>
                              <w:sz w:val="18"/>
                              <w:szCs w:val="19"/>
                            </w:rPr>
                          </w:pPr>
                          <w:r w:rsidRPr="00AD1483">
                            <w:rPr>
                              <w:rFonts w:ascii="Candara" w:hAnsi="Candara" w:cs="Times New Roman"/>
                              <w:b/>
                              <w:color w:val="FFFFFF" w:themeColor="background1"/>
                              <w:sz w:val="18"/>
                              <w:szCs w:val="20"/>
                            </w:rPr>
                            <w:t>5.Informācijas un komunikāciju tehnoloģijas</w:t>
                          </w:r>
                        </w:p>
                      </w:txbxContent>
                    </v:textbox>
                  </v:shape>
                </v:group>
                <v:shape id="_x0000_s1100" type="#_x0000_t202" style="width:10001;height:7620;mso-wrap-style:square;position:absolute;top:3508;visibility:visible;v-text-anchor:top" filled="f" stroked="f">
                  <v:textbox>
                    <w:txbxContent>
                      <w:p w:rsidR="00B55C40" w:rsidP="00346B1F" w14:paraId="1442C504" w14:textId="77777777">
                        <w:pPr>
                          <w:jc w:val="right"/>
                        </w:pPr>
                        <w:r>
                          <w:rPr>
                            <w:rFonts w:ascii="Candara" w:eastAsia="SimSun" w:hAnsi="Candara" w:cs="Times New Roman"/>
                            <w:b/>
                            <w:sz w:val="20"/>
                            <w:szCs w:val="20"/>
                          </w:rPr>
                          <w:t>Viedās specializācijas jomas</w:t>
                        </w:r>
                      </w:p>
                    </w:txbxContent>
                  </v:textbox>
                </v:shape>
              </v:group>
            </w:pict>
          </mc:Fallback>
        </mc:AlternateContent>
      </w:r>
      <w:r w:rsidRPr="008D3B9D" w:rsidR="00BF2970">
        <w:rPr>
          <w:rFonts w:ascii="Candara" w:eastAsia="SimSun" w:hAnsi="Candara" w:cs="Times New Roman"/>
          <w:i/>
          <w:iCs/>
          <w:noProof/>
          <w:sz w:val="8"/>
          <w:szCs w:val="8"/>
          <w:lang w:eastAsia="lv-LV"/>
        </w:rPr>
        <mc:AlternateContent>
          <mc:Choice Requires="wps">
            <w:drawing>
              <wp:anchor distT="45720" distB="45720" distL="114300" distR="114300" simplePos="0" relativeHeight="251693056" behindDoc="0" locked="0" layoutInCell="1" allowOverlap="1">
                <wp:simplePos x="0" y="0"/>
                <wp:positionH relativeFrom="column">
                  <wp:posOffset>548640</wp:posOffset>
                </wp:positionH>
                <wp:positionV relativeFrom="paragraph">
                  <wp:posOffset>1036955</wp:posOffset>
                </wp:positionV>
                <wp:extent cx="5410200" cy="361950"/>
                <wp:effectExtent l="0" t="0" r="19050" b="19050"/>
                <wp:wrapNone/>
                <wp:docPr id="206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10200" cy="361950"/>
                        </a:xfrm>
                        <a:prstGeom prst="rect">
                          <a:avLst/>
                        </a:prstGeom>
                        <a:solidFill>
                          <a:schemeClr val="accent2">
                            <a:lumMod val="60000"/>
                            <a:lumOff val="40000"/>
                          </a:schemeClr>
                        </a:solidFill>
                        <a:ln w="9525">
                          <a:solidFill>
                            <a:srgbClr val="000000"/>
                          </a:solidFill>
                          <a:miter lim="800000"/>
                          <a:headEnd/>
                          <a:tailEnd/>
                        </a:ln>
                      </wps:spPr>
                      <wps:txbx>
                        <w:txbxContent>
                          <w:p w:rsidR="00B55C40" w:rsidRPr="008D3B9D" w:rsidP="008D3B9D" w14:textId="77777777">
                            <w:pPr>
                              <w:adjustRightInd w:val="0"/>
                              <w:snapToGrid w:val="0"/>
                              <w:spacing w:after="0" w:line="240" w:lineRule="auto"/>
                              <w:rPr>
                                <w:sz w:val="14"/>
                              </w:rPr>
                            </w:pPr>
                            <w:r w:rsidRPr="008D3B9D">
                              <w:rPr>
                                <w:rFonts w:ascii="Candara" w:hAnsi="Candara" w:cs="Times New Roman"/>
                                <w:b/>
                                <w:i/>
                                <w:sz w:val="16"/>
                                <w:szCs w:val="20"/>
                                <w:u w:val="single"/>
                              </w:rPr>
                              <w:t xml:space="preserve">7.prioritāte: </w:t>
                            </w:r>
                            <w:r w:rsidRPr="008D3B9D">
                              <w:rPr>
                                <w:rFonts w:ascii="Candara" w:hAnsi="Candara" w:cs="Times New Roman"/>
                                <w:sz w:val="16"/>
                                <w:szCs w:val="20"/>
                              </w:rPr>
                              <w:t>Teritoriju esošo resursu apzināšana un specializācija, izvirzot perspektīvās ekonomiskās attīstības iespējas un virzienus, t.sk. vadošos un perspektīvos uzņēmējdarbības virzienus pašvaldības teritorijās.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01" type="#_x0000_t202" style="width:426pt;height:28.5pt;margin-top:81.65pt;margin-left:43.2pt;mso-height-percent:0;mso-height-relative:margin;mso-width-percent:0;mso-width-relative:margin;mso-wrap-distance-bottom:3.6pt;mso-wrap-distance-left:9pt;mso-wrap-distance-right:9pt;mso-wrap-distance-top:3.6pt;mso-wrap-style:square;position:absolute;visibility:visible;v-text-anchor:top;z-index:251694080" fillcolor="#c29ae4">
                <v:textbox>
                  <w:txbxContent>
                    <w:p w:rsidR="00B55C40" w:rsidRPr="008D3B9D" w:rsidP="008D3B9D" w14:paraId="19610BA9" w14:textId="77777777">
                      <w:pPr>
                        <w:adjustRightInd w:val="0"/>
                        <w:snapToGrid w:val="0"/>
                        <w:spacing w:after="0" w:line="240" w:lineRule="auto"/>
                        <w:rPr>
                          <w:sz w:val="14"/>
                        </w:rPr>
                      </w:pPr>
                      <w:r w:rsidRPr="008D3B9D">
                        <w:rPr>
                          <w:rFonts w:ascii="Candara" w:hAnsi="Candara" w:cs="Times New Roman"/>
                          <w:b/>
                          <w:i/>
                          <w:sz w:val="16"/>
                          <w:szCs w:val="20"/>
                          <w:u w:val="single"/>
                        </w:rPr>
                        <w:t xml:space="preserve">7.prioritāte: </w:t>
                      </w:r>
                      <w:r w:rsidRPr="008D3B9D">
                        <w:rPr>
                          <w:rFonts w:ascii="Candara" w:hAnsi="Candara" w:cs="Times New Roman"/>
                          <w:sz w:val="16"/>
                          <w:szCs w:val="20"/>
                        </w:rPr>
                        <w:t>Teritoriju esošo resursu apzināšana un specializācija, izvirzot perspektīvās ekonomiskās attīstības iespējas un virzienus, t.sk. vadošos un perspektīvos uzņēmējdarbības virzienus pašvaldības teritorijās.</w:t>
                      </w:r>
                    </w:p>
                  </w:txbxContent>
                </v:textbox>
              </v:shape>
            </w:pict>
          </mc:Fallback>
        </mc:AlternateContent>
      </w:r>
      <w:r w:rsidRPr="008D3B9D" w:rsidR="00BF2970">
        <w:rPr>
          <w:rFonts w:ascii="Candara" w:eastAsia="SimSun" w:hAnsi="Candara" w:cs="Times New Roman"/>
          <w:i/>
          <w:iCs/>
          <w:noProof/>
          <w:sz w:val="8"/>
          <w:szCs w:val="8"/>
          <w:lang w:eastAsia="lv-LV"/>
        </w:rPr>
        <mc:AlternateContent>
          <mc:Choice Requires="wps">
            <w:drawing>
              <wp:anchor distT="45720" distB="45720" distL="114300" distR="114300" simplePos="0" relativeHeight="251691008" behindDoc="0" locked="0" layoutInCell="1" allowOverlap="1">
                <wp:simplePos x="0" y="0"/>
                <wp:positionH relativeFrom="column">
                  <wp:posOffset>548640</wp:posOffset>
                </wp:positionH>
                <wp:positionV relativeFrom="paragraph">
                  <wp:posOffset>303530</wp:posOffset>
                </wp:positionV>
                <wp:extent cx="5410200" cy="695325"/>
                <wp:effectExtent l="0" t="0" r="19050" b="28575"/>
                <wp:wrapNone/>
                <wp:docPr id="20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10200" cy="695325"/>
                        </a:xfrm>
                        <a:prstGeom prst="rect">
                          <a:avLst/>
                        </a:prstGeom>
                        <a:solidFill>
                          <a:schemeClr val="accent2">
                            <a:lumMod val="60000"/>
                            <a:lumOff val="40000"/>
                          </a:schemeClr>
                        </a:solidFill>
                        <a:ln w="9525">
                          <a:solidFill>
                            <a:srgbClr val="000000"/>
                          </a:solidFill>
                          <a:miter lim="800000"/>
                          <a:headEnd/>
                          <a:tailEnd/>
                        </a:ln>
                      </wps:spPr>
                      <wps:txbx>
                        <w:txbxContent>
                          <w:p w:rsidR="00B55C40" w:rsidRPr="008D3B9D" w:rsidP="008D3B9D" w14:textId="77777777">
                            <w:pPr>
                              <w:adjustRightInd w:val="0"/>
                              <w:snapToGrid w:val="0"/>
                              <w:spacing w:after="0" w:line="240" w:lineRule="auto"/>
                              <w:rPr>
                                <w:sz w:val="16"/>
                              </w:rPr>
                            </w:pPr>
                            <w:r w:rsidRPr="008D3B9D">
                              <w:rPr>
                                <w:rFonts w:ascii="Candara" w:hAnsi="Candara" w:cs="Times New Roman"/>
                                <w:b/>
                                <w:i/>
                                <w:sz w:val="16"/>
                                <w:szCs w:val="20"/>
                                <w:u w:val="single"/>
                              </w:rPr>
                              <w:t xml:space="preserve">6.prioritāte: </w:t>
                            </w:r>
                            <w:r w:rsidRPr="008D3B9D">
                              <w:rPr>
                                <w:rFonts w:ascii="Candara" w:hAnsi="Candara" w:cs="Times New Roman"/>
                                <w:sz w:val="16"/>
                                <w:szCs w:val="20"/>
                              </w:rPr>
                              <w:t xml:space="preserve">Attīstīta zināšanu bāze un cilvēkkapitāls zināšanu jomās, kurās Latvijai ir salīdzinošās priekšrocības un kas ir nozīmīgas tautsaimniecības transformācijas procesā: zināšanu jomās, kas saistītas ar zināšanu-ietilpīgas bioekonomikas, </w:t>
                            </w:r>
                            <w:r w:rsidRPr="008D3B9D">
                              <w:rPr>
                                <w:rFonts w:ascii="Candara" w:hAnsi="Candara" w:cs="Times New Roman"/>
                                <w:bCs/>
                                <w:sz w:val="16"/>
                                <w:szCs w:val="20"/>
                              </w:rPr>
                              <w:t>b</w:t>
                            </w:r>
                            <w:r w:rsidRPr="008D3B9D">
                              <w:rPr>
                                <w:rFonts w:ascii="Candara" w:hAnsi="Candara" w:cs="Times New Roman"/>
                                <w:sz w:val="16"/>
                                <w:szCs w:val="20"/>
                              </w:rPr>
                              <w:t xml:space="preserve">iomedicīnas, medicīnas tehnoloģiju, biofarmācijas un biotehnoloģiju, </w:t>
                            </w:r>
                            <w:r w:rsidRPr="008D3B9D">
                              <w:rPr>
                                <w:rFonts w:ascii="Candara" w:hAnsi="Candara" w:cs="Times New Roman"/>
                                <w:bCs/>
                                <w:sz w:val="16"/>
                                <w:szCs w:val="20"/>
                              </w:rPr>
                              <w:t>viedo materiālu,  tehnoloģiju un inženiersistēmu,</w:t>
                            </w:r>
                            <w:r w:rsidRPr="008D3B9D">
                              <w:rPr>
                                <w:rFonts w:ascii="Candara" w:hAnsi="Candara" w:cs="Times New Roman"/>
                                <w:sz w:val="16"/>
                                <w:szCs w:val="20"/>
                              </w:rPr>
                              <w:t xml:space="preserve"> viedās enerģētikas un IKT nozaru attīstības vajadzībām un EK identificētajās atslēgtehnoloģiju (nanotehnoloģijas, mikro un nano-elektronika, fotonika, advancētie materiāli un ražošanas sistēmas, biotehnoloģijas) jomās.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02" type="#_x0000_t202" style="width:426pt;height:54.75pt;margin-top:23.9pt;margin-left:43.2pt;mso-height-percent:0;mso-height-relative:margin;mso-width-percent:0;mso-width-relative:margin;mso-wrap-distance-bottom:3.6pt;mso-wrap-distance-left:9pt;mso-wrap-distance-right:9pt;mso-wrap-distance-top:3.6pt;mso-wrap-style:square;position:absolute;visibility:visible;v-text-anchor:top;z-index:251692032" fillcolor="#c29ae4">
                <v:textbox>
                  <w:txbxContent>
                    <w:p w:rsidR="00B55C40" w:rsidRPr="008D3B9D" w:rsidP="008D3B9D" w14:paraId="63333931" w14:textId="77777777">
                      <w:pPr>
                        <w:adjustRightInd w:val="0"/>
                        <w:snapToGrid w:val="0"/>
                        <w:spacing w:after="0" w:line="240" w:lineRule="auto"/>
                        <w:rPr>
                          <w:sz w:val="16"/>
                        </w:rPr>
                      </w:pPr>
                      <w:r w:rsidRPr="008D3B9D">
                        <w:rPr>
                          <w:rFonts w:ascii="Candara" w:hAnsi="Candara" w:cs="Times New Roman"/>
                          <w:b/>
                          <w:i/>
                          <w:sz w:val="16"/>
                          <w:szCs w:val="20"/>
                          <w:u w:val="single"/>
                        </w:rPr>
                        <w:t xml:space="preserve">6.prioritāte: </w:t>
                      </w:r>
                      <w:r w:rsidRPr="008D3B9D">
                        <w:rPr>
                          <w:rFonts w:ascii="Candara" w:hAnsi="Candara" w:cs="Times New Roman"/>
                          <w:sz w:val="16"/>
                          <w:szCs w:val="20"/>
                        </w:rPr>
                        <w:t xml:space="preserve">Attīstīta zināšanu bāze un cilvēkkapitāls zināšanu jomās, kurās Latvijai ir salīdzinošās priekšrocības un kas ir nozīmīgas tautsaimniecības transformācijas procesā: zināšanu jomās, kas saistītas ar zināšanu-ietilpīgas bioekonomikas, </w:t>
                      </w:r>
                      <w:r w:rsidRPr="008D3B9D">
                        <w:rPr>
                          <w:rFonts w:ascii="Candara" w:hAnsi="Candara" w:cs="Times New Roman"/>
                          <w:bCs/>
                          <w:sz w:val="16"/>
                          <w:szCs w:val="20"/>
                        </w:rPr>
                        <w:t>b</w:t>
                      </w:r>
                      <w:r w:rsidRPr="008D3B9D">
                        <w:rPr>
                          <w:rFonts w:ascii="Candara" w:hAnsi="Candara" w:cs="Times New Roman"/>
                          <w:sz w:val="16"/>
                          <w:szCs w:val="20"/>
                        </w:rPr>
                        <w:t xml:space="preserve">iomedicīnas, medicīnas tehnoloģiju, biofarmācijas un biotehnoloģiju, </w:t>
                      </w:r>
                      <w:r w:rsidRPr="008D3B9D">
                        <w:rPr>
                          <w:rFonts w:ascii="Candara" w:hAnsi="Candara" w:cs="Times New Roman"/>
                          <w:bCs/>
                          <w:sz w:val="16"/>
                          <w:szCs w:val="20"/>
                        </w:rPr>
                        <w:t>viedo materiālu,  tehnoloģiju un inženiersistēmu,</w:t>
                      </w:r>
                      <w:r w:rsidRPr="008D3B9D">
                        <w:rPr>
                          <w:rFonts w:ascii="Candara" w:hAnsi="Candara" w:cs="Times New Roman"/>
                          <w:sz w:val="16"/>
                          <w:szCs w:val="20"/>
                        </w:rPr>
                        <w:t xml:space="preserve"> viedās enerģētikas un IKT nozaru attīstības vajadzībām un EK identificētajās atslēgtehnoloģiju (nanotehnoloģijas, mikro un nano-elektronika, fotonika, advancētie materiāli un ražošanas sistēmas, biotehnoloģijas) jomās.</w:t>
                      </w:r>
                    </w:p>
                  </w:txbxContent>
                </v:textbox>
              </v:shape>
            </w:pict>
          </mc:Fallback>
        </mc:AlternateContent>
      </w:r>
      <w:r w:rsidRPr="004A53FC" w:rsidR="00A400D3">
        <w:rPr>
          <w:rFonts w:ascii="Candara" w:hAnsi="Candara"/>
        </w:rPr>
        <w:br w:type="page"/>
      </w:r>
    </w:p>
    <w:p w:rsidR="00AD1483" w:rsidRPr="008A2A10" w:rsidP="00AD1483" w14:paraId="2A063AC0" w14:textId="77777777">
      <w:pPr>
        <w:pStyle w:val="Heading1"/>
        <w:shd w:val="clear" w:color="auto" w:fill="6D1D6A" w:themeFill="accent1" w:themeFillShade="BF"/>
        <w:rPr>
          <w:rFonts w:ascii="Candara" w:eastAsia="Times New Roman" w:hAnsi="Candara"/>
          <w:b/>
          <w:color w:val="FFFFFF" w:themeColor="background1"/>
          <w:lang w:eastAsia="lv-LV"/>
        </w:rPr>
      </w:pPr>
      <w:bookmarkStart w:id="16" w:name="_Toc484445189"/>
      <w:bookmarkStart w:id="17" w:name="_Toc256000005"/>
      <w:bookmarkStart w:id="18" w:name="_Toc256000021"/>
      <w:r>
        <w:rPr>
          <w:rFonts w:ascii="Candara" w:eastAsia="Times New Roman" w:hAnsi="Candara"/>
          <w:b/>
          <w:color w:val="FFFFFF" w:themeColor="background1"/>
          <w:lang w:eastAsia="lv-LV"/>
        </w:rPr>
        <w:t xml:space="preserve">3. </w:t>
      </w:r>
      <w:r w:rsidRPr="008A2A10">
        <w:rPr>
          <w:rFonts w:ascii="Candara" w:eastAsia="Times New Roman" w:hAnsi="Candara"/>
          <w:b/>
          <w:color w:val="FFFFFF" w:themeColor="background1"/>
          <w:lang w:eastAsia="lv-LV"/>
        </w:rPr>
        <w:t>VIEDĀS SPECIALIZĀCIJAS JOMU SASAISTE AR TAUTSAIMNIECĪBAS UN ZINĀTNES NOZARĒM</w:t>
      </w:r>
      <w:bookmarkEnd w:id="18"/>
      <w:bookmarkEnd w:id="17"/>
      <w:bookmarkEnd w:id="16"/>
    </w:p>
    <w:p w:rsidR="00AD1483" w:rsidRPr="000B395A" w:rsidP="00AD1483" w14:paraId="4C089078" w14:textId="77777777">
      <w:pPr>
        <w:spacing w:after="120" w:line="240" w:lineRule="auto"/>
        <w:ind w:firstLine="340"/>
        <w:jc w:val="both"/>
        <w:rPr>
          <w:rFonts w:ascii="Candara" w:eastAsia="SimSun" w:hAnsi="Candara" w:cs="Times New Roman"/>
          <w:sz w:val="2"/>
          <w:szCs w:val="8"/>
          <w:lang w:eastAsia="zh-CN" w:bidi="lo-LA"/>
        </w:rPr>
      </w:pPr>
    </w:p>
    <w:p w:rsidR="00AD1483" w:rsidRPr="00A2199B" w:rsidP="00214364" w14:paraId="7F9B38B0" w14:textId="77777777">
      <w:pPr>
        <w:spacing w:before="120" w:after="0" w:line="240" w:lineRule="auto"/>
        <w:ind w:firstLine="426"/>
        <w:jc w:val="both"/>
        <w:rPr>
          <w:rFonts w:ascii="Candara" w:hAnsi="Candara" w:cs="Geneva"/>
          <w:strike/>
          <w:color w:val="000000"/>
          <w:highlight w:val="yellow"/>
        </w:rPr>
      </w:pPr>
      <w:r w:rsidRPr="00A2199B">
        <w:rPr>
          <w:rFonts w:ascii="Candara" w:eastAsia="SimSun" w:hAnsi="Candara"/>
          <w:lang w:eastAsia="zh-CN" w:bidi="lo-LA"/>
        </w:rPr>
        <w:t xml:space="preserve">Praktiski </w:t>
      </w:r>
      <w:r>
        <w:rPr>
          <w:rFonts w:ascii="Candara" w:eastAsia="SimSun" w:hAnsi="Candara"/>
          <w:lang w:eastAsia="zh-CN" w:bidi="lo-LA"/>
        </w:rPr>
        <w:t xml:space="preserve">visas </w:t>
      </w:r>
      <w:r w:rsidRPr="00A2199B">
        <w:rPr>
          <w:rFonts w:ascii="Candara" w:eastAsia="SimSun" w:hAnsi="Candara"/>
          <w:lang w:eastAsia="zh-CN" w:bidi="lo-LA"/>
        </w:rPr>
        <w:t>tautsaimniecības nozare</w:t>
      </w:r>
      <w:r>
        <w:rPr>
          <w:rFonts w:ascii="Candara" w:eastAsia="SimSun" w:hAnsi="Candara"/>
          <w:lang w:eastAsia="zh-CN" w:bidi="lo-LA"/>
        </w:rPr>
        <w:t>s</w:t>
      </w:r>
      <w:r w:rsidRPr="00A2199B">
        <w:rPr>
          <w:rFonts w:ascii="Candara" w:eastAsia="SimSun" w:hAnsi="Candara"/>
          <w:lang w:eastAsia="zh-CN" w:bidi="lo-LA"/>
        </w:rPr>
        <w:t xml:space="preserve"> potenciāli var izmantot kādā </w:t>
      </w:r>
      <w:r w:rsidRPr="00636EF4">
        <w:rPr>
          <w:rFonts w:ascii="Candara" w:eastAsia="SimSun" w:hAnsi="Candara"/>
          <w:lang w:eastAsia="zh-CN" w:bidi="lo-LA"/>
        </w:rPr>
        <w:t xml:space="preserve">no RIS3 specializācijas jomām dažādu zinātņu nozaru </w:t>
      </w:r>
      <w:r w:rsidRPr="00636EF4">
        <w:rPr>
          <w:rFonts w:ascii="Candara" w:eastAsia="SimSun" w:hAnsi="Candara" w:cs="Times New Roman"/>
          <w:lang w:eastAsia="zh-CN" w:bidi="lo-LA"/>
        </w:rPr>
        <w:t>radītās zināšanas.</w:t>
      </w:r>
      <w:r w:rsidRPr="00636EF4">
        <w:rPr>
          <w:rFonts w:ascii="Candara" w:hAnsi="Candara" w:cs="Times New Roman"/>
        </w:rPr>
        <w:t xml:space="preserve"> </w:t>
      </w:r>
      <w:r w:rsidRPr="00636EF4" w:rsidR="002F77F7">
        <w:rPr>
          <w:rFonts w:ascii="Candara" w:hAnsi="Candara" w:cs="Times New Roman"/>
        </w:rPr>
        <w:t>1. attēlā</w:t>
      </w:r>
      <w:r w:rsidRPr="00636EF4">
        <w:rPr>
          <w:rFonts w:ascii="Candara" w:hAnsi="Candara" w:cs="Times New Roman"/>
        </w:rPr>
        <w:t xml:space="preserve"> atspoguļota </w:t>
      </w:r>
      <w:r w:rsidRPr="00636EF4">
        <w:rPr>
          <w:rFonts w:ascii="Candara" w:eastAsia="SimSun" w:hAnsi="Candara" w:cs="Times New Roman"/>
          <w:lang w:eastAsia="zh-CN" w:bidi="lo-LA"/>
        </w:rPr>
        <w:t>RIS3 specializācijas</w:t>
      </w:r>
      <w:r w:rsidRPr="00A2199B">
        <w:rPr>
          <w:rFonts w:ascii="Candara" w:eastAsia="SimSun" w:hAnsi="Candara" w:cs="Times New Roman"/>
          <w:lang w:eastAsia="zh-CN" w:bidi="lo-LA"/>
        </w:rPr>
        <w:t xml:space="preserve"> jomu sasaiste ar tautsaimniecības nozarēm (atbilstoši NACE red.2 klasifikācijai) un zinātnes apakšnozarēm (atbilstoši OECD zinātņu nozaru klasifikācijai), kā arī norādīts, kādas valsts zinātniskās institūcijas, t.sk. augstskolas, ietilpst katrā no RIS3 specializācijas jomām. </w:t>
      </w:r>
    </w:p>
    <w:p w:rsidR="00AD1483" w:rsidRPr="00A2199B" w:rsidP="00AD1483" w14:paraId="00DAA3C3" w14:textId="77777777">
      <w:pPr>
        <w:spacing w:after="0" w:line="240" w:lineRule="auto"/>
        <w:jc w:val="right"/>
        <w:rPr>
          <w:rFonts w:ascii="Candara" w:eastAsia="SimSun" w:hAnsi="Candara" w:cs="Times New Roman"/>
          <w:b/>
          <w:sz w:val="8"/>
          <w:szCs w:val="8"/>
          <w:lang w:eastAsia="zh-CN" w:bidi="lo-LA"/>
        </w:rPr>
      </w:pPr>
    </w:p>
    <w:p w:rsidR="00AD1483" w:rsidRPr="002F77F7" w:rsidP="000B395A" w14:paraId="5EC93200" w14:textId="77777777">
      <w:pPr>
        <w:spacing w:after="0" w:line="240" w:lineRule="auto"/>
        <w:ind w:left="-142" w:right="-143"/>
        <w:jc w:val="center"/>
        <w:rPr>
          <w:rFonts w:ascii="Candara" w:eastAsia="SimSun" w:hAnsi="Candara" w:cs="Times New Roman"/>
          <w:b/>
          <w:szCs w:val="24"/>
          <w:lang w:eastAsia="zh-CN" w:bidi="lo-LA"/>
        </w:rPr>
      </w:pPr>
      <w:r>
        <w:rPr>
          <w:rFonts w:ascii="Candara" w:eastAsia="SimSun" w:hAnsi="Candara" w:cs="Times New Roman"/>
          <w:b/>
          <w:szCs w:val="24"/>
          <w:lang w:eastAsia="zh-CN" w:bidi="lo-LA"/>
        </w:rPr>
        <w:t>1.</w:t>
      </w:r>
      <w:r w:rsidRPr="002F77F7" w:rsidR="002F77F7">
        <w:rPr>
          <w:rFonts w:ascii="Candara" w:eastAsia="SimSun" w:hAnsi="Candara" w:cs="Times New Roman"/>
          <w:b/>
          <w:szCs w:val="24"/>
          <w:lang w:eastAsia="zh-CN" w:bidi="lo-LA"/>
        </w:rPr>
        <w:t xml:space="preserve">attēls. </w:t>
      </w:r>
      <w:r w:rsidRPr="002F77F7">
        <w:rPr>
          <w:rFonts w:ascii="Candara" w:eastAsia="SimSun" w:hAnsi="Candara" w:cs="Times New Roman"/>
          <w:b/>
          <w:szCs w:val="24"/>
          <w:lang w:eastAsia="zh-CN" w:bidi="lo-LA"/>
        </w:rPr>
        <w:t>RIS3 specializācijas jomu sasaiste ar tautsaimniecības nozarēm un zinātnes apakšnozarēm</w:t>
      </w:r>
    </w:p>
    <w:p w:rsidR="00AD1483" w:rsidRPr="00A2199B" w:rsidP="00AD1483" w14:paraId="679012C0" w14:textId="77777777">
      <w:pPr>
        <w:spacing w:after="0" w:line="240" w:lineRule="auto"/>
        <w:jc w:val="right"/>
        <w:rPr>
          <w:rFonts w:ascii="Candara" w:eastAsia="SimSun" w:hAnsi="Candara" w:cs="Times New Roman"/>
          <w:b/>
          <w:sz w:val="8"/>
          <w:szCs w:val="8"/>
          <w:lang w:eastAsia="zh-CN" w:bidi="lo-LA"/>
        </w:rPr>
      </w:pPr>
    </w:p>
    <w:tbl>
      <w:tblPr>
        <w:tblW w:w="5000" w:type="pct"/>
        <w:tblLayout w:type="fixed"/>
        <w:tblLook w:val="04A0"/>
      </w:tblPr>
      <w:tblGrid>
        <w:gridCol w:w="437"/>
        <w:gridCol w:w="2323"/>
        <w:gridCol w:w="1918"/>
        <w:gridCol w:w="1283"/>
        <w:gridCol w:w="1571"/>
        <w:gridCol w:w="1285"/>
        <w:gridCol w:w="1101"/>
      </w:tblGrid>
      <w:tr w14:paraId="3E317183" w14:textId="77777777" w:rsidTr="00083075">
        <w:tblPrEx>
          <w:tblW w:w="5000" w:type="pct"/>
          <w:tblLayout w:type="fixed"/>
          <w:tblLook w:val="04A0"/>
        </w:tblPrEx>
        <w:trPr>
          <w:trHeight w:val="545"/>
        </w:trPr>
        <w:tc>
          <w:tcPr>
            <w:tcW w:w="1391" w:type="pct"/>
            <w:gridSpan w:val="2"/>
            <w:tcBorders>
              <w:top w:val="nil"/>
              <w:left w:val="nil"/>
              <w:bottom w:val="single" w:sz="8" w:space="0" w:color="75923C"/>
              <w:right w:val="nil"/>
            </w:tcBorders>
            <w:shd w:val="clear" w:color="auto" w:fill="E6CDB4"/>
            <w:noWrap/>
            <w:vAlign w:val="center"/>
            <w:hideMark/>
          </w:tcPr>
          <w:p w:rsidR="00AD1483" w:rsidRPr="00860B39" w:rsidP="004C3620" w14:paraId="1D2C3282" w14:textId="77777777">
            <w:pPr>
              <w:spacing w:after="0" w:line="240" w:lineRule="auto"/>
              <w:jc w:val="right"/>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Valsts zinātniskās institūcijas, t.sk. augstskolas:</w:t>
            </w:r>
          </w:p>
        </w:tc>
        <w:tc>
          <w:tcPr>
            <w:tcW w:w="967" w:type="pct"/>
            <w:tcBorders>
              <w:top w:val="single" w:sz="4" w:space="0" w:color="auto"/>
              <w:left w:val="single" w:sz="4" w:space="0" w:color="auto"/>
              <w:bottom w:val="single" w:sz="4" w:space="0" w:color="auto"/>
              <w:right w:val="single" w:sz="4" w:space="0" w:color="auto"/>
            </w:tcBorders>
            <w:shd w:val="clear" w:color="auto" w:fill="E6CDB4"/>
            <w:vAlign w:val="center"/>
            <w:hideMark/>
          </w:tcPr>
          <w:p w:rsidR="00AD1483" w:rsidRPr="00860B39" w:rsidP="00592B2B" w14:paraId="439A6823" w14:textId="77777777">
            <w:pPr>
              <w:spacing w:after="0" w:line="240" w:lineRule="auto"/>
              <w:jc w:val="center"/>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xml:space="preserve">LLU, LU, RTU, DU, </w:t>
            </w:r>
            <w:r w:rsidR="00592B2B">
              <w:rPr>
                <w:rFonts w:ascii="Candara" w:eastAsia="Times New Roman" w:hAnsi="Candara" w:cs="Times New Roman"/>
                <w:color w:val="000000"/>
                <w:spacing w:val="-4"/>
                <w:sz w:val="15"/>
                <w:szCs w:val="15"/>
              </w:rPr>
              <w:t xml:space="preserve">DI </w:t>
            </w:r>
            <w:r w:rsidRPr="00860B39">
              <w:rPr>
                <w:rFonts w:ascii="Candara" w:eastAsia="Times New Roman" w:hAnsi="Candara" w:cs="Times New Roman"/>
                <w:color w:val="000000"/>
                <w:spacing w:val="-4"/>
                <w:sz w:val="15"/>
                <w:szCs w:val="15"/>
              </w:rPr>
              <w:t xml:space="preserve">(Augļkop.), LVKĶI, SILAVA, BIOR, </w:t>
            </w:r>
            <w:r w:rsidR="00592B2B">
              <w:rPr>
                <w:rFonts w:ascii="Candara" w:eastAsia="Times New Roman" w:hAnsi="Candara" w:cs="Times New Roman"/>
                <w:color w:val="000000"/>
                <w:spacing w:val="-4"/>
                <w:sz w:val="15"/>
                <w:szCs w:val="15"/>
              </w:rPr>
              <w:t>AREI</w:t>
            </w:r>
            <w:r w:rsidRPr="00860B39">
              <w:rPr>
                <w:rFonts w:ascii="Candara" w:eastAsia="Times New Roman" w:hAnsi="Candara" w:cs="Times New Roman"/>
                <w:color w:val="000000"/>
                <w:spacing w:val="-4"/>
                <w:sz w:val="15"/>
                <w:szCs w:val="15"/>
              </w:rPr>
              <w:t>,</w:t>
            </w:r>
            <w:r w:rsidR="00965C0A">
              <w:rPr>
                <w:rFonts w:ascii="Candara" w:eastAsia="Times New Roman" w:hAnsi="Candara" w:cs="Times New Roman"/>
                <w:color w:val="000000"/>
                <w:spacing w:val="-4"/>
                <w:sz w:val="15"/>
                <w:szCs w:val="15"/>
              </w:rPr>
              <w:t xml:space="preserve"> </w:t>
            </w:r>
            <w:r w:rsidR="00592B2B">
              <w:rPr>
                <w:rFonts w:ascii="Candara" w:eastAsia="Times New Roman" w:hAnsi="Candara" w:cs="Times New Roman"/>
                <w:color w:val="000000"/>
                <w:spacing w:val="-4"/>
                <w:sz w:val="15"/>
                <w:szCs w:val="15"/>
              </w:rPr>
              <w:t>LHEI, NBD (11</w:t>
            </w:r>
            <w:r w:rsidRPr="00860B39">
              <w:rPr>
                <w:rFonts w:ascii="Candara" w:eastAsia="Times New Roman" w:hAnsi="Candara" w:cs="Times New Roman"/>
                <w:color w:val="000000"/>
                <w:spacing w:val="-4"/>
                <w:sz w:val="15"/>
                <w:szCs w:val="15"/>
              </w:rPr>
              <w:t>)</w:t>
            </w:r>
          </w:p>
        </w:tc>
        <w:tc>
          <w:tcPr>
            <w:tcW w:w="647" w:type="pct"/>
            <w:tcBorders>
              <w:top w:val="single" w:sz="4" w:space="0" w:color="auto"/>
              <w:left w:val="nil"/>
              <w:bottom w:val="single" w:sz="4" w:space="0" w:color="auto"/>
              <w:right w:val="single" w:sz="4" w:space="0" w:color="auto"/>
            </w:tcBorders>
            <w:shd w:val="clear" w:color="auto" w:fill="E6CDB4"/>
            <w:vAlign w:val="center"/>
            <w:hideMark/>
          </w:tcPr>
          <w:p w:rsidR="00AD1483" w:rsidRPr="00860B39" w:rsidP="004C3620" w14:paraId="1599E86D" w14:textId="77777777">
            <w:pPr>
              <w:spacing w:after="0" w:line="240" w:lineRule="auto"/>
              <w:jc w:val="center"/>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LU, RSU, RTU, LBMC, OSI (5)</w:t>
            </w:r>
          </w:p>
        </w:tc>
        <w:tc>
          <w:tcPr>
            <w:tcW w:w="792" w:type="pct"/>
            <w:tcBorders>
              <w:top w:val="single" w:sz="4" w:space="0" w:color="auto"/>
              <w:left w:val="nil"/>
              <w:bottom w:val="single" w:sz="4" w:space="0" w:color="auto"/>
              <w:right w:val="single" w:sz="4" w:space="0" w:color="auto"/>
            </w:tcBorders>
            <w:shd w:val="clear" w:color="auto" w:fill="E6CDB4"/>
            <w:vAlign w:val="center"/>
            <w:hideMark/>
          </w:tcPr>
          <w:p w:rsidR="00592B2B" w:rsidP="00592B2B" w14:paraId="4C764BAE" w14:textId="77777777">
            <w:pPr>
              <w:spacing w:after="0" w:line="240" w:lineRule="auto"/>
              <w:jc w:val="center"/>
              <w:rPr>
                <w:rFonts w:ascii="Candara" w:eastAsia="Times New Roman" w:hAnsi="Candara" w:cs="Times New Roman"/>
                <w:color w:val="000000"/>
                <w:spacing w:val="-4"/>
                <w:sz w:val="15"/>
                <w:szCs w:val="15"/>
              </w:rPr>
            </w:pPr>
            <w:r>
              <w:rPr>
                <w:rFonts w:ascii="Candara" w:eastAsia="Times New Roman" w:hAnsi="Candara" w:cs="Times New Roman"/>
                <w:color w:val="000000"/>
                <w:spacing w:val="-4"/>
                <w:sz w:val="15"/>
                <w:szCs w:val="15"/>
              </w:rPr>
              <w:t>LU, RTU, LU CFI,</w:t>
            </w:r>
          </w:p>
          <w:p w:rsidR="00AD1483" w:rsidRPr="00860B39" w:rsidP="00592B2B" w14:paraId="714220E2" w14:textId="77777777">
            <w:pPr>
              <w:spacing w:after="0" w:line="240" w:lineRule="auto"/>
              <w:jc w:val="center"/>
              <w:rPr>
                <w:rFonts w:ascii="Candara" w:eastAsia="Times New Roman" w:hAnsi="Candara" w:cs="Times New Roman"/>
                <w:color w:val="000000"/>
                <w:spacing w:val="-4"/>
                <w:sz w:val="15"/>
                <w:szCs w:val="15"/>
              </w:rPr>
            </w:pPr>
            <w:r>
              <w:rPr>
                <w:rFonts w:ascii="Candara" w:eastAsia="Times New Roman" w:hAnsi="Candara" w:cs="Times New Roman"/>
                <w:color w:val="000000"/>
                <w:spacing w:val="-4"/>
                <w:sz w:val="15"/>
                <w:szCs w:val="15"/>
              </w:rPr>
              <w:t>(</w:t>
            </w:r>
            <w:r w:rsidR="001563E4">
              <w:rPr>
                <w:rFonts w:ascii="Candara" w:eastAsia="Times New Roman" w:hAnsi="Candara" w:cs="Times New Roman"/>
                <w:color w:val="000000"/>
                <w:spacing w:val="-4"/>
                <w:sz w:val="15"/>
                <w:szCs w:val="15"/>
              </w:rPr>
              <w:t>3</w:t>
            </w:r>
            <w:r w:rsidRPr="00860B39">
              <w:rPr>
                <w:rFonts w:ascii="Candara" w:eastAsia="Times New Roman" w:hAnsi="Candara" w:cs="Times New Roman"/>
                <w:color w:val="000000"/>
                <w:spacing w:val="-4"/>
                <w:sz w:val="15"/>
                <w:szCs w:val="15"/>
              </w:rPr>
              <w:t>)</w:t>
            </w:r>
          </w:p>
        </w:tc>
        <w:tc>
          <w:tcPr>
            <w:tcW w:w="648" w:type="pct"/>
            <w:tcBorders>
              <w:top w:val="single" w:sz="4" w:space="0" w:color="auto"/>
              <w:left w:val="nil"/>
              <w:bottom w:val="single" w:sz="4" w:space="0" w:color="auto"/>
              <w:right w:val="single" w:sz="4" w:space="0" w:color="auto"/>
            </w:tcBorders>
            <w:shd w:val="clear" w:color="auto" w:fill="E6CDB4"/>
            <w:noWrap/>
            <w:vAlign w:val="center"/>
            <w:hideMark/>
          </w:tcPr>
          <w:p w:rsidR="00AD1483" w:rsidRPr="00860B39" w:rsidP="004C3620" w14:paraId="10F473AB" w14:textId="77777777">
            <w:pPr>
              <w:spacing w:after="0" w:line="240" w:lineRule="auto"/>
              <w:jc w:val="center"/>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RTU, LU, FEI (3)</w:t>
            </w:r>
          </w:p>
        </w:tc>
        <w:tc>
          <w:tcPr>
            <w:tcW w:w="555" w:type="pct"/>
            <w:tcBorders>
              <w:top w:val="single" w:sz="4" w:space="0" w:color="auto"/>
              <w:left w:val="nil"/>
              <w:bottom w:val="single" w:sz="4" w:space="0" w:color="auto"/>
              <w:right w:val="single" w:sz="4" w:space="0" w:color="auto"/>
            </w:tcBorders>
            <w:shd w:val="clear" w:color="auto" w:fill="E6CDB4"/>
            <w:vAlign w:val="center"/>
            <w:hideMark/>
          </w:tcPr>
          <w:p w:rsidR="00AD1483" w:rsidRPr="00860B39" w:rsidP="004C3620" w14:paraId="0D061A73" w14:textId="77777777">
            <w:pPr>
              <w:spacing w:after="0" w:line="240" w:lineRule="auto"/>
              <w:jc w:val="center"/>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RTU, LU, VeA, LU MII, EDI (5)</w:t>
            </w:r>
          </w:p>
        </w:tc>
      </w:tr>
      <w:tr w14:paraId="5E161B41" w14:textId="77777777" w:rsidTr="00083075">
        <w:tblPrEx>
          <w:tblW w:w="5000" w:type="pct"/>
          <w:tblLayout w:type="fixed"/>
          <w:tblLook w:val="04A0"/>
        </w:tblPrEx>
        <w:trPr>
          <w:trHeight w:val="263"/>
        </w:trPr>
        <w:tc>
          <w:tcPr>
            <w:tcW w:w="1391" w:type="pct"/>
            <w:gridSpan w:val="2"/>
            <w:tcBorders>
              <w:top w:val="single" w:sz="4" w:space="0" w:color="auto"/>
              <w:left w:val="single" w:sz="4" w:space="0" w:color="auto"/>
              <w:bottom w:val="single" w:sz="4" w:space="0" w:color="auto"/>
              <w:right w:val="single" w:sz="4" w:space="0" w:color="000000"/>
            </w:tcBorders>
            <w:shd w:val="clear" w:color="auto" w:fill="E0DEF0" w:themeFill="accent4" w:themeFillTint="33"/>
            <w:noWrap/>
            <w:vAlign w:val="center"/>
            <w:hideMark/>
          </w:tcPr>
          <w:p w:rsidR="00AD1483" w:rsidRPr="00860B39" w:rsidP="004C3620" w14:paraId="09DC903A" w14:textId="77777777">
            <w:pPr>
              <w:spacing w:after="0" w:line="240" w:lineRule="auto"/>
              <w:ind w:left="-534" w:firstLine="534"/>
              <w:jc w:val="center"/>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OECD zināt</w:t>
            </w:r>
            <w:r w:rsidR="00D33597">
              <w:rPr>
                <w:rFonts w:ascii="Candara" w:eastAsia="Times New Roman" w:hAnsi="Candara" w:cs="Times New Roman"/>
                <w:color w:val="000000"/>
                <w:spacing w:val="-4"/>
                <w:sz w:val="15"/>
                <w:szCs w:val="15"/>
              </w:rPr>
              <w:t>nes un tehnoloģias nozaru klasifikācijas</w:t>
            </w:r>
            <w:r w:rsidRPr="00860B39">
              <w:rPr>
                <w:rFonts w:ascii="Candara" w:eastAsia="Times New Roman" w:hAnsi="Candara" w:cs="Times New Roman"/>
                <w:color w:val="000000"/>
                <w:spacing w:val="-4"/>
                <w:sz w:val="15"/>
                <w:szCs w:val="15"/>
              </w:rPr>
              <w:t xml:space="preserve"> apakšnozares</w:t>
            </w:r>
          </w:p>
        </w:tc>
        <w:tc>
          <w:tcPr>
            <w:tcW w:w="967" w:type="pct"/>
            <w:tcBorders>
              <w:top w:val="nil"/>
              <w:left w:val="nil"/>
              <w:bottom w:val="single" w:sz="4" w:space="0" w:color="auto"/>
              <w:right w:val="single" w:sz="4" w:space="0" w:color="auto"/>
            </w:tcBorders>
            <w:shd w:val="clear" w:color="auto" w:fill="E0DEF0" w:themeFill="accent4" w:themeFillTint="33"/>
            <w:vAlign w:val="center"/>
            <w:hideMark/>
          </w:tcPr>
          <w:p w:rsidR="00AD1483" w:rsidRPr="00860B39" w:rsidP="00953BAA" w14:paraId="6D95A82E" w14:textId="77777777">
            <w:pPr>
              <w:spacing w:after="0" w:line="240" w:lineRule="auto"/>
              <w:ind w:left="-35" w:right="-81"/>
              <w:jc w:val="center"/>
              <w:rPr>
                <w:rFonts w:ascii="Candara" w:eastAsia="Times New Roman" w:hAnsi="Candara" w:cs="Times New Roman"/>
                <w:color w:val="000000"/>
                <w:spacing w:val="-8"/>
                <w:sz w:val="15"/>
                <w:szCs w:val="15"/>
              </w:rPr>
            </w:pPr>
            <w:r>
              <w:rPr>
                <w:rFonts w:ascii="Candara" w:eastAsia="Times New Roman" w:hAnsi="Candara" w:cs="Times New Roman"/>
                <w:color w:val="000000"/>
                <w:spacing w:val="-8"/>
                <w:sz w:val="15"/>
                <w:szCs w:val="15"/>
              </w:rPr>
              <w:t>Zemes zinātne un ar to saistītās vides zinātnes; Lauksaimniecība, mežsaimniecība un zivsaimniecība; Dzīvnieku audzēšanas un piena ražošanas zinātne; Veterinārmedicīnas zinātne; Lauksaimniecības biotehnoloģija;</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Fizikālās zinātnes;</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Ķīmijas zinātnes;</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Bioloģijas zinātnes;</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Tautsaimniecība un uzņēmējdarbība;</w:t>
            </w:r>
            <w:r w:rsidRPr="00860B39">
              <w:rPr>
                <w:rFonts w:ascii="Candara" w:eastAsia="Times New Roman" w:hAnsi="Candara" w:cs="Times New Roman"/>
                <w:color w:val="000000"/>
                <w:spacing w:val="-8"/>
                <w:sz w:val="15"/>
                <w:szCs w:val="15"/>
              </w:rPr>
              <w:t xml:space="preserve"> Rūpnieciskā biotehnoloģija</w:t>
            </w:r>
            <w:r>
              <w:rPr>
                <w:rFonts w:ascii="Candara" w:eastAsia="Times New Roman" w:hAnsi="Candara" w:cs="Times New Roman"/>
                <w:color w:val="000000"/>
                <w:spacing w:val="-8"/>
                <w:sz w:val="15"/>
                <w:szCs w:val="15"/>
              </w:rPr>
              <w:t>;</w:t>
            </w:r>
            <w:r w:rsidRPr="00860B39">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Vides biotehnoloģija</w:t>
            </w:r>
            <w:r>
              <w:rPr>
                <w:rFonts w:ascii="Candara" w:eastAsia="Times New Roman" w:hAnsi="Candara" w:cs="Times New Roman"/>
                <w:color w:val="000000"/>
                <w:spacing w:val="-8"/>
                <w:sz w:val="15"/>
                <w:szCs w:val="15"/>
              </w:rPr>
              <w:t>;</w:t>
            </w:r>
            <w:r w:rsidRPr="00860B39">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Ķīmijas inženierzinātne</w:t>
            </w:r>
            <w:r>
              <w:rPr>
                <w:rFonts w:ascii="Candara" w:eastAsia="Times New Roman" w:hAnsi="Candara" w:cs="Times New Roman"/>
                <w:color w:val="000000"/>
                <w:spacing w:val="-8"/>
                <w:sz w:val="15"/>
                <w:szCs w:val="15"/>
              </w:rPr>
              <w:t>;</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Materiālzinātne;</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Būvniecība;</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Mehāniskā inženierija;</w:t>
            </w:r>
            <w:r w:rsidRPr="00860B39">
              <w:rPr>
                <w:rFonts w:ascii="Candara" w:eastAsia="Times New Roman" w:hAnsi="Candara" w:cs="Times New Roman"/>
                <w:color w:val="000000"/>
                <w:spacing w:val="-8"/>
                <w:sz w:val="15"/>
                <w:szCs w:val="15"/>
              </w:rPr>
              <w:t xml:space="preserve"> Matemātika</w:t>
            </w:r>
          </w:p>
        </w:tc>
        <w:tc>
          <w:tcPr>
            <w:tcW w:w="647" w:type="pct"/>
            <w:tcBorders>
              <w:top w:val="single" w:sz="4" w:space="0" w:color="auto"/>
              <w:left w:val="nil"/>
              <w:bottom w:val="single" w:sz="4" w:space="0" w:color="auto"/>
              <w:right w:val="single" w:sz="4" w:space="0" w:color="auto"/>
            </w:tcBorders>
            <w:shd w:val="clear" w:color="auto" w:fill="E0DEF0" w:themeFill="accent4" w:themeFillTint="33"/>
            <w:vAlign w:val="center"/>
            <w:hideMark/>
          </w:tcPr>
          <w:p w:rsidR="00AD1483" w:rsidRPr="00860B39" w:rsidP="00953BAA" w14:paraId="2161E5DF" w14:textId="77777777">
            <w:pPr>
              <w:spacing w:after="0" w:line="240" w:lineRule="auto"/>
              <w:ind w:left="-35" w:right="-81"/>
              <w:jc w:val="center"/>
              <w:rPr>
                <w:rFonts w:ascii="Candara" w:eastAsia="Times New Roman" w:hAnsi="Candara" w:cs="Times New Roman"/>
                <w:color w:val="000000"/>
                <w:spacing w:val="-8"/>
                <w:sz w:val="15"/>
                <w:szCs w:val="15"/>
              </w:rPr>
            </w:pPr>
            <w:r w:rsidRPr="00860B39">
              <w:rPr>
                <w:rFonts w:ascii="Candara" w:eastAsia="Times New Roman" w:hAnsi="Candara" w:cs="Times New Roman"/>
                <w:color w:val="000000"/>
                <w:spacing w:val="-8"/>
                <w:sz w:val="15"/>
                <w:szCs w:val="15"/>
              </w:rPr>
              <w:t>Medicīna</w:t>
            </w:r>
            <w:r w:rsidR="00953BAA">
              <w:rPr>
                <w:rFonts w:ascii="Candara" w:eastAsia="Times New Roman" w:hAnsi="Candara" w:cs="Times New Roman"/>
                <w:color w:val="000000"/>
                <w:spacing w:val="-8"/>
                <w:sz w:val="15"/>
                <w:szCs w:val="15"/>
              </w:rPr>
              <w:t>s pamatzinātnes;</w:t>
            </w:r>
            <w:r w:rsidRPr="00860B39">
              <w:rPr>
                <w:rFonts w:ascii="Candara" w:eastAsia="Times New Roman" w:hAnsi="Candara" w:cs="Times New Roman"/>
                <w:color w:val="000000"/>
                <w:spacing w:val="-8"/>
                <w:sz w:val="15"/>
                <w:szCs w:val="15"/>
              </w:rPr>
              <w:t xml:space="preserve"> Klīniskā medicīna</w:t>
            </w:r>
            <w:r w:rsidR="00953BAA">
              <w:rPr>
                <w:rFonts w:ascii="Candara" w:eastAsia="Times New Roman" w:hAnsi="Candara" w:cs="Times New Roman"/>
                <w:color w:val="000000"/>
                <w:spacing w:val="-8"/>
                <w:sz w:val="15"/>
                <w:szCs w:val="15"/>
              </w:rPr>
              <w:t>;</w:t>
            </w:r>
            <w:r w:rsidRPr="00860B39" w:rsidR="00953BAA">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Veselības zinātne</w:t>
            </w:r>
            <w:r w:rsidR="00953BAA">
              <w:rPr>
                <w:rFonts w:ascii="Candara" w:eastAsia="Times New Roman" w:hAnsi="Candara" w:cs="Times New Roman"/>
                <w:color w:val="000000"/>
                <w:spacing w:val="-8"/>
                <w:sz w:val="15"/>
                <w:szCs w:val="15"/>
              </w:rPr>
              <w:t>s;</w:t>
            </w:r>
            <w:r w:rsidRPr="00860B39">
              <w:rPr>
                <w:rFonts w:ascii="Candara" w:eastAsia="Times New Roman" w:hAnsi="Candara" w:cs="Times New Roman"/>
                <w:color w:val="000000"/>
                <w:spacing w:val="-8"/>
                <w:sz w:val="15"/>
                <w:szCs w:val="15"/>
              </w:rPr>
              <w:br/>
              <w:t>Medicīniskā biotehnoloģija</w:t>
            </w:r>
            <w:r w:rsidR="00953BAA">
              <w:rPr>
                <w:rFonts w:ascii="Candara" w:eastAsia="Times New Roman" w:hAnsi="Candara" w:cs="Times New Roman"/>
                <w:color w:val="000000"/>
                <w:spacing w:val="-8"/>
                <w:sz w:val="15"/>
                <w:szCs w:val="15"/>
              </w:rPr>
              <w:t>;</w:t>
            </w:r>
            <w:r w:rsidRPr="00860B39" w:rsidR="00953BAA">
              <w:rPr>
                <w:rFonts w:ascii="Candara" w:eastAsia="Times New Roman" w:hAnsi="Candara" w:cs="Times New Roman"/>
                <w:color w:val="000000"/>
                <w:spacing w:val="-8"/>
                <w:sz w:val="15"/>
                <w:szCs w:val="15"/>
              </w:rPr>
              <w:t xml:space="preserve"> </w:t>
            </w:r>
            <w:r w:rsidR="00953BAA">
              <w:rPr>
                <w:rFonts w:ascii="Candara" w:eastAsia="Times New Roman" w:hAnsi="Candara" w:cs="Times New Roman"/>
                <w:color w:val="000000"/>
                <w:spacing w:val="-8"/>
                <w:sz w:val="15"/>
                <w:szCs w:val="15"/>
              </w:rPr>
              <w:t>Fizikālās zinātnes;</w:t>
            </w:r>
            <w:r w:rsidRPr="00860B39">
              <w:rPr>
                <w:rFonts w:ascii="Candara" w:eastAsia="Times New Roman" w:hAnsi="Candara" w:cs="Times New Roman"/>
                <w:color w:val="000000"/>
                <w:spacing w:val="-8"/>
                <w:sz w:val="15"/>
                <w:szCs w:val="15"/>
              </w:rPr>
              <w:t xml:space="preserve"> </w:t>
            </w:r>
            <w:r w:rsidR="00953BAA">
              <w:rPr>
                <w:rFonts w:ascii="Candara" w:eastAsia="Times New Roman" w:hAnsi="Candara" w:cs="Times New Roman"/>
                <w:color w:val="000000"/>
                <w:spacing w:val="-8"/>
                <w:sz w:val="15"/>
                <w:szCs w:val="15"/>
              </w:rPr>
              <w:t>Ķīmijas zinātnes;</w:t>
            </w:r>
            <w:r w:rsidRPr="00860B39">
              <w:rPr>
                <w:rFonts w:ascii="Candara" w:eastAsia="Times New Roman" w:hAnsi="Candara" w:cs="Times New Roman"/>
                <w:color w:val="000000"/>
                <w:spacing w:val="-8"/>
                <w:sz w:val="15"/>
                <w:szCs w:val="15"/>
              </w:rPr>
              <w:t xml:space="preserve"> Ķīmijas inženierzinātne</w:t>
            </w:r>
            <w:r w:rsidR="00953BAA">
              <w:rPr>
                <w:rFonts w:ascii="Candara" w:eastAsia="Times New Roman" w:hAnsi="Candara" w:cs="Times New Roman"/>
                <w:color w:val="000000"/>
                <w:spacing w:val="-8"/>
                <w:sz w:val="15"/>
                <w:szCs w:val="15"/>
              </w:rPr>
              <w:t>;</w:t>
            </w:r>
            <w:r w:rsidRPr="00860B39" w:rsidR="00953BAA">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Bioloģija</w:t>
            </w:r>
            <w:r w:rsidR="00953BAA">
              <w:rPr>
                <w:rFonts w:ascii="Candara" w:eastAsia="Times New Roman" w:hAnsi="Candara" w:cs="Times New Roman"/>
                <w:color w:val="000000"/>
                <w:spacing w:val="-8"/>
                <w:sz w:val="15"/>
                <w:szCs w:val="15"/>
              </w:rPr>
              <w:t>s zinātnes;</w:t>
            </w:r>
            <w:r w:rsidRPr="00860B39">
              <w:rPr>
                <w:rFonts w:ascii="Candara" w:eastAsia="Times New Roman" w:hAnsi="Candara" w:cs="Times New Roman"/>
                <w:color w:val="000000"/>
                <w:spacing w:val="-8"/>
                <w:sz w:val="15"/>
                <w:szCs w:val="15"/>
              </w:rPr>
              <w:t xml:space="preserve"> Matemātika</w:t>
            </w:r>
            <w:r w:rsidR="00953BAA">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Materiālzinātne</w:t>
            </w:r>
          </w:p>
        </w:tc>
        <w:tc>
          <w:tcPr>
            <w:tcW w:w="792" w:type="pct"/>
            <w:tcBorders>
              <w:top w:val="single" w:sz="4" w:space="0" w:color="auto"/>
              <w:left w:val="nil"/>
              <w:bottom w:val="single" w:sz="4" w:space="0" w:color="auto"/>
              <w:right w:val="single" w:sz="4" w:space="0" w:color="auto"/>
            </w:tcBorders>
            <w:shd w:val="clear" w:color="auto" w:fill="E0DEF0" w:themeFill="accent4" w:themeFillTint="33"/>
            <w:vAlign w:val="center"/>
            <w:hideMark/>
          </w:tcPr>
          <w:p w:rsidR="00AD1483" w:rsidRPr="00860B39" w:rsidP="00EC206C" w14:paraId="43BC6AE9" w14:textId="77777777">
            <w:pPr>
              <w:spacing w:after="0" w:line="240" w:lineRule="auto"/>
              <w:ind w:left="-35" w:right="-81"/>
              <w:jc w:val="center"/>
              <w:rPr>
                <w:rFonts w:ascii="Candara" w:eastAsia="Times New Roman" w:hAnsi="Candara" w:cs="Times New Roman"/>
                <w:color w:val="000000"/>
                <w:spacing w:val="-8"/>
                <w:sz w:val="15"/>
                <w:szCs w:val="15"/>
              </w:rPr>
            </w:pPr>
            <w:r>
              <w:rPr>
                <w:rFonts w:ascii="Candara" w:eastAsia="Times New Roman" w:hAnsi="Candara" w:cs="Times New Roman"/>
                <w:color w:val="000000"/>
                <w:spacing w:val="-8"/>
                <w:sz w:val="15"/>
                <w:szCs w:val="15"/>
              </w:rPr>
              <w:t>Būvniecība;</w:t>
            </w:r>
            <w:r w:rsidRPr="00860B39">
              <w:rPr>
                <w:rFonts w:ascii="Candara" w:eastAsia="Times New Roman" w:hAnsi="Candara" w:cs="Times New Roman"/>
                <w:color w:val="000000"/>
                <w:spacing w:val="-8"/>
                <w:sz w:val="15"/>
                <w:szCs w:val="15"/>
              </w:rPr>
              <w:t xml:space="preserve"> Elektrotehnika</w:t>
            </w:r>
            <w:r>
              <w:rPr>
                <w:rFonts w:ascii="Candara" w:eastAsia="Times New Roman" w:hAnsi="Candara" w:cs="Times New Roman"/>
                <w:color w:val="000000"/>
                <w:spacing w:val="-8"/>
                <w:sz w:val="15"/>
                <w:szCs w:val="15"/>
              </w:rPr>
              <w:t>, elektronika, informācijas aprites sistēmu projektēšana;</w:t>
            </w:r>
            <w:r w:rsidRPr="00860B39">
              <w:rPr>
                <w:rFonts w:ascii="Candara" w:eastAsia="Times New Roman" w:hAnsi="Candara" w:cs="Times New Roman"/>
                <w:color w:val="000000"/>
                <w:spacing w:val="-8"/>
                <w:sz w:val="15"/>
                <w:szCs w:val="15"/>
              </w:rPr>
              <w:t xml:space="preserve"> </w:t>
            </w:r>
            <w:r w:rsidR="00EC206C">
              <w:rPr>
                <w:rFonts w:ascii="Candara" w:eastAsia="Times New Roman" w:hAnsi="Candara" w:cs="Times New Roman"/>
                <w:color w:val="000000"/>
                <w:spacing w:val="-8"/>
                <w:sz w:val="15"/>
                <w:szCs w:val="15"/>
              </w:rPr>
              <w:t>Mehāniskā inženierija;</w:t>
            </w:r>
            <w:r w:rsidRPr="00860B39">
              <w:rPr>
                <w:rFonts w:ascii="Candara" w:eastAsia="Times New Roman" w:hAnsi="Candara" w:cs="Times New Roman"/>
                <w:color w:val="000000"/>
                <w:spacing w:val="-8"/>
                <w:sz w:val="15"/>
                <w:szCs w:val="15"/>
              </w:rPr>
              <w:t xml:space="preserve"> Ķīmijas inženierzinātne</w:t>
            </w:r>
            <w:r w:rsidR="00EC206C">
              <w:rPr>
                <w:rFonts w:ascii="Candara" w:eastAsia="Times New Roman" w:hAnsi="Candara" w:cs="Times New Roman"/>
                <w:color w:val="000000"/>
                <w:spacing w:val="-8"/>
                <w:sz w:val="15"/>
                <w:szCs w:val="15"/>
              </w:rPr>
              <w:t>;</w:t>
            </w:r>
            <w:r w:rsidRPr="00860B39" w:rsidR="00EC206C">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Materiāl</w:t>
            </w:r>
            <w:r w:rsidR="00EC206C">
              <w:rPr>
                <w:rFonts w:ascii="Candara" w:eastAsia="Times New Roman" w:hAnsi="Candara" w:cs="Times New Roman"/>
                <w:color w:val="000000"/>
                <w:spacing w:val="-8"/>
                <w:sz w:val="15"/>
                <w:szCs w:val="15"/>
              </w:rPr>
              <w:t>zinātne;</w:t>
            </w:r>
            <w:r w:rsidRPr="00860B39">
              <w:rPr>
                <w:rFonts w:ascii="Candara" w:eastAsia="Times New Roman" w:hAnsi="Candara" w:cs="Times New Roman"/>
                <w:color w:val="000000"/>
                <w:spacing w:val="-8"/>
                <w:sz w:val="15"/>
                <w:szCs w:val="15"/>
              </w:rPr>
              <w:t xml:space="preserve"> </w:t>
            </w:r>
            <w:r w:rsidR="00EC206C">
              <w:rPr>
                <w:rFonts w:ascii="Candara" w:eastAsia="Times New Roman" w:hAnsi="Candara" w:cs="Times New Roman"/>
                <w:color w:val="000000"/>
                <w:spacing w:val="-8"/>
                <w:sz w:val="15"/>
                <w:szCs w:val="15"/>
              </w:rPr>
              <w:t>Medicīniskā</w:t>
            </w:r>
            <w:r w:rsidRPr="00860B39" w:rsidR="00EC206C">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inženierija</w:t>
            </w:r>
            <w:r w:rsidR="00EC206C">
              <w:rPr>
                <w:rFonts w:ascii="Candara" w:eastAsia="Times New Roman" w:hAnsi="Candara" w:cs="Times New Roman"/>
                <w:color w:val="000000"/>
                <w:spacing w:val="-8"/>
                <w:sz w:val="15"/>
                <w:szCs w:val="15"/>
              </w:rPr>
              <w:t>;</w:t>
            </w:r>
            <w:r w:rsidRPr="00860B39">
              <w:rPr>
                <w:rFonts w:ascii="Candara" w:eastAsia="Times New Roman" w:hAnsi="Candara" w:cs="Times New Roman"/>
                <w:color w:val="000000"/>
                <w:spacing w:val="-8"/>
                <w:sz w:val="15"/>
                <w:szCs w:val="15"/>
              </w:rPr>
              <w:t xml:space="preserve"> Vides </w:t>
            </w:r>
            <w:r w:rsidR="00EC206C">
              <w:rPr>
                <w:rFonts w:ascii="Candara" w:eastAsia="Times New Roman" w:hAnsi="Candara" w:cs="Times New Roman"/>
                <w:color w:val="000000"/>
                <w:spacing w:val="-8"/>
                <w:sz w:val="15"/>
                <w:szCs w:val="15"/>
              </w:rPr>
              <w:t>inženierzinātne;</w:t>
            </w:r>
            <w:r w:rsidRPr="00860B39">
              <w:rPr>
                <w:rFonts w:ascii="Candara" w:eastAsia="Times New Roman" w:hAnsi="Candara" w:cs="Times New Roman"/>
                <w:color w:val="000000"/>
                <w:spacing w:val="-8"/>
                <w:sz w:val="15"/>
                <w:szCs w:val="15"/>
              </w:rPr>
              <w:t xml:space="preserve"> Vides biotehnoloģija</w:t>
            </w:r>
            <w:r w:rsidR="00EC206C">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Rūpnieciskā biotehnoloģija</w:t>
            </w:r>
            <w:r w:rsidR="00EC206C">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Nanotehnoloģija</w:t>
            </w:r>
            <w:r w:rsidR="00EC206C">
              <w:rPr>
                <w:rFonts w:ascii="Candara" w:eastAsia="Times New Roman" w:hAnsi="Candara" w:cs="Times New Roman"/>
                <w:color w:val="000000"/>
                <w:spacing w:val="-8"/>
                <w:sz w:val="15"/>
                <w:szCs w:val="15"/>
              </w:rPr>
              <w:t>;</w:t>
            </w:r>
            <w:r w:rsidRPr="00860B39" w:rsidR="00EC206C">
              <w:rPr>
                <w:rFonts w:ascii="Candara" w:eastAsia="Times New Roman" w:hAnsi="Candara" w:cs="Times New Roman"/>
                <w:color w:val="000000"/>
                <w:spacing w:val="-8"/>
                <w:sz w:val="15"/>
                <w:szCs w:val="15"/>
              </w:rPr>
              <w:t xml:space="preserve"> </w:t>
            </w:r>
            <w:r w:rsidR="00EC206C">
              <w:rPr>
                <w:rFonts w:ascii="Candara" w:eastAsia="Times New Roman" w:hAnsi="Candara" w:cs="Times New Roman"/>
                <w:color w:val="000000"/>
                <w:spacing w:val="-8"/>
                <w:sz w:val="15"/>
                <w:szCs w:val="15"/>
              </w:rPr>
              <w:t>Fizikālās zinātnes;</w:t>
            </w:r>
            <w:r w:rsidRPr="00860B39">
              <w:rPr>
                <w:rFonts w:ascii="Candara" w:eastAsia="Times New Roman" w:hAnsi="Candara" w:cs="Times New Roman"/>
                <w:color w:val="000000"/>
                <w:spacing w:val="-8"/>
                <w:sz w:val="15"/>
                <w:szCs w:val="15"/>
              </w:rPr>
              <w:t xml:space="preserve"> Ķīmija</w:t>
            </w:r>
            <w:r w:rsidR="00EC206C">
              <w:rPr>
                <w:rFonts w:ascii="Candara" w:eastAsia="Times New Roman" w:hAnsi="Candara" w:cs="Times New Roman"/>
                <w:color w:val="000000"/>
                <w:spacing w:val="-8"/>
                <w:sz w:val="15"/>
                <w:szCs w:val="15"/>
              </w:rPr>
              <w:t>s zinātnes;</w:t>
            </w:r>
            <w:r w:rsidRPr="00860B39" w:rsidR="00EC206C">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Matemātika</w:t>
            </w:r>
          </w:p>
        </w:tc>
        <w:tc>
          <w:tcPr>
            <w:tcW w:w="648" w:type="pct"/>
            <w:tcBorders>
              <w:top w:val="single" w:sz="4" w:space="0" w:color="auto"/>
              <w:left w:val="nil"/>
              <w:bottom w:val="single" w:sz="4" w:space="0" w:color="auto"/>
              <w:right w:val="single" w:sz="4" w:space="0" w:color="auto"/>
            </w:tcBorders>
            <w:shd w:val="clear" w:color="auto" w:fill="E0DEF0" w:themeFill="accent4" w:themeFillTint="33"/>
            <w:vAlign w:val="center"/>
            <w:hideMark/>
          </w:tcPr>
          <w:p w:rsidR="00AD1483" w:rsidRPr="00860B39" w:rsidP="00EC206C" w14:paraId="2E5E50C0" w14:textId="77777777">
            <w:pPr>
              <w:spacing w:after="0" w:line="240" w:lineRule="auto"/>
              <w:ind w:left="-35" w:right="-81"/>
              <w:jc w:val="center"/>
              <w:rPr>
                <w:rFonts w:ascii="Candara" w:eastAsia="Times New Roman" w:hAnsi="Candara" w:cs="Times New Roman"/>
                <w:color w:val="000000"/>
                <w:spacing w:val="-8"/>
                <w:sz w:val="15"/>
                <w:szCs w:val="15"/>
              </w:rPr>
            </w:pPr>
            <w:r w:rsidRPr="00860B39">
              <w:rPr>
                <w:rFonts w:ascii="Candara" w:eastAsia="Times New Roman" w:hAnsi="Candara" w:cs="Times New Roman"/>
                <w:color w:val="000000"/>
                <w:spacing w:val="-8"/>
                <w:sz w:val="15"/>
                <w:szCs w:val="15"/>
              </w:rPr>
              <w:t>Elektrotehnika</w:t>
            </w:r>
            <w:r w:rsidR="00EC206C">
              <w:rPr>
                <w:rFonts w:ascii="Candara" w:eastAsia="Times New Roman" w:hAnsi="Candara" w:cs="Times New Roman"/>
                <w:color w:val="000000"/>
                <w:spacing w:val="-8"/>
                <w:sz w:val="15"/>
                <w:szCs w:val="15"/>
              </w:rPr>
              <w:t>, elektronika, informācijas aprites sistēmu projektēšana;</w:t>
            </w:r>
            <w:r w:rsidRPr="00860B39">
              <w:rPr>
                <w:rFonts w:ascii="Candara" w:eastAsia="Times New Roman" w:hAnsi="Candara" w:cs="Times New Roman"/>
                <w:color w:val="000000"/>
                <w:spacing w:val="-8"/>
                <w:sz w:val="15"/>
                <w:szCs w:val="15"/>
              </w:rPr>
              <w:t xml:space="preserve"> Zemes </w:t>
            </w:r>
            <w:r w:rsidR="00EC206C">
              <w:rPr>
                <w:rFonts w:ascii="Candara" w:eastAsia="Times New Roman" w:hAnsi="Candara" w:cs="Times New Roman"/>
                <w:color w:val="000000"/>
                <w:spacing w:val="-8"/>
                <w:sz w:val="15"/>
                <w:szCs w:val="15"/>
              </w:rPr>
              <w:t>zinātne un ar to saistītās vides zinātnes;</w:t>
            </w:r>
            <w:r w:rsidRPr="00860B39">
              <w:rPr>
                <w:rFonts w:ascii="Candara" w:eastAsia="Times New Roman" w:hAnsi="Candara" w:cs="Times New Roman"/>
                <w:color w:val="000000"/>
                <w:spacing w:val="-8"/>
                <w:sz w:val="15"/>
                <w:szCs w:val="15"/>
              </w:rPr>
              <w:t xml:space="preserve"> Vides </w:t>
            </w:r>
            <w:r w:rsidR="00EC206C">
              <w:rPr>
                <w:rFonts w:ascii="Candara" w:eastAsia="Times New Roman" w:hAnsi="Candara" w:cs="Times New Roman"/>
                <w:color w:val="000000"/>
                <w:spacing w:val="-8"/>
                <w:sz w:val="15"/>
                <w:szCs w:val="15"/>
              </w:rPr>
              <w:t>inženierzinātne;</w:t>
            </w:r>
            <w:r w:rsidRPr="00860B39">
              <w:rPr>
                <w:rFonts w:ascii="Candara" w:eastAsia="Times New Roman" w:hAnsi="Candara" w:cs="Times New Roman"/>
                <w:color w:val="000000"/>
                <w:spacing w:val="-8"/>
                <w:sz w:val="15"/>
                <w:szCs w:val="15"/>
              </w:rPr>
              <w:t xml:space="preserve"> </w:t>
            </w:r>
            <w:r w:rsidR="00EC206C">
              <w:rPr>
                <w:rFonts w:ascii="Candara" w:eastAsia="Times New Roman" w:hAnsi="Candara" w:cs="Times New Roman"/>
                <w:color w:val="000000"/>
                <w:spacing w:val="-8"/>
                <w:sz w:val="15"/>
                <w:szCs w:val="15"/>
              </w:rPr>
              <w:t>Mehāniskā inženierija;</w:t>
            </w:r>
            <w:r w:rsidRPr="00860B39">
              <w:rPr>
                <w:rFonts w:ascii="Candara" w:eastAsia="Times New Roman" w:hAnsi="Candara" w:cs="Times New Roman"/>
                <w:color w:val="000000"/>
                <w:spacing w:val="-8"/>
                <w:sz w:val="15"/>
                <w:szCs w:val="15"/>
              </w:rPr>
              <w:t xml:space="preserve"> Rūpnieciskā biotehnoloģija</w:t>
            </w:r>
            <w:r w:rsidR="00EC206C">
              <w:rPr>
                <w:rFonts w:ascii="Candara" w:eastAsia="Times New Roman" w:hAnsi="Candara" w:cs="Times New Roman"/>
                <w:color w:val="000000"/>
                <w:spacing w:val="-8"/>
                <w:sz w:val="15"/>
                <w:szCs w:val="15"/>
              </w:rPr>
              <w:t>;</w:t>
            </w:r>
            <w:r w:rsidRPr="00860B39" w:rsidR="00EC206C">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Matemātika</w:t>
            </w:r>
            <w:r w:rsidR="00EC206C">
              <w:rPr>
                <w:rFonts w:ascii="Candara" w:eastAsia="Times New Roman" w:hAnsi="Candara" w:cs="Times New Roman"/>
                <w:color w:val="000000"/>
                <w:spacing w:val="-8"/>
                <w:sz w:val="15"/>
                <w:szCs w:val="15"/>
              </w:rPr>
              <w:t>;</w:t>
            </w:r>
            <w:r w:rsidRPr="00860B39" w:rsidR="00EC206C">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Ķīmija</w:t>
            </w:r>
            <w:r w:rsidR="00EC206C">
              <w:rPr>
                <w:rFonts w:ascii="Candara" w:eastAsia="Times New Roman" w:hAnsi="Candara" w:cs="Times New Roman"/>
                <w:color w:val="000000"/>
                <w:spacing w:val="-8"/>
                <w:sz w:val="15"/>
                <w:szCs w:val="15"/>
              </w:rPr>
              <w:t>s zinātnes;</w:t>
            </w:r>
            <w:r w:rsidRPr="00860B39">
              <w:rPr>
                <w:rFonts w:ascii="Candara" w:eastAsia="Times New Roman" w:hAnsi="Candara" w:cs="Times New Roman"/>
                <w:color w:val="000000"/>
                <w:spacing w:val="-8"/>
                <w:sz w:val="15"/>
                <w:szCs w:val="15"/>
              </w:rPr>
              <w:t xml:space="preserve"> Ķīmijas inženierzinātne</w:t>
            </w:r>
            <w:r w:rsidR="00EC206C">
              <w:rPr>
                <w:rFonts w:ascii="Candara" w:eastAsia="Times New Roman" w:hAnsi="Candara" w:cs="Times New Roman"/>
                <w:color w:val="000000"/>
                <w:spacing w:val="-8"/>
                <w:sz w:val="15"/>
                <w:szCs w:val="15"/>
              </w:rPr>
              <w:t>;</w:t>
            </w:r>
            <w:r w:rsidRPr="00860B39">
              <w:rPr>
                <w:rFonts w:ascii="Candara" w:eastAsia="Times New Roman" w:hAnsi="Candara" w:cs="Times New Roman"/>
                <w:color w:val="000000"/>
                <w:spacing w:val="-8"/>
                <w:sz w:val="15"/>
                <w:szCs w:val="15"/>
              </w:rPr>
              <w:t xml:space="preserve"> Materiālzinātne</w:t>
            </w:r>
          </w:p>
        </w:tc>
        <w:tc>
          <w:tcPr>
            <w:tcW w:w="555" w:type="pct"/>
            <w:tcBorders>
              <w:top w:val="nil"/>
              <w:left w:val="nil"/>
              <w:bottom w:val="single" w:sz="4" w:space="0" w:color="auto"/>
              <w:right w:val="single" w:sz="4" w:space="0" w:color="auto"/>
            </w:tcBorders>
            <w:shd w:val="clear" w:color="auto" w:fill="E0DEF0" w:themeFill="accent4" w:themeFillTint="33"/>
            <w:vAlign w:val="center"/>
            <w:hideMark/>
          </w:tcPr>
          <w:p w:rsidR="00AD1483" w:rsidRPr="00860B39" w:rsidP="00EC206C" w14:paraId="734CA300" w14:textId="77777777">
            <w:pPr>
              <w:spacing w:after="240" w:line="240" w:lineRule="auto"/>
              <w:ind w:left="-35" w:right="-81"/>
              <w:jc w:val="center"/>
              <w:rPr>
                <w:rFonts w:ascii="Candara" w:eastAsia="Times New Roman" w:hAnsi="Candara" w:cs="Times New Roman"/>
                <w:color w:val="000000"/>
                <w:spacing w:val="-8"/>
                <w:sz w:val="15"/>
                <w:szCs w:val="15"/>
              </w:rPr>
            </w:pPr>
            <w:r>
              <w:rPr>
                <w:rFonts w:ascii="Candara" w:eastAsia="Times New Roman" w:hAnsi="Candara" w:cs="Times New Roman"/>
                <w:color w:val="000000"/>
                <w:spacing w:val="-8"/>
                <w:sz w:val="15"/>
                <w:szCs w:val="15"/>
              </w:rPr>
              <w:t>Datorzinātnes</w:t>
            </w:r>
            <w:r w:rsidRPr="00860B39">
              <w:rPr>
                <w:rFonts w:ascii="Candara" w:eastAsia="Times New Roman" w:hAnsi="Candara" w:cs="Times New Roman"/>
                <w:color w:val="000000"/>
                <w:spacing w:val="-8"/>
                <w:sz w:val="15"/>
                <w:szCs w:val="15"/>
              </w:rPr>
              <w:t xml:space="preserve"> un</w:t>
            </w:r>
            <w:r w:rsidR="00965C0A">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informātika</w:t>
            </w:r>
            <w:r>
              <w:rPr>
                <w:rFonts w:ascii="Candara" w:eastAsia="Times New Roman" w:hAnsi="Candara" w:cs="Times New Roman"/>
                <w:color w:val="000000"/>
                <w:spacing w:val="-8"/>
                <w:sz w:val="15"/>
                <w:szCs w:val="15"/>
              </w:rPr>
              <w:t>;</w:t>
            </w:r>
            <w:r w:rsidR="00965C0A">
              <w:rPr>
                <w:rFonts w:ascii="Candara" w:eastAsia="Times New Roman" w:hAnsi="Candara" w:cs="Times New Roman"/>
                <w:color w:val="000000"/>
                <w:spacing w:val="-8"/>
                <w:sz w:val="15"/>
                <w:szCs w:val="15"/>
              </w:rPr>
              <w:t xml:space="preserve"> </w:t>
            </w:r>
            <w:r w:rsidRPr="00860B39">
              <w:rPr>
                <w:rFonts w:ascii="Candara" w:eastAsia="Times New Roman" w:hAnsi="Candara" w:cs="Times New Roman"/>
                <w:color w:val="000000"/>
                <w:spacing w:val="-8"/>
                <w:sz w:val="15"/>
                <w:szCs w:val="15"/>
              </w:rPr>
              <w:t>Matemātika, Elektrotehnika,</w:t>
            </w:r>
            <w:r>
              <w:rPr>
                <w:rFonts w:ascii="Candara" w:eastAsia="Times New Roman" w:hAnsi="Candara" w:cs="Times New Roman"/>
                <w:color w:val="000000"/>
                <w:spacing w:val="-8"/>
                <w:sz w:val="15"/>
                <w:szCs w:val="15"/>
              </w:rPr>
              <w:t xml:space="preserve"> elektronika, informācijas aprites sistēmu projektēšana;</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Mehāniskā inženierija;</w:t>
            </w:r>
            <w:r w:rsidRPr="00860B39">
              <w:rPr>
                <w:rFonts w:ascii="Candara" w:eastAsia="Times New Roman" w:hAnsi="Candara" w:cs="Times New Roman"/>
                <w:color w:val="000000"/>
                <w:spacing w:val="-8"/>
                <w:sz w:val="15"/>
                <w:szCs w:val="15"/>
              </w:rPr>
              <w:t xml:space="preserve"> </w:t>
            </w:r>
            <w:r>
              <w:rPr>
                <w:rFonts w:ascii="Candara" w:eastAsia="Times New Roman" w:hAnsi="Candara" w:cs="Times New Roman"/>
                <w:color w:val="000000"/>
                <w:spacing w:val="-8"/>
                <w:sz w:val="15"/>
                <w:szCs w:val="15"/>
              </w:rPr>
              <w:t>Būvniecība</w:t>
            </w:r>
            <w:r w:rsidRPr="00860B39">
              <w:rPr>
                <w:rFonts w:ascii="Candara" w:eastAsia="Times New Roman" w:hAnsi="Candara" w:cs="Times New Roman"/>
                <w:color w:val="000000"/>
                <w:spacing w:val="-8"/>
                <w:sz w:val="15"/>
                <w:szCs w:val="15"/>
              </w:rPr>
              <w:t xml:space="preserve"> </w:t>
            </w:r>
          </w:p>
        </w:tc>
      </w:tr>
      <w:tr w14:paraId="26ED34E7" w14:textId="77777777" w:rsidTr="00083075">
        <w:tblPrEx>
          <w:tblW w:w="5000" w:type="pct"/>
          <w:tblLayout w:type="fixed"/>
          <w:tblLook w:val="04A0"/>
        </w:tblPrEx>
        <w:trPr>
          <w:trHeight w:val="435"/>
        </w:trPr>
        <w:tc>
          <w:tcPr>
            <w:tcW w:w="1391" w:type="pct"/>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rsidR="00AD1483" w:rsidRPr="00860B39" w:rsidP="004C3620" w14:paraId="112067F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noProof/>
                <w:color w:val="000000"/>
                <w:spacing w:val="-4"/>
                <w:sz w:val="15"/>
                <w:szCs w:val="15"/>
                <w:lang w:eastAsia="lv-LV"/>
              </w:rPr>
              <mc:AlternateContent>
                <mc:Choice Requires="wps">
                  <w:drawing>
                    <wp:anchor distT="0" distB="0" distL="114300" distR="114300" simplePos="0" relativeHeight="251699200" behindDoc="0" locked="0" layoutInCell="1" allowOverlap="1">
                      <wp:simplePos x="0" y="0"/>
                      <wp:positionH relativeFrom="column">
                        <wp:posOffset>542925</wp:posOffset>
                      </wp:positionH>
                      <wp:positionV relativeFrom="paragraph">
                        <wp:posOffset>27940</wp:posOffset>
                      </wp:positionV>
                      <wp:extent cx="1067435" cy="353695"/>
                      <wp:effectExtent l="0" t="0" r="0" b="8890"/>
                      <wp:wrapNone/>
                      <wp:docPr id="22" name="Text Box 1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67435" cy="353695"/>
                              </a:xfrm>
                              <a:prstGeom prst="rect">
                                <a:avLst/>
                              </a:prstGeom>
                              <a:noFill/>
                              <a:ln>
                                <a:noFill/>
                              </a:ln>
                            </wps:spPr>
                            <wps:txbx>
                              <w:txbxContent>
                                <w:p w:rsidR="00B55C40" w:rsidRPr="00AD1483" w:rsidP="00AD1483" w14:textId="77777777">
                                  <w:pPr>
                                    <w:spacing w:after="0" w:line="240" w:lineRule="auto"/>
                                    <w:jc w:val="right"/>
                                    <w:rPr>
                                      <w:rFonts w:ascii="Candara" w:hAnsi="Candara"/>
                                      <w:sz w:val="16"/>
                                      <w:szCs w:val="18"/>
                                    </w:rPr>
                                  </w:pPr>
                                  <w:r w:rsidRPr="00AD1483">
                                    <w:rPr>
                                      <w:rFonts w:ascii="Candara" w:hAnsi="Candara"/>
                                      <w:sz w:val="16"/>
                                      <w:szCs w:val="18"/>
                                    </w:rPr>
                                    <w:t>RIS3 specializācijas jomas</w:t>
                                  </w:r>
                                </w:p>
                                <w:p w:rsidR="00B55C40" w:rsidRPr="00AD1483" w:rsidP="00AD1483" w14:textId="77777777">
                                  <w:pPr>
                                    <w:spacing w:after="0" w:line="240" w:lineRule="auto"/>
                                    <w:jc w:val="right"/>
                                    <w:rPr>
                                      <w:rFonts w:ascii="Candara" w:hAnsi="Candara"/>
                                      <w:sz w:val="14"/>
                                      <w:szCs w:val="18"/>
                                    </w:rPr>
                                  </w:pPr>
                                </w:p>
                              </w:txbxContent>
                            </wps:txbx>
                            <wps:bodyPr rot="0" vert="horz" wrap="square"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08" o:spid="_x0000_s1103" type="#_x0000_t202" style="width:84.05pt;height:27.85pt;margin-top:2.2pt;margin-left:42.75pt;mso-height-percent:0;mso-height-relative:margin;mso-width-percent:0;mso-width-relative:margin;mso-wrap-distance-bottom:0;mso-wrap-distance-left:9pt;mso-wrap-distance-right:9pt;mso-wrap-distance-top:0;mso-wrap-style:square;position:absolute;visibility:visible;v-text-anchor:top;z-index:251700224" filled="f" stroked="f">
                      <v:textbox style="mso-fit-shape-to-text:t">
                        <w:txbxContent>
                          <w:p w:rsidR="00B55C40" w:rsidRPr="00AD1483" w:rsidP="00AD1483" w14:paraId="2F35AEE9" w14:textId="77777777">
                            <w:pPr>
                              <w:spacing w:after="0" w:line="240" w:lineRule="auto"/>
                              <w:jc w:val="right"/>
                              <w:rPr>
                                <w:rFonts w:ascii="Candara" w:hAnsi="Candara"/>
                                <w:sz w:val="16"/>
                                <w:szCs w:val="18"/>
                              </w:rPr>
                            </w:pPr>
                            <w:r w:rsidRPr="00AD1483">
                              <w:rPr>
                                <w:rFonts w:ascii="Candara" w:hAnsi="Candara"/>
                                <w:sz w:val="16"/>
                                <w:szCs w:val="18"/>
                              </w:rPr>
                              <w:t>RIS3 specializācijas jomas</w:t>
                            </w:r>
                          </w:p>
                          <w:p w:rsidR="00B55C40" w:rsidRPr="00AD1483" w:rsidP="00AD1483" w14:paraId="3983F2EB" w14:textId="77777777">
                            <w:pPr>
                              <w:spacing w:after="0" w:line="240" w:lineRule="auto"/>
                              <w:jc w:val="right"/>
                              <w:rPr>
                                <w:rFonts w:ascii="Candara" w:hAnsi="Candara"/>
                                <w:sz w:val="14"/>
                                <w:szCs w:val="18"/>
                              </w:rPr>
                            </w:pPr>
                          </w:p>
                        </w:txbxContent>
                      </v:textbox>
                    </v:shape>
                  </w:pict>
                </mc:Fallback>
              </mc:AlternateContent>
            </w:r>
          </w:p>
          <w:p w:rsidR="00AD1483" w:rsidRPr="00860B39" w:rsidP="004C3620" w14:paraId="2340BF3A" w14:textId="77777777">
            <w:pPr>
              <w:spacing w:after="0" w:line="240" w:lineRule="auto"/>
              <w:rPr>
                <w:rFonts w:ascii="Candara" w:eastAsia="Times New Roman" w:hAnsi="Candara" w:cs="Times New Roman"/>
                <w:color w:val="000000"/>
                <w:spacing w:val="-4"/>
                <w:sz w:val="15"/>
                <w:szCs w:val="15"/>
              </w:rPr>
            </w:pPr>
          </w:p>
          <w:p w:rsidR="00AD1483" w:rsidRPr="00860B39" w:rsidP="004C3620" w14:paraId="05F4E7C5"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xml:space="preserve">Tautsaimniecības </w:t>
            </w:r>
          </w:p>
          <w:p w:rsidR="00AD1483" w:rsidRPr="00860B39" w:rsidP="00AD1483" w14:paraId="1F6C1FEC" w14:textId="77777777">
            <w:pPr>
              <w:spacing w:after="0" w:line="240" w:lineRule="auto"/>
              <w:rPr>
                <w:rFonts w:ascii="Candara" w:eastAsia="Times New Roman" w:hAnsi="Candara" w:cs="Times New Roman"/>
                <w:b/>
                <w:bCs/>
                <w:color w:val="000000"/>
                <w:spacing w:val="-4"/>
                <w:sz w:val="15"/>
                <w:szCs w:val="15"/>
                <w:u w:val="single"/>
              </w:rPr>
            </w:pPr>
            <w:r w:rsidRPr="00860B39">
              <w:rPr>
                <w:rFonts w:ascii="Candara" w:eastAsia="Times New Roman" w:hAnsi="Candara" w:cs="Times New Roman"/>
                <w:color w:val="000000"/>
                <w:spacing w:val="-4"/>
                <w:sz w:val="15"/>
                <w:szCs w:val="15"/>
              </w:rPr>
              <w:t>nozares </w:t>
            </w:r>
          </w:p>
        </w:tc>
        <w:tc>
          <w:tcPr>
            <w:tcW w:w="96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D1483" w:rsidRPr="00860B39" w:rsidP="004C3620" w14:paraId="121172C9" w14:textId="77777777">
            <w:pPr>
              <w:spacing w:after="0" w:line="240" w:lineRule="auto"/>
              <w:jc w:val="center"/>
              <w:rPr>
                <w:rFonts w:ascii="Candara" w:eastAsia="Times New Roman" w:hAnsi="Candara" w:cs="Times New Roman"/>
                <w:b/>
                <w:bCs/>
                <w:color w:val="000000"/>
                <w:spacing w:val="-4"/>
                <w:sz w:val="15"/>
                <w:szCs w:val="15"/>
              </w:rPr>
            </w:pPr>
            <w:r w:rsidRPr="00860B39">
              <w:rPr>
                <w:rFonts w:ascii="Candara" w:eastAsia="Times New Roman" w:hAnsi="Candara" w:cs="Times New Roman"/>
                <w:b/>
                <w:bCs/>
                <w:color w:val="000000"/>
                <w:spacing w:val="-4"/>
                <w:sz w:val="15"/>
                <w:szCs w:val="15"/>
              </w:rPr>
              <w:t>Zināšanu ietilpīga bioekonomika</w:t>
            </w:r>
          </w:p>
        </w:tc>
        <w:tc>
          <w:tcPr>
            <w:tcW w:w="64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D1483" w:rsidRPr="00860B39" w:rsidP="004C3620" w14:paraId="426D3886" w14:textId="77777777">
            <w:pPr>
              <w:spacing w:after="0" w:line="240" w:lineRule="auto"/>
              <w:jc w:val="center"/>
              <w:rPr>
                <w:rFonts w:ascii="Candara" w:eastAsia="Times New Roman" w:hAnsi="Candara" w:cs="Times New Roman"/>
                <w:b/>
                <w:bCs/>
                <w:color w:val="000000"/>
                <w:spacing w:val="-4"/>
                <w:sz w:val="15"/>
                <w:szCs w:val="15"/>
              </w:rPr>
            </w:pPr>
            <w:r w:rsidRPr="00860B39">
              <w:rPr>
                <w:rFonts w:ascii="Candara" w:eastAsia="Times New Roman" w:hAnsi="Candara" w:cs="Times New Roman"/>
                <w:b/>
                <w:bCs/>
                <w:color w:val="000000"/>
                <w:spacing w:val="-4"/>
                <w:sz w:val="15"/>
                <w:szCs w:val="15"/>
              </w:rPr>
              <w:t>Biomedicīna, med. tehnol., biofarm. un biotehn.</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D1483" w:rsidRPr="00860B39" w:rsidP="004C3620" w14:paraId="731E4CA9" w14:textId="77777777">
            <w:pPr>
              <w:spacing w:after="0" w:line="240" w:lineRule="auto"/>
              <w:jc w:val="center"/>
              <w:rPr>
                <w:rFonts w:ascii="Candara" w:eastAsia="Times New Roman" w:hAnsi="Candara" w:cs="Times New Roman"/>
                <w:b/>
                <w:bCs/>
                <w:color w:val="000000"/>
                <w:spacing w:val="-4"/>
                <w:sz w:val="15"/>
                <w:szCs w:val="15"/>
              </w:rPr>
            </w:pPr>
            <w:r w:rsidRPr="00860B39">
              <w:rPr>
                <w:rFonts w:ascii="Candara" w:eastAsia="Times New Roman" w:hAnsi="Candara" w:cs="Times New Roman"/>
                <w:b/>
                <w:bCs/>
                <w:color w:val="000000"/>
                <w:spacing w:val="-4"/>
                <w:sz w:val="15"/>
                <w:szCs w:val="15"/>
              </w:rPr>
              <w:t>Viedie materiāli, tehnol. un inženiersistēmas</w:t>
            </w:r>
          </w:p>
        </w:tc>
        <w:tc>
          <w:tcPr>
            <w:tcW w:w="64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D1483" w:rsidRPr="00860B39" w:rsidP="004C3620" w14:paraId="6C6FE362" w14:textId="77777777">
            <w:pPr>
              <w:spacing w:after="0" w:line="240" w:lineRule="auto"/>
              <w:jc w:val="center"/>
              <w:rPr>
                <w:rFonts w:ascii="Candara" w:eastAsia="Times New Roman" w:hAnsi="Candara" w:cs="Times New Roman"/>
                <w:b/>
                <w:bCs/>
                <w:color w:val="000000"/>
                <w:spacing w:val="-4"/>
                <w:sz w:val="15"/>
                <w:szCs w:val="15"/>
              </w:rPr>
            </w:pPr>
            <w:r w:rsidRPr="00860B39">
              <w:rPr>
                <w:rFonts w:ascii="Candara" w:eastAsia="Times New Roman" w:hAnsi="Candara" w:cs="Times New Roman"/>
                <w:b/>
                <w:bCs/>
                <w:color w:val="000000"/>
                <w:spacing w:val="-4"/>
                <w:sz w:val="15"/>
                <w:szCs w:val="15"/>
              </w:rPr>
              <w:t>Viedā enerģētika</w:t>
            </w:r>
          </w:p>
        </w:tc>
        <w:tc>
          <w:tcPr>
            <w:tcW w:w="55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D1483" w:rsidRPr="00860B39" w:rsidP="004C3620" w14:paraId="1B730756" w14:textId="77777777">
            <w:pPr>
              <w:spacing w:after="0" w:line="240" w:lineRule="auto"/>
              <w:jc w:val="center"/>
              <w:rPr>
                <w:rFonts w:ascii="Candara" w:eastAsia="Times New Roman" w:hAnsi="Candara" w:cs="Times New Roman"/>
                <w:b/>
                <w:bCs/>
                <w:color w:val="000000"/>
                <w:spacing w:val="-4"/>
                <w:sz w:val="15"/>
                <w:szCs w:val="15"/>
              </w:rPr>
            </w:pPr>
            <w:r w:rsidRPr="00860B39">
              <w:rPr>
                <w:rFonts w:ascii="Candara" w:eastAsia="Times New Roman" w:hAnsi="Candara" w:cs="Times New Roman"/>
                <w:b/>
                <w:bCs/>
                <w:color w:val="000000"/>
                <w:spacing w:val="-4"/>
                <w:sz w:val="15"/>
                <w:szCs w:val="15"/>
              </w:rPr>
              <w:t>IKT</w:t>
            </w:r>
          </w:p>
        </w:tc>
      </w:tr>
      <w:tr w14:paraId="2A8536AB" w14:textId="77777777" w:rsidTr="00AD4B1C">
        <w:tblPrEx>
          <w:tblW w:w="5000" w:type="pct"/>
          <w:tblLayout w:type="fixed"/>
          <w:tblLook w:val="04A0"/>
        </w:tblPrEx>
        <w:trPr>
          <w:trHeight w:val="90"/>
        </w:trPr>
        <w:tc>
          <w:tcPr>
            <w:tcW w:w="220" w:type="pct"/>
            <w:tcBorders>
              <w:top w:val="single" w:sz="4" w:space="0" w:color="auto"/>
              <w:left w:val="single" w:sz="8" w:space="0" w:color="75923C"/>
              <w:bottom w:val="single" w:sz="8" w:space="0" w:color="75923C"/>
              <w:right w:val="single" w:sz="8" w:space="0" w:color="75923C"/>
            </w:tcBorders>
            <w:shd w:val="clear" w:color="auto" w:fill="auto"/>
            <w:noWrap/>
            <w:vAlign w:val="center"/>
            <w:hideMark/>
          </w:tcPr>
          <w:p w:rsidR="00AD1483" w:rsidRPr="00860B39" w:rsidP="004C3620" w14:paraId="75134068"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A</w:t>
            </w:r>
          </w:p>
        </w:tc>
        <w:tc>
          <w:tcPr>
            <w:tcW w:w="1171" w:type="pct"/>
            <w:tcBorders>
              <w:top w:val="single" w:sz="4" w:space="0" w:color="auto"/>
              <w:left w:val="nil"/>
              <w:bottom w:val="single" w:sz="8" w:space="0" w:color="75923C"/>
              <w:right w:val="single" w:sz="8" w:space="0" w:color="75923C"/>
            </w:tcBorders>
            <w:shd w:val="clear" w:color="auto" w:fill="auto"/>
            <w:vAlign w:val="center"/>
            <w:hideMark/>
          </w:tcPr>
          <w:p w:rsidR="00AD1483" w:rsidRPr="00860B39" w:rsidP="004C3620" w14:paraId="7E9AC25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Lauksaimniecība, mežsaimniecība</w:t>
            </w:r>
          </w:p>
        </w:tc>
        <w:tc>
          <w:tcPr>
            <w:tcW w:w="967" w:type="pct"/>
            <w:vMerge w:val="restart"/>
            <w:tcBorders>
              <w:top w:val="single" w:sz="4" w:space="0" w:color="auto"/>
              <w:left w:val="single" w:sz="8" w:space="0" w:color="75923C"/>
              <w:bottom w:val="single" w:sz="8" w:space="0" w:color="75923C"/>
              <w:right w:val="single" w:sz="8" w:space="0" w:color="75923C"/>
            </w:tcBorders>
            <w:shd w:val="clear" w:color="auto" w:fill="2957BD" w:themeFill="accent6" w:themeFillShade="BF"/>
            <w:noWrap/>
            <w:vAlign w:val="center"/>
            <w:hideMark/>
          </w:tcPr>
          <w:p w:rsidR="00AD1483" w:rsidRPr="00860B39" w:rsidP="004C3620" w14:paraId="121ED82E" w14:textId="77777777">
            <w:pPr>
              <w:spacing w:after="0" w:line="240" w:lineRule="auto"/>
              <w:rPr>
                <w:rFonts w:ascii="Candara" w:eastAsia="Times New Roman" w:hAnsi="Candara" w:cs="Times New Roman"/>
                <w:color w:val="000000"/>
                <w:spacing w:val="-4"/>
                <w:sz w:val="15"/>
                <w:szCs w:val="15"/>
              </w:rPr>
            </w:pPr>
            <w:r>
              <w:rPr>
                <w:rFonts w:ascii="Candara" w:eastAsia="Times New Roman" w:hAnsi="Candara" w:cs="Times New Roman"/>
                <w:color w:val="000000"/>
                <w:spacing w:val="-4"/>
                <w:sz w:val="15"/>
                <w:szCs w:val="15"/>
              </w:rPr>
              <w:t xml:space="preserve"> </w:t>
            </w:r>
          </w:p>
        </w:tc>
        <w:tc>
          <w:tcPr>
            <w:tcW w:w="647" w:type="pct"/>
            <w:tcBorders>
              <w:top w:val="single" w:sz="4" w:space="0" w:color="auto"/>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44581C53"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single" w:sz="4" w:space="0" w:color="auto"/>
              <w:left w:val="nil"/>
              <w:bottom w:val="single" w:sz="8" w:space="0" w:color="75923C"/>
              <w:right w:val="single" w:sz="4" w:space="0" w:color="808080" w:themeColor="background1" w:themeShade="80"/>
            </w:tcBorders>
            <w:shd w:val="clear" w:color="auto" w:fill="DDE6F7" w:themeFill="accent6" w:themeFillTint="33"/>
            <w:noWrap/>
            <w:vAlign w:val="center"/>
            <w:hideMark/>
          </w:tcPr>
          <w:p w:rsidR="00AD1483" w:rsidRPr="00860B39" w:rsidP="004C3620" w14:paraId="03437E2A"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single" w:sz="4" w:space="0" w:color="auto"/>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4F4BB4D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single" w:sz="4" w:space="0" w:color="auto"/>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2665CD6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42F74E94"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auto" w:fill="auto"/>
            <w:noWrap/>
            <w:vAlign w:val="center"/>
            <w:hideMark/>
          </w:tcPr>
          <w:p w:rsidR="00AD1483" w:rsidRPr="00860B39" w:rsidP="004C3620" w14:paraId="538F0095"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BDE</w:t>
            </w:r>
          </w:p>
        </w:tc>
        <w:tc>
          <w:tcPr>
            <w:tcW w:w="1171"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3016326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Pārējā rūpniecība</w:t>
            </w:r>
          </w:p>
        </w:tc>
        <w:tc>
          <w:tcPr>
            <w:tcW w:w="967" w:type="pct"/>
            <w:vMerge/>
            <w:tcBorders>
              <w:top w:val="nil"/>
              <w:left w:val="single" w:sz="8" w:space="0" w:color="75923C"/>
              <w:bottom w:val="single" w:sz="8" w:space="0" w:color="75923C"/>
              <w:right w:val="single" w:sz="8" w:space="0" w:color="75923C"/>
            </w:tcBorders>
            <w:vAlign w:val="center"/>
            <w:hideMark/>
          </w:tcPr>
          <w:p w:rsidR="00AD1483" w:rsidRPr="00860B39" w:rsidP="004C3620" w14:paraId="5E97ED22" w14:textId="77777777">
            <w:pPr>
              <w:spacing w:after="0" w:line="240" w:lineRule="auto"/>
              <w:rPr>
                <w:rFonts w:ascii="Candara" w:eastAsia="Times New Roman" w:hAnsi="Candara" w:cs="Times New Roman"/>
                <w:color w:val="000000"/>
                <w:spacing w:val="-4"/>
                <w:sz w:val="15"/>
                <w:szCs w:val="15"/>
              </w:rPr>
            </w:pP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05712425"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auto"/>
            <w:noWrap/>
            <w:vAlign w:val="center"/>
            <w:hideMark/>
          </w:tcPr>
          <w:p w:rsidR="00AD1483" w:rsidRPr="00860B39" w:rsidP="004C3620" w14:paraId="60845D68"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2957BD" w:themeFill="accent6" w:themeFillShade="BF"/>
            <w:noWrap/>
            <w:vAlign w:val="center"/>
            <w:hideMark/>
          </w:tcPr>
          <w:p w:rsidR="00AD1483" w:rsidRPr="00860B39" w:rsidP="004C3620" w14:paraId="510040F0"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11C80F15"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122508BC"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248E5537"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noWrap/>
            <w:vAlign w:val="center"/>
            <w:hideMark/>
          </w:tcPr>
          <w:p w:rsidR="00AD1483" w:rsidRPr="00860B39" w:rsidP="004C3620" w14:paraId="0367E378"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Pārtikas rūpniecība</w:t>
            </w:r>
          </w:p>
        </w:tc>
        <w:tc>
          <w:tcPr>
            <w:tcW w:w="967" w:type="pct"/>
            <w:vMerge/>
            <w:tcBorders>
              <w:top w:val="nil"/>
              <w:left w:val="single" w:sz="8" w:space="0" w:color="75923C"/>
              <w:bottom w:val="single" w:sz="8" w:space="0" w:color="75923C"/>
              <w:right w:val="single" w:sz="8" w:space="0" w:color="75923C"/>
            </w:tcBorders>
            <w:vAlign w:val="center"/>
            <w:hideMark/>
          </w:tcPr>
          <w:p w:rsidR="00AD1483" w:rsidRPr="00860B39" w:rsidP="004C3620" w14:paraId="438E26D2" w14:textId="77777777">
            <w:pPr>
              <w:spacing w:after="0" w:line="240" w:lineRule="auto"/>
              <w:rPr>
                <w:rFonts w:ascii="Candara" w:eastAsia="Times New Roman" w:hAnsi="Candara" w:cs="Times New Roman"/>
                <w:color w:val="000000"/>
                <w:spacing w:val="-4"/>
                <w:sz w:val="15"/>
                <w:szCs w:val="15"/>
              </w:rPr>
            </w:pPr>
          </w:p>
        </w:tc>
        <w:tc>
          <w:tcPr>
            <w:tcW w:w="64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3F7410EB"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auto"/>
            <w:noWrap/>
            <w:vAlign w:val="center"/>
            <w:hideMark/>
          </w:tcPr>
          <w:p w:rsidR="00AD1483" w:rsidRPr="00860B39" w:rsidP="004C3620" w14:paraId="62B9DDE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0F832BFC"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363B0B16"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177313B3"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31CCE18D"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noWrap/>
            <w:vAlign w:val="center"/>
            <w:hideMark/>
          </w:tcPr>
          <w:p w:rsidR="00AD1483" w:rsidRPr="00860B39" w:rsidP="004C3620" w14:paraId="1BF59C1E"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Vieglā rūpniecība</w:t>
            </w:r>
          </w:p>
        </w:tc>
        <w:tc>
          <w:tcPr>
            <w:tcW w:w="96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3872DFB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29FD9838"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DDE6F7" w:themeFill="accent6" w:themeFillTint="33"/>
            <w:noWrap/>
            <w:vAlign w:val="center"/>
            <w:hideMark/>
          </w:tcPr>
          <w:p w:rsidR="00AD1483" w:rsidRPr="00860B39" w:rsidP="004C3620" w14:paraId="00C5784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32A43720"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60E39FB7"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6FEE49F7"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34C77E83"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noWrap/>
            <w:vAlign w:val="center"/>
            <w:hideMark/>
          </w:tcPr>
          <w:p w:rsidR="00AD1483" w:rsidRPr="00860B39" w:rsidP="004C3620" w14:paraId="644D422D"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Kokapstrāde</w:t>
            </w:r>
          </w:p>
        </w:tc>
        <w:tc>
          <w:tcPr>
            <w:tcW w:w="967" w:type="pct"/>
            <w:tcBorders>
              <w:top w:val="nil"/>
              <w:left w:val="nil"/>
              <w:bottom w:val="single" w:sz="8" w:space="0" w:color="75923C"/>
              <w:right w:val="single" w:sz="8" w:space="0" w:color="75923C"/>
            </w:tcBorders>
            <w:shd w:val="clear" w:color="auto" w:fill="2957BD" w:themeFill="accent6" w:themeFillShade="BF"/>
            <w:noWrap/>
            <w:vAlign w:val="bottom"/>
            <w:hideMark/>
          </w:tcPr>
          <w:p w:rsidR="00AD1483" w:rsidRPr="00860B39" w:rsidP="004C3620" w14:paraId="02F0A958"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659D4525"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5982DB" w:themeFill="accent6"/>
            <w:noWrap/>
            <w:vAlign w:val="center"/>
            <w:hideMark/>
          </w:tcPr>
          <w:p w:rsidR="00AD1483" w:rsidRPr="00860B39" w:rsidP="004C3620" w14:paraId="5D7294C7"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0FC27C33"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3323653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686348EC"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23986CE9"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vAlign w:val="center"/>
            <w:hideMark/>
          </w:tcPr>
          <w:p w:rsidR="00AD1483" w:rsidRPr="00860B39" w:rsidP="004C3620" w14:paraId="2996FAF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Papīra ražošana un poligrāfija</w:t>
            </w:r>
          </w:p>
        </w:tc>
        <w:tc>
          <w:tcPr>
            <w:tcW w:w="967"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2025B04B"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60E8DE53"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auto"/>
            <w:noWrap/>
            <w:vAlign w:val="center"/>
            <w:hideMark/>
          </w:tcPr>
          <w:p w:rsidR="00AD1483" w:rsidRPr="00860B39" w:rsidP="004C3620" w14:paraId="60A5EF0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58CF56A0"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253B20BA"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44A21BF0"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43F17F45"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noWrap/>
            <w:vAlign w:val="center"/>
            <w:hideMark/>
          </w:tcPr>
          <w:p w:rsidR="00AD1483" w:rsidRPr="00860B39" w:rsidP="004C3620" w14:paraId="22AC455F"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Ķīmiskā rūpniecība</w:t>
            </w:r>
          </w:p>
        </w:tc>
        <w:tc>
          <w:tcPr>
            <w:tcW w:w="96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45EE160B"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59D0773D" w14:textId="77777777">
            <w:pPr>
              <w:spacing w:after="0" w:line="240" w:lineRule="auto"/>
              <w:rPr>
                <w:rFonts w:ascii="Candara" w:eastAsia="Times New Roman" w:hAnsi="Candara" w:cs="Times New Roman"/>
                <w:color w:val="000000"/>
                <w:spacing w:val="-4"/>
                <w:sz w:val="15"/>
                <w:szCs w:val="15"/>
              </w:rPr>
            </w:pPr>
            <w:r>
              <w:rPr>
                <w:rFonts w:ascii="Candara" w:eastAsia="Times New Roman" w:hAnsi="Candara" w:cs="Times New Roman"/>
                <w:color w:val="000000"/>
                <w:spacing w:val="-4"/>
                <w:sz w:val="15"/>
                <w:szCs w:val="15"/>
              </w:rPr>
              <w:t xml:space="preserve"> </w:t>
            </w:r>
          </w:p>
        </w:tc>
        <w:tc>
          <w:tcPr>
            <w:tcW w:w="792" w:type="pct"/>
            <w:tcBorders>
              <w:top w:val="nil"/>
              <w:left w:val="nil"/>
              <w:bottom w:val="single" w:sz="8" w:space="0" w:color="75923C"/>
              <w:right w:val="single" w:sz="4" w:space="0" w:color="808080" w:themeColor="background1" w:themeShade="80"/>
            </w:tcBorders>
            <w:shd w:val="clear" w:color="auto" w:fill="2957BD" w:themeFill="accent6" w:themeFillShade="BF"/>
            <w:noWrap/>
            <w:vAlign w:val="center"/>
            <w:hideMark/>
          </w:tcPr>
          <w:p w:rsidR="00AD1483" w:rsidRPr="00860B39" w:rsidP="004C3620" w14:paraId="2D7B57CC"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6FE3F18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16B54EF0"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40FF6DB1"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1A169C5C"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vAlign w:val="center"/>
            <w:hideMark/>
          </w:tcPr>
          <w:p w:rsidR="00AD1483" w:rsidRPr="00860B39" w:rsidP="004C3620" w14:paraId="7079248D"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Nemetālisko minerālu ražošana</w:t>
            </w:r>
          </w:p>
        </w:tc>
        <w:tc>
          <w:tcPr>
            <w:tcW w:w="96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727C18BA"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1DCD79CE"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2957BD" w:themeFill="accent6" w:themeFillShade="BF"/>
            <w:noWrap/>
            <w:vAlign w:val="center"/>
            <w:hideMark/>
          </w:tcPr>
          <w:p w:rsidR="00AD1483" w:rsidRPr="00860B39" w:rsidP="004C3620" w14:paraId="6EC68C67"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2957BD" w:themeFill="accent6" w:themeFillShade="BF"/>
            <w:noWrap/>
            <w:vAlign w:val="center"/>
            <w:hideMark/>
          </w:tcPr>
          <w:p w:rsidR="00AD1483" w:rsidRPr="00860B39" w:rsidP="004C3620" w14:paraId="520550F0" w14:textId="77777777">
            <w:pPr>
              <w:spacing w:after="0" w:line="240" w:lineRule="auto"/>
              <w:rPr>
                <w:rFonts w:ascii="Candara" w:eastAsia="Times New Roman" w:hAnsi="Candara" w:cs="Times New Roman"/>
                <w:color w:val="000000"/>
                <w:spacing w:val="-4"/>
                <w:sz w:val="15"/>
                <w:szCs w:val="15"/>
              </w:rPr>
            </w:pPr>
            <w:r>
              <w:rPr>
                <w:rFonts w:ascii="Candara" w:eastAsia="Times New Roman" w:hAnsi="Candara" w:cs="Times New Roman"/>
                <w:color w:val="000000"/>
                <w:spacing w:val="-4"/>
                <w:sz w:val="15"/>
                <w:szCs w:val="15"/>
              </w:rPr>
              <w:t xml:space="preserve">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30FEFB67"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3DF48470"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221FFFE3"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noWrap/>
            <w:vAlign w:val="center"/>
            <w:hideMark/>
          </w:tcPr>
          <w:p w:rsidR="00AD1483" w:rsidRPr="00860B39" w:rsidP="004C3620" w14:paraId="40A8601C"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Metālapstrāde</w:t>
            </w:r>
          </w:p>
        </w:tc>
        <w:tc>
          <w:tcPr>
            <w:tcW w:w="967"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167BF84D"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2CF16B8E"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2957BD" w:themeFill="accent6" w:themeFillShade="BF"/>
            <w:noWrap/>
            <w:vAlign w:val="center"/>
            <w:hideMark/>
          </w:tcPr>
          <w:p w:rsidR="00AD1483" w:rsidRPr="00860B39" w:rsidP="004C3620" w14:paraId="44B7E84C"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2957BD" w:themeFill="accent6" w:themeFillShade="BF"/>
            <w:noWrap/>
            <w:vAlign w:val="center"/>
            <w:hideMark/>
          </w:tcPr>
          <w:p w:rsidR="00AD1483" w:rsidRPr="00860B39" w:rsidP="004C3620" w14:paraId="5E5790E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605F2AA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75B19031"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68899DDE"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vAlign w:val="center"/>
            <w:hideMark/>
          </w:tcPr>
          <w:p w:rsidR="00AD1483" w:rsidRPr="00860B39" w:rsidP="004C3620" w14:paraId="027A3E0C"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Elektrisko un optisko iekārtu ražošana</w:t>
            </w:r>
          </w:p>
        </w:tc>
        <w:tc>
          <w:tcPr>
            <w:tcW w:w="96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26AAF128"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06F2581D"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2957BD" w:themeFill="accent6" w:themeFillShade="BF"/>
            <w:noWrap/>
            <w:vAlign w:val="center"/>
            <w:hideMark/>
          </w:tcPr>
          <w:p w:rsidR="00AD1483" w:rsidRPr="00860B39" w:rsidP="004C3620" w14:paraId="1A2B0D1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00A1891E"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2957BD" w:themeFill="accent6" w:themeFillShade="BF"/>
            <w:noWrap/>
            <w:vAlign w:val="bottom"/>
            <w:hideMark/>
          </w:tcPr>
          <w:p w:rsidR="00AD1483" w:rsidRPr="00860B39" w:rsidP="004C3620" w14:paraId="5015F700"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01041970"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37F5A143"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vAlign w:val="center"/>
            <w:hideMark/>
          </w:tcPr>
          <w:p w:rsidR="00AD1483" w:rsidRPr="00860B39" w:rsidP="004C3620" w14:paraId="65384BBF"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Mašīnu un iekārtu ražošana</w:t>
            </w:r>
          </w:p>
        </w:tc>
        <w:tc>
          <w:tcPr>
            <w:tcW w:w="96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3BBED85F"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237F8343"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2957BD" w:themeFill="accent6" w:themeFillShade="BF"/>
            <w:noWrap/>
            <w:vAlign w:val="center"/>
            <w:hideMark/>
          </w:tcPr>
          <w:p w:rsidR="00AD1483" w:rsidRPr="00860B39" w:rsidP="004C3620" w14:paraId="6DDB778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2957BD" w:themeFill="accent6" w:themeFillShade="BF"/>
            <w:noWrap/>
            <w:vAlign w:val="center"/>
            <w:hideMark/>
          </w:tcPr>
          <w:p w:rsidR="00AD1483" w:rsidRPr="00860B39" w:rsidP="004C3620" w14:paraId="17848BB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52F0F56C"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24FC1ACB"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000000" w:fill="EEECE1"/>
            <w:noWrap/>
            <w:vAlign w:val="center"/>
            <w:hideMark/>
          </w:tcPr>
          <w:p w:rsidR="00AD1483" w:rsidRPr="00860B39" w:rsidP="004C3620" w14:paraId="15509211" w14:textId="77777777">
            <w:pPr>
              <w:spacing w:after="0" w:line="240" w:lineRule="auto"/>
              <w:rPr>
                <w:rFonts w:ascii="Candara" w:eastAsia="Times New Roman" w:hAnsi="Candara" w:cs="Times New Roman"/>
                <w:color w:val="000000"/>
                <w:spacing w:val="-4"/>
                <w:sz w:val="11"/>
                <w:szCs w:val="15"/>
              </w:rPr>
            </w:pPr>
            <w:r w:rsidRPr="00860B39">
              <w:rPr>
                <w:rFonts w:ascii="Candara" w:eastAsia="Times New Roman" w:hAnsi="Candara" w:cs="Times New Roman"/>
                <w:color w:val="000000"/>
                <w:spacing w:val="-4"/>
                <w:sz w:val="11"/>
                <w:szCs w:val="15"/>
              </w:rPr>
              <w:t> C</w:t>
            </w:r>
          </w:p>
        </w:tc>
        <w:tc>
          <w:tcPr>
            <w:tcW w:w="1171" w:type="pct"/>
            <w:tcBorders>
              <w:top w:val="nil"/>
              <w:left w:val="nil"/>
              <w:bottom w:val="single" w:sz="8" w:space="0" w:color="75923C"/>
              <w:right w:val="single" w:sz="8" w:space="0" w:color="75923C"/>
            </w:tcBorders>
            <w:shd w:val="clear" w:color="000000" w:fill="EEECE1"/>
            <w:vAlign w:val="center"/>
            <w:hideMark/>
          </w:tcPr>
          <w:p w:rsidR="00AD1483" w:rsidRPr="00860B39" w:rsidP="004C3620" w14:paraId="4F00486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Transportlīdzekļu ražošana</w:t>
            </w:r>
          </w:p>
        </w:tc>
        <w:tc>
          <w:tcPr>
            <w:tcW w:w="96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58E58B0A"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7913E00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2957BD" w:themeFill="accent6" w:themeFillShade="BF"/>
            <w:noWrap/>
            <w:vAlign w:val="center"/>
            <w:hideMark/>
          </w:tcPr>
          <w:p w:rsidR="00AD1483" w:rsidRPr="00860B39" w:rsidP="004C3620" w14:paraId="0A86BE92"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2957BD" w:themeFill="accent6" w:themeFillShade="BF"/>
            <w:noWrap/>
            <w:vAlign w:val="center"/>
            <w:hideMark/>
          </w:tcPr>
          <w:p w:rsidR="00AD1483" w:rsidRPr="00860B39" w:rsidP="004C3620" w14:paraId="6E499FE8"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1988825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1A5D357F"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auto" w:fill="auto"/>
            <w:noWrap/>
            <w:vAlign w:val="center"/>
            <w:hideMark/>
          </w:tcPr>
          <w:p w:rsidR="00AD1483" w:rsidRPr="00860B39" w:rsidP="004C3620" w14:paraId="769CAE84" w14:textId="77777777">
            <w:pPr>
              <w:spacing w:after="0" w:line="240" w:lineRule="auto"/>
              <w:rPr>
                <w:rFonts w:ascii="Candara" w:eastAsia="Times New Roman" w:hAnsi="Candara" w:cs="Times New Roman"/>
                <w:b/>
                <w:bCs/>
                <w:color w:val="000000"/>
                <w:spacing w:val="-4"/>
                <w:sz w:val="11"/>
                <w:szCs w:val="15"/>
              </w:rPr>
            </w:pPr>
            <w:r w:rsidRPr="00860B39">
              <w:rPr>
                <w:rFonts w:ascii="Candara" w:eastAsia="Times New Roman" w:hAnsi="Candara" w:cs="Times New Roman"/>
                <w:b/>
                <w:bCs/>
                <w:color w:val="000000"/>
                <w:spacing w:val="-4"/>
                <w:sz w:val="11"/>
                <w:szCs w:val="15"/>
              </w:rPr>
              <w:t>F</w:t>
            </w:r>
          </w:p>
        </w:tc>
        <w:tc>
          <w:tcPr>
            <w:tcW w:w="1171"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73DFF6CF"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Būvniecība</w:t>
            </w:r>
          </w:p>
        </w:tc>
        <w:tc>
          <w:tcPr>
            <w:tcW w:w="967"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720C62F3"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603CF8F0"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auto"/>
            <w:noWrap/>
            <w:vAlign w:val="center"/>
            <w:hideMark/>
          </w:tcPr>
          <w:p w:rsidR="00AD1483" w:rsidRPr="00860B39" w:rsidP="004C3620" w14:paraId="1E27085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5A780D28"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4A9D94AB"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427ADCFB"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auto" w:fill="auto"/>
            <w:noWrap/>
            <w:vAlign w:val="center"/>
            <w:hideMark/>
          </w:tcPr>
          <w:p w:rsidR="00AD1483" w:rsidRPr="00860B39" w:rsidP="004C3620" w14:paraId="04DA06A8" w14:textId="77777777">
            <w:pPr>
              <w:spacing w:after="0" w:line="240" w:lineRule="auto"/>
              <w:rPr>
                <w:rFonts w:ascii="Candara" w:eastAsia="Times New Roman" w:hAnsi="Candara" w:cs="Times New Roman"/>
                <w:b/>
                <w:bCs/>
                <w:color w:val="000000"/>
                <w:spacing w:val="-4"/>
                <w:sz w:val="11"/>
                <w:szCs w:val="15"/>
              </w:rPr>
            </w:pPr>
            <w:r w:rsidRPr="00860B39">
              <w:rPr>
                <w:rFonts w:ascii="Candara" w:eastAsia="Times New Roman" w:hAnsi="Candara" w:cs="Times New Roman"/>
                <w:b/>
                <w:bCs/>
                <w:color w:val="000000"/>
                <w:spacing w:val="-4"/>
                <w:sz w:val="11"/>
                <w:szCs w:val="15"/>
              </w:rPr>
              <w:t>G, I</w:t>
            </w:r>
          </w:p>
        </w:tc>
        <w:tc>
          <w:tcPr>
            <w:tcW w:w="1171"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3B3E136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Tirdzniecība, izmitināšana</w:t>
            </w:r>
          </w:p>
        </w:tc>
        <w:tc>
          <w:tcPr>
            <w:tcW w:w="96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577A3A7E"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0722CDD7"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auto"/>
            <w:noWrap/>
            <w:vAlign w:val="center"/>
            <w:hideMark/>
          </w:tcPr>
          <w:p w:rsidR="00AD1483" w:rsidRPr="00860B39" w:rsidP="004C3620" w14:paraId="5D3F715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65EB23D0"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08C9D847"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6EFF9841"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auto" w:fill="auto"/>
            <w:noWrap/>
            <w:vAlign w:val="center"/>
            <w:hideMark/>
          </w:tcPr>
          <w:p w:rsidR="00AD1483" w:rsidRPr="00860B39" w:rsidP="004C3620" w14:paraId="7E7C6411" w14:textId="77777777">
            <w:pPr>
              <w:spacing w:after="0" w:line="240" w:lineRule="auto"/>
              <w:rPr>
                <w:rFonts w:ascii="Candara" w:eastAsia="Times New Roman" w:hAnsi="Candara" w:cs="Times New Roman"/>
                <w:b/>
                <w:bCs/>
                <w:color w:val="000000"/>
                <w:spacing w:val="-4"/>
                <w:sz w:val="11"/>
                <w:szCs w:val="15"/>
              </w:rPr>
            </w:pPr>
            <w:r w:rsidRPr="00860B39">
              <w:rPr>
                <w:rFonts w:ascii="Candara" w:eastAsia="Times New Roman" w:hAnsi="Candara" w:cs="Times New Roman"/>
                <w:b/>
                <w:bCs/>
                <w:color w:val="000000"/>
                <w:spacing w:val="-4"/>
                <w:sz w:val="11"/>
                <w:szCs w:val="15"/>
              </w:rPr>
              <w:t>H</w:t>
            </w:r>
          </w:p>
        </w:tc>
        <w:tc>
          <w:tcPr>
            <w:tcW w:w="1171" w:type="pct"/>
            <w:tcBorders>
              <w:top w:val="nil"/>
              <w:left w:val="nil"/>
              <w:bottom w:val="single" w:sz="8" w:space="0" w:color="75923C"/>
              <w:right w:val="single" w:sz="8" w:space="0" w:color="75923C"/>
            </w:tcBorders>
            <w:shd w:val="clear" w:color="auto" w:fill="auto"/>
            <w:vAlign w:val="center"/>
            <w:hideMark/>
          </w:tcPr>
          <w:p w:rsidR="00AD1483" w:rsidRPr="00860B39" w:rsidP="004C3620" w14:paraId="0517ED0B"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Transports un uzglabāšana</w:t>
            </w:r>
          </w:p>
        </w:tc>
        <w:tc>
          <w:tcPr>
            <w:tcW w:w="96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01ED850F"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10163D8F"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8" w:space="0" w:color="75923C"/>
              <w:right w:val="single" w:sz="4" w:space="0" w:color="808080" w:themeColor="background1" w:themeShade="80"/>
            </w:tcBorders>
            <w:shd w:val="clear" w:color="auto" w:fill="auto"/>
            <w:noWrap/>
            <w:vAlign w:val="center"/>
            <w:hideMark/>
          </w:tcPr>
          <w:p w:rsidR="00AD1483" w:rsidRPr="00860B39" w:rsidP="004C3620" w14:paraId="404457C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18E7C94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DDE6F7" w:themeFill="accent6" w:themeFillTint="33"/>
            <w:noWrap/>
            <w:vAlign w:val="center"/>
            <w:hideMark/>
          </w:tcPr>
          <w:p w:rsidR="00AD1483" w:rsidRPr="00860B39" w:rsidP="004C3620" w14:paraId="0F208E4B"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58A88355"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auto" w:fill="auto"/>
            <w:noWrap/>
            <w:vAlign w:val="center"/>
            <w:hideMark/>
          </w:tcPr>
          <w:p w:rsidR="00AD1483" w:rsidRPr="00860B39" w:rsidP="004C3620" w14:paraId="5E80DA9D" w14:textId="77777777">
            <w:pPr>
              <w:spacing w:after="0" w:line="240" w:lineRule="auto"/>
              <w:rPr>
                <w:rFonts w:ascii="Candara" w:eastAsia="Times New Roman" w:hAnsi="Candara" w:cs="Times New Roman"/>
                <w:b/>
                <w:bCs/>
                <w:color w:val="000000"/>
                <w:spacing w:val="-4"/>
                <w:sz w:val="11"/>
                <w:szCs w:val="15"/>
              </w:rPr>
            </w:pPr>
            <w:r w:rsidRPr="00860B39">
              <w:rPr>
                <w:rFonts w:ascii="Candara" w:eastAsia="Times New Roman" w:hAnsi="Candara" w:cs="Times New Roman"/>
                <w:b/>
                <w:bCs/>
                <w:color w:val="000000"/>
                <w:spacing w:val="-4"/>
                <w:sz w:val="11"/>
                <w:szCs w:val="15"/>
              </w:rPr>
              <w:t>J-S</w:t>
            </w:r>
          </w:p>
        </w:tc>
        <w:tc>
          <w:tcPr>
            <w:tcW w:w="1171"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104FB38C"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Citi komercpakalpojumi</w:t>
            </w:r>
          </w:p>
        </w:tc>
        <w:tc>
          <w:tcPr>
            <w:tcW w:w="96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5CA7B4A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7" w:type="pct"/>
            <w:tcBorders>
              <w:top w:val="nil"/>
              <w:left w:val="nil"/>
              <w:bottom w:val="single" w:sz="8" w:space="0" w:color="75923C"/>
              <w:right w:val="single" w:sz="8" w:space="0" w:color="75923C"/>
            </w:tcBorders>
            <w:shd w:val="clear" w:color="auto" w:fill="auto"/>
            <w:noWrap/>
            <w:vAlign w:val="center"/>
            <w:hideMark/>
          </w:tcPr>
          <w:p w:rsidR="00AD1483" w:rsidRPr="00860B39" w:rsidP="004C3620" w14:paraId="28CA9714"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nil"/>
              <w:left w:val="nil"/>
              <w:bottom w:val="single" w:sz="4" w:space="0" w:color="000000" w:themeColor="text1"/>
              <w:right w:val="single" w:sz="4" w:space="0" w:color="808080" w:themeColor="background1" w:themeShade="80"/>
            </w:tcBorders>
            <w:shd w:val="clear" w:color="auto" w:fill="auto"/>
            <w:noWrap/>
            <w:vAlign w:val="center"/>
            <w:hideMark/>
          </w:tcPr>
          <w:p w:rsidR="00AD1483" w:rsidRPr="00860B39" w:rsidP="004C3620" w14:paraId="7F12B26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4C3620" w14:paraId="0B522475"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555"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4C3620" w14:paraId="694D61A9"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4C4B5452" w14:textId="77777777" w:rsidTr="00AD4B1C">
        <w:tblPrEx>
          <w:tblW w:w="5000" w:type="pct"/>
          <w:tblLayout w:type="fixed"/>
          <w:tblLook w:val="04A0"/>
        </w:tblPrEx>
        <w:trPr>
          <w:trHeight w:val="227"/>
        </w:trPr>
        <w:tc>
          <w:tcPr>
            <w:tcW w:w="220" w:type="pct"/>
            <w:tcBorders>
              <w:top w:val="nil"/>
              <w:left w:val="single" w:sz="8" w:space="0" w:color="75923C"/>
              <w:bottom w:val="single" w:sz="8" w:space="0" w:color="75923C"/>
              <w:right w:val="single" w:sz="8" w:space="0" w:color="75923C"/>
            </w:tcBorders>
            <w:shd w:val="clear" w:color="auto" w:fill="auto"/>
            <w:noWrap/>
            <w:vAlign w:val="center"/>
            <w:hideMark/>
          </w:tcPr>
          <w:p w:rsidR="00AD1483" w:rsidRPr="00860B39" w:rsidP="00AD1483" w14:paraId="53C34625" w14:textId="77777777">
            <w:pPr>
              <w:spacing w:after="0" w:line="240" w:lineRule="auto"/>
              <w:rPr>
                <w:rFonts w:ascii="Candara" w:eastAsia="Times New Roman" w:hAnsi="Candara" w:cs="Times New Roman"/>
                <w:b/>
                <w:bCs/>
                <w:color w:val="000000"/>
                <w:spacing w:val="-4"/>
                <w:sz w:val="11"/>
                <w:szCs w:val="15"/>
              </w:rPr>
            </w:pPr>
            <w:r w:rsidRPr="00860B39">
              <w:rPr>
                <w:rFonts w:ascii="Candara" w:eastAsia="Times New Roman" w:hAnsi="Candara" w:cs="Times New Roman"/>
                <w:b/>
                <w:bCs/>
                <w:color w:val="000000"/>
                <w:spacing w:val="-4"/>
                <w:sz w:val="11"/>
                <w:szCs w:val="15"/>
              </w:rPr>
              <w:t>OPQ</w:t>
            </w:r>
          </w:p>
        </w:tc>
        <w:tc>
          <w:tcPr>
            <w:tcW w:w="1171" w:type="pct"/>
            <w:tcBorders>
              <w:top w:val="nil"/>
              <w:left w:val="nil"/>
              <w:bottom w:val="single" w:sz="8" w:space="0" w:color="75923C"/>
              <w:right w:val="single" w:sz="8" w:space="0" w:color="75923C"/>
            </w:tcBorders>
            <w:shd w:val="clear" w:color="auto" w:fill="auto"/>
            <w:noWrap/>
            <w:vAlign w:val="center"/>
            <w:hideMark/>
          </w:tcPr>
          <w:p w:rsidR="00AD1483" w:rsidRPr="00860B39" w:rsidP="00AD1483" w14:paraId="0566D35C"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Sabiedriskie pakalpojumi</w:t>
            </w:r>
          </w:p>
        </w:tc>
        <w:tc>
          <w:tcPr>
            <w:tcW w:w="967" w:type="pct"/>
            <w:tcBorders>
              <w:top w:val="nil"/>
              <w:left w:val="nil"/>
              <w:bottom w:val="single" w:sz="8" w:space="0" w:color="75923C"/>
              <w:right w:val="single" w:sz="8" w:space="0" w:color="75923C"/>
            </w:tcBorders>
            <w:shd w:val="clear" w:color="auto" w:fill="auto"/>
            <w:noWrap/>
            <w:vAlign w:val="center"/>
            <w:hideMark/>
          </w:tcPr>
          <w:p w:rsidR="00AD1483" w:rsidRPr="00860B39" w:rsidP="00AD1483" w14:paraId="54C722B3" w14:textId="77777777">
            <w:pPr>
              <w:spacing w:after="0" w:line="240" w:lineRule="auto"/>
              <w:rPr>
                <w:rFonts w:ascii="Candara" w:eastAsia="Times New Roman" w:hAnsi="Candara" w:cs="Times New Roman"/>
                <w:color w:val="A5A5A5"/>
                <w:spacing w:val="-4"/>
                <w:sz w:val="15"/>
                <w:szCs w:val="15"/>
              </w:rPr>
            </w:pPr>
            <w:r w:rsidRPr="00860B39">
              <w:rPr>
                <w:rFonts w:ascii="Candara" w:eastAsia="Times New Roman" w:hAnsi="Candara" w:cs="Times New Roman"/>
                <w:color w:val="A5A5A5"/>
                <w:spacing w:val="-4"/>
                <w:sz w:val="15"/>
                <w:szCs w:val="15"/>
              </w:rPr>
              <w:t> </w:t>
            </w:r>
          </w:p>
        </w:tc>
        <w:tc>
          <w:tcPr>
            <w:tcW w:w="647"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AD1483" w14:paraId="768B024B"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792" w:type="pct"/>
            <w:tcBorders>
              <w:top w:val="single" w:sz="4" w:space="0" w:color="000000" w:themeColor="text1"/>
              <w:left w:val="nil"/>
              <w:bottom w:val="single" w:sz="8" w:space="0" w:color="75923C"/>
              <w:right w:val="single" w:sz="4" w:space="0" w:color="808080" w:themeColor="background1" w:themeShade="80"/>
            </w:tcBorders>
            <w:shd w:val="clear" w:color="auto" w:fill="auto"/>
            <w:noWrap/>
            <w:vAlign w:val="center"/>
            <w:hideMark/>
          </w:tcPr>
          <w:p w:rsidR="00AD1483" w:rsidRPr="00860B39" w:rsidP="00AD1483" w14:paraId="4DE3EC35" w14:textId="77777777">
            <w:pPr>
              <w:spacing w:after="0" w:line="240" w:lineRule="auto"/>
              <w:rPr>
                <w:rFonts w:ascii="Candara" w:eastAsia="Times New Roman" w:hAnsi="Candara" w:cs="Times New Roman"/>
                <w:color w:val="A5A5A5"/>
                <w:spacing w:val="-4"/>
                <w:sz w:val="15"/>
                <w:szCs w:val="15"/>
              </w:rPr>
            </w:pPr>
            <w:r w:rsidRPr="00860B39">
              <w:rPr>
                <w:rFonts w:ascii="Candara" w:eastAsia="Times New Roman" w:hAnsi="Candara" w:cs="Times New Roman"/>
                <w:color w:val="A5A5A5"/>
                <w:spacing w:val="-4"/>
                <w:sz w:val="15"/>
                <w:szCs w:val="15"/>
              </w:rPr>
              <w:t> </w:t>
            </w:r>
          </w:p>
        </w:tc>
        <w:tc>
          <w:tcPr>
            <w:tcW w:w="648" w:type="pct"/>
            <w:tcBorders>
              <w:top w:val="nil"/>
              <w:left w:val="single" w:sz="4" w:space="0" w:color="808080" w:themeColor="background1" w:themeShade="80"/>
              <w:bottom w:val="single" w:sz="8" w:space="0" w:color="75923C"/>
              <w:right w:val="single" w:sz="8" w:space="0" w:color="75923C"/>
            </w:tcBorders>
            <w:shd w:val="clear" w:color="auto" w:fill="DDE6F7" w:themeFill="accent6" w:themeFillTint="33"/>
            <w:noWrap/>
            <w:vAlign w:val="center"/>
            <w:hideMark/>
          </w:tcPr>
          <w:p w:rsidR="00AD1483" w:rsidRPr="00860B39" w:rsidP="00AD1483" w14:paraId="3BE99BEC" w14:textId="77777777">
            <w:pPr>
              <w:spacing w:after="0" w:line="240" w:lineRule="auto"/>
              <w:rPr>
                <w:rFonts w:ascii="Candara" w:eastAsia="Times New Roman" w:hAnsi="Candara" w:cs="Times New Roman"/>
                <w:color w:val="A5A5A5"/>
                <w:spacing w:val="-4"/>
                <w:sz w:val="15"/>
                <w:szCs w:val="15"/>
              </w:rPr>
            </w:pPr>
            <w:r w:rsidRPr="00860B39">
              <w:rPr>
                <w:rFonts w:ascii="Candara" w:eastAsia="Times New Roman" w:hAnsi="Candara" w:cs="Times New Roman"/>
                <w:color w:val="A5A5A5"/>
                <w:spacing w:val="-4"/>
                <w:sz w:val="15"/>
                <w:szCs w:val="15"/>
              </w:rPr>
              <w:t> </w:t>
            </w:r>
          </w:p>
        </w:tc>
        <w:tc>
          <w:tcPr>
            <w:tcW w:w="555" w:type="pct"/>
            <w:tcBorders>
              <w:top w:val="nil"/>
              <w:left w:val="nil"/>
              <w:bottom w:val="single" w:sz="8" w:space="0" w:color="75923C"/>
              <w:right w:val="single" w:sz="8" w:space="0" w:color="75923C"/>
            </w:tcBorders>
            <w:shd w:val="clear" w:color="auto" w:fill="2957BD" w:themeFill="accent6" w:themeFillShade="BF"/>
            <w:noWrap/>
            <w:vAlign w:val="center"/>
            <w:hideMark/>
          </w:tcPr>
          <w:p w:rsidR="00AD1483" w:rsidRPr="00860B39" w:rsidP="00AD1483" w14:paraId="0C0F917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r>
      <w:tr w14:paraId="00CADAD9" w14:textId="77777777" w:rsidTr="00AD4B1C">
        <w:tblPrEx>
          <w:tblW w:w="5000" w:type="pct"/>
          <w:tblLayout w:type="fixed"/>
          <w:tblLook w:val="04A0"/>
        </w:tblPrEx>
        <w:trPr>
          <w:trHeight w:val="113"/>
        </w:trPr>
        <w:tc>
          <w:tcPr>
            <w:tcW w:w="220" w:type="pct"/>
            <w:tcBorders>
              <w:top w:val="nil"/>
              <w:left w:val="nil"/>
              <w:bottom w:val="nil"/>
              <w:right w:val="nil"/>
            </w:tcBorders>
            <w:shd w:val="clear" w:color="auto" w:fill="auto"/>
            <w:noWrap/>
            <w:vAlign w:val="bottom"/>
            <w:hideMark/>
          </w:tcPr>
          <w:p w:rsidR="00AD1483" w:rsidRPr="00860B39" w:rsidP="00AD1483" w14:paraId="00EEB771" w14:textId="77777777">
            <w:pPr>
              <w:spacing w:after="0" w:line="240" w:lineRule="auto"/>
              <w:rPr>
                <w:rFonts w:ascii="Candara" w:eastAsia="Times New Roman" w:hAnsi="Candara" w:cs="Times New Roman"/>
                <w:color w:val="000000"/>
                <w:spacing w:val="-4"/>
                <w:sz w:val="15"/>
                <w:szCs w:val="15"/>
              </w:rPr>
            </w:pPr>
          </w:p>
        </w:tc>
        <w:tc>
          <w:tcPr>
            <w:tcW w:w="1171" w:type="pct"/>
            <w:tcBorders>
              <w:top w:val="nil"/>
              <w:left w:val="nil"/>
              <w:bottom w:val="nil"/>
              <w:right w:val="nil"/>
            </w:tcBorders>
            <w:shd w:val="clear" w:color="auto" w:fill="auto"/>
            <w:noWrap/>
            <w:hideMark/>
          </w:tcPr>
          <w:p w:rsidR="00AD1483" w:rsidRPr="00860B39" w:rsidP="00AD1483" w14:paraId="610021DF" w14:textId="77777777">
            <w:pPr>
              <w:spacing w:after="0" w:line="240" w:lineRule="auto"/>
              <w:rPr>
                <w:rFonts w:ascii="Candara" w:eastAsia="Times New Roman" w:hAnsi="Candara" w:cs="Times New Roman"/>
                <w:color w:val="000000"/>
                <w:spacing w:val="-4"/>
                <w:sz w:val="15"/>
                <w:szCs w:val="15"/>
              </w:rPr>
            </w:pPr>
          </w:p>
        </w:tc>
        <w:tc>
          <w:tcPr>
            <w:tcW w:w="967" w:type="pct"/>
            <w:tcBorders>
              <w:top w:val="nil"/>
              <w:left w:val="nil"/>
              <w:bottom w:val="nil"/>
              <w:right w:val="nil"/>
            </w:tcBorders>
            <w:shd w:val="clear" w:color="auto" w:fill="auto"/>
            <w:noWrap/>
            <w:vAlign w:val="bottom"/>
            <w:hideMark/>
          </w:tcPr>
          <w:p w:rsidR="00AD1483" w:rsidRPr="00860B39" w:rsidP="00AD1483" w14:paraId="5D204E37" w14:textId="77777777">
            <w:pPr>
              <w:spacing w:after="0" w:line="240" w:lineRule="auto"/>
              <w:rPr>
                <w:rFonts w:ascii="Candara" w:eastAsia="Times New Roman" w:hAnsi="Candara" w:cs="Times New Roman"/>
                <w:color w:val="000000"/>
                <w:spacing w:val="-4"/>
                <w:sz w:val="15"/>
                <w:szCs w:val="15"/>
              </w:rPr>
            </w:pPr>
          </w:p>
        </w:tc>
        <w:tc>
          <w:tcPr>
            <w:tcW w:w="647" w:type="pct"/>
            <w:tcBorders>
              <w:top w:val="nil"/>
              <w:left w:val="nil"/>
              <w:bottom w:val="nil"/>
              <w:right w:val="nil"/>
            </w:tcBorders>
            <w:shd w:val="clear" w:color="auto" w:fill="auto"/>
            <w:noWrap/>
            <w:vAlign w:val="bottom"/>
            <w:hideMark/>
          </w:tcPr>
          <w:p w:rsidR="00AD1483" w:rsidRPr="00860B39" w:rsidP="00AD1483" w14:paraId="3B656FFE" w14:textId="77777777">
            <w:pPr>
              <w:spacing w:after="0" w:line="240" w:lineRule="auto"/>
              <w:rPr>
                <w:rFonts w:ascii="Candara" w:eastAsia="Times New Roman" w:hAnsi="Candara" w:cs="Times New Roman"/>
                <w:color w:val="000000"/>
                <w:spacing w:val="-4"/>
                <w:sz w:val="15"/>
                <w:szCs w:val="15"/>
              </w:rPr>
            </w:pPr>
          </w:p>
        </w:tc>
        <w:tc>
          <w:tcPr>
            <w:tcW w:w="792" w:type="pct"/>
            <w:tcBorders>
              <w:top w:val="nil"/>
              <w:left w:val="nil"/>
              <w:bottom w:val="nil"/>
              <w:right w:val="single" w:sz="4" w:space="0" w:color="808080" w:themeColor="background1" w:themeShade="80"/>
            </w:tcBorders>
            <w:shd w:val="clear" w:color="auto" w:fill="auto"/>
            <w:noWrap/>
            <w:vAlign w:val="center"/>
            <w:hideMark/>
          </w:tcPr>
          <w:p w:rsidR="00AD1483" w:rsidRPr="00860B39" w:rsidP="00AD1483" w14:paraId="3D863F36"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648" w:type="pct"/>
            <w:tcBorders>
              <w:top w:val="nil"/>
              <w:left w:val="single" w:sz="4" w:space="0" w:color="808080" w:themeColor="background1" w:themeShade="80"/>
              <w:bottom w:val="nil"/>
              <w:right w:val="nil"/>
            </w:tcBorders>
            <w:shd w:val="clear" w:color="auto" w:fill="auto"/>
            <w:noWrap/>
            <w:vAlign w:val="bottom"/>
            <w:hideMark/>
          </w:tcPr>
          <w:p w:rsidR="00AD1483" w:rsidRPr="00860B39" w:rsidP="00AD1483" w14:paraId="6233CF96" w14:textId="77777777">
            <w:pPr>
              <w:spacing w:after="0" w:line="240" w:lineRule="auto"/>
              <w:rPr>
                <w:rFonts w:ascii="Candara" w:eastAsia="Times New Roman" w:hAnsi="Candara" w:cs="Times New Roman"/>
                <w:color w:val="000000"/>
                <w:spacing w:val="-4"/>
                <w:sz w:val="15"/>
                <w:szCs w:val="15"/>
              </w:rPr>
            </w:pPr>
          </w:p>
        </w:tc>
        <w:tc>
          <w:tcPr>
            <w:tcW w:w="555" w:type="pct"/>
            <w:tcBorders>
              <w:top w:val="nil"/>
              <w:left w:val="nil"/>
              <w:bottom w:val="nil"/>
              <w:right w:val="nil"/>
            </w:tcBorders>
            <w:shd w:val="clear" w:color="auto" w:fill="auto"/>
            <w:noWrap/>
            <w:vAlign w:val="bottom"/>
            <w:hideMark/>
          </w:tcPr>
          <w:p w:rsidR="00AD1483" w:rsidRPr="00860B39" w:rsidP="00AD1483" w14:paraId="78AF8694" w14:textId="77777777">
            <w:pPr>
              <w:spacing w:after="0" w:line="240" w:lineRule="auto"/>
              <w:rPr>
                <w:rFonts w:ascii="Candara" w:eastAsia="Times New Roman" w:hAnsi="Candara" w:cs="Times New Roman"/>
                <w:color w:val="000000"/>
                <w:spacing w:val="-4"/>
                <w:sz w:val="15"/>
                <w:szCs w:val="15"/>
              </w:rPr>
            </w:pPr>
          </w:p>
        </w:tc>
      </w:tr>
      <w:tr w14:paraId="76F110C8" w14:textId="77777777" w:rsidTr="00AD4B1C">
        <w:tblPrEx>
          <w:tblW w:w="5000" w:type="pct"/>
          <w:tblLayout w:type="fixed"/>
          <w:tblLook w:val="04A0"/>
        </w:tblPrEx>
        <w:trPr>
          <w:trHeight w:val="170"/>
        </w:trPr>
        <w:tc>
          <w:tcPr>
            <w:tcW w:w="220" w:type="pct"/>
            <w:tcBorders>
              <w:top w:val="nil"/>
              <w:left w:val="nil"/>
              <w:bottom w:val="nil"/>
              <w:right w:val="nil"/>
            </w:tcBorders>
            <w:shd w:val="clear" w:color="auto" w:fill="auto"/>
            <w:noWrap/>
            <w:vAlign w:val="bottom"/>
          </w:tcPr>
          <w:p w:rsidR="00AD1483" w:rsidRPr="00860B39" w:rsidP="00AD1483" w14:paraId="013A6CB6" w14:textId="77777777">
            <w:pPr>
              <w:spacing w:after="0" w:line="240" w:lineRule="auto"/>
              <w:rPr>
                <w:rFonts w:ascii="Candara" w:eastAsia="Times New Roman" w:hAnsi="Candara" w:cs="Times New Roman"/>
                <w:color w:val="000000"/>
                <w:spacing w:val="-4"/>
                <w:sz w:val="15"/>
                <w:szCs w:val="15"/>
              </w:rPr>
            </w:pPr>
          </w:p>
        </w:tc>
        <w:tc>
          <w:tcPr>
            <w:tcW w:w="1171" w:type="pct"/>
            <w:tcBorders>
              <w:top w:val="nil"/>
              <w:left w:val="nil"/>
              <w:bottom w:val="nil"/>
              <w:right w:val="nil"/>
            </w:tcBorders>
            <w:shd w:val="clear" w:color="auto" w:fill="auto"/>
            <w:noWrap/>
            <w:vAlign w:val="bottom"/>
          </w:tcPr>
          <w:p w:rsidR="00AD1483" w:rsidRPr="00860B39" w:rsidP="00AD1483" w14:paraId="3969263C" w14:textId="77777777">
            <w:pPr>
              <w:spacing w:after="0" w:line="240" w:lineRule="auto"/>
              <w:rPr>
                <w:rFonts w:ascii="Candara" w:eastAsia="Times New Roman" w:hAnsi="Candara" w:cs="Times New Roman"/>
                <w:color w:val="000000"/>
                <w:spacing w:val="-4"/>
                <w:sz w:val="15"/>
                <w:szCs w:val="15"/>
              </w:rPr>
            </w:pPr>
          </w:p>
        </w:tc>
        <w:tc>
          <w:tcPr>
            <w:tcW w:w="967" w:type="pct"/>
            <w:tcBorders>
              <w:top w:val="nil"/>
              <w:left w:val="nil"/>
              <w:bottom w:val="nil"/>
              <w:right w:val="nil"/>
            </w:tcBorders>
            <w:shd w:val="clear" w:color="auto" w:fill="DDE6F7" w:themeFill="accent6" w:themeFillTint="33"/>
            <w:noWrap/>
            <w:vAlign w:val="center"/>
          </w:tcPr>
          <w:p w:rsidR="00AD1483" w:rsidRPr="00860B39" w:rsidP="00AD1483" w14:paraId="11EC9FE8" w14:textId="77777777">
            <w:pPr>
              <w:spacing w:after="0" w:line="240" w:lineRule="auto"/>
              <w:rPr>
                <w:rFonts w:ascii="Candara" w:eastAsia="Times New Roman" w:hAnsi="Candara" w:cs="Times New Roman"/>
                <w:color w:val="000000"/>
                <w:spacing w:val="-4"/>
                <w:sz w:val="15"/>
                <w:szCs w:val="15"/>
              </w:rPr>
            </w:pPr>
          </w:p>
        </w:tc>
        <w:tc>
          <w:tcPr>
            <w:tcW w:w="1439" w:type="pct"/>
            <w:gridSpan w:val="2"/>
            <w:tcBorders>
              <w:top w:val="nil"/>
              <w:left w:val="nil"/>
              <w:bottom w:val="nil"/>
              <w:right w:val="single" w:sz="4" w:space="0" w:color="808080" w:themeColor="background1" w:themeShade="80"/>
            </w:tcBorders>
            <w:shd w:val="clear" w:color="auto" w:fill="auto"/>
            <w:noWrap/>
            <w:vAlign w:val="center"/>
          </w:tcPr>
          <w:p w:rsidR="00AD1483" w:rsidRPr="00860B39" w:rsidP="00AD1483" w14:paraId="3DBF32D1"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Vidējs pārneses potenciāls</w:t>
            </w:r>
          </w:p>
        </w:tc>
        <w:tc>
          <w:tcPr>
            <w:tcW w:w="1203" w:type="pct"/>
            <w:gridSpan w:val="2"/>
            <w:vMerge w:val="restart"/>
            <w:tcBorders>
              <w:top w:val="nil"/>
              <w:left w:val="single" w:sz="4" w:space="0" w:color="808080" w:themeColor="background1" w:themeShade="80"/>
              <w:right w:val="nil"/>
            </w:tcBorders>
            <w:shd w:val="clear" w:color="auto" w:fill="auto"/>
            <w:noWrap/>
            <w:vAlign w:val="center"/>
          </w:tcPr>
          <w:p w:rsidR="00AD1483" w:rsidRPr="00860B39" w:rsidP="00AD1483" w14:paraId="6B0D43DB" w14:textId="77777777">
            <w:pPr>
              <w:spacing w:after="0" w:line="240" w:lineRule="auto"/>
              <w:jc w:val="center"/>
              <w:rPr>
                <w:rFonts w:ascii="Candara" w:eastAsia="Times New Roman" w:hAnsi="Candara" w:cs="Times New Roman"/>
                <w:color w:val="000000"/>
                <w:spacing w:val="-4"/>
                <w:sz w:val="15"/>
                <w:szCs w:val="15"/>
                <w:highlight w:val="yellow"/>
              </w:rPr>
            </w:pPr>
            <w:r w:rsidRPr="00860B39">
              <w:rPr>
                <w:rFonts w:ascii="Candara" w:eastAsia="Times New Roman" w:hAnsi="Candara" w:cs="Times New Roman"/>
                <w:color w:val="000000"/>
                <w:spacing w:val="-4"/>
                <w:sz w:val="15"/>
                <w:szCs w:val="15"/>
              </w:rPr>
              <w:t xml:space="preserve">Inovatīvo produktu var lietot visās tautsaimniecības nozarēs </w:t>
            </w:r>
          </w:p>
        </w:tc>
      </w:tr>
      <w:tr w14:paraId="40E45C23" w14:textId="77777777" w:rsidTr="00AD4B1C">
        <w:tblPrEx>
          <w:tblW w:w="5000" w:type="pct"/>
          <w:tblLayout w:type="fixed"/>
          <w:tblLook w:val="04A0"/>
        </w:tblPrEx>
        <w:trPr>
          <w:trHeight w:val="170"/>
        </w:trPr>
        <w:tc>
          <w:tcPr>
            <w:tcW w:w="220" w:type="pct"/>
            <w:tcBorders>
              <w:top w:val="nil"/>
              <w:left w:val="nil"/>
              <w:bottom w:val="nil"/>
              <w:right w:val="nil"/>
            </w:tcBorders>
            <w:shd w:val="clear" w:color="auto" w:fill="auto"/>
            <w:noWrap/>
            <w:vAlign w:val="bottom"/>
            <w:hideMark/>
          </w:tcPr>
          <w:p w:rsidR="00AD1483" w:rsidRPr="00860B39" w:rsidP="00AD1483" w14:paraId="191DBBF9" w14:textId="77777777">
            <w:pPr>
              <w:spacing w:after="0" w:line="240" w:lineRule="auto"/>
              <w:rPr>
                <w:rFonts w:ascii="Candara" w:eastAsia="Times New Roman" w:hAnsi="Candara" w:cs="Times New Roman"/>
                <w:color w:val="000000"/>
                <w:spacing w:val="-4"/>
                <w:sz w:val="15"/>
                <w:szCs w:val="15"/>
              </w:rPr>
            </w:pPr>
          </w:p>
        </w:tc>
        <w:tc>
          <w:tcPr>
            <w:tcW w:w="1171" w:type="pct"/>
            <w:tcBorders>
              <w:top w:val="nil"/>
              <w:left w:val="nil"/>
              <w:bottom w:val="nil"/>
              <w:right w:val="nil"/>
            </w:tcBorders>
            <w:shd w:val="clear" w:color="auto" w:fill="auto"/>
            <w:noWrap/>
            <w:vAlign w:val="bottom"/>
            <w:hideMark/>
          </w:tcPr>
          <w:p w:rsidR="00AD1483" w:rsidRPr="00860B39" w:rsidP="00AD1483" w14:paraId="24C107EA" w14:textId="77777777">
            <w:pPr>
              <w:spacing w:after="0" w:line="240" w:lineRule="auto"/>
              <w:rPr>
                <w:rFonts w:ascii="Candara" w:eastAsia="Times New Roman" w:hAnsi="Candara" w:cs="Times New Roman"/>
                <w:color w:val="000000"/>
                <w:spacing w:val="-4"/>
                <w:sz w:val="15"/>
                <w:szCs w:val="15"/>
              </w:rPr>
            </w:pPr>
          </w:p>
        </w:tc>
        <w:tc>
          <w:tcPr>
            <w:tcW w:w="967" w:type="pct"/>
            <w:tcBorders>
              <w:top w:val="nil"/>
              <w:left w:val="nil"/>
              <w:bottom w:val="nil"/>
              <w:right w:val="nil"/>
            </w:tcBorders>
            <w:shd w:val="clear" w:color="auto" w:fill="2957BD" w:themeFill="accent6" w:themeFillShade="BF"/>
            <w:noWrap/>
            <w:vAlign w:val="center"/>
            <w:hideMark/>
          </w:tcPr>
          <w:p w:rsidR="00AD1483" w:rsidRPr="00860B39" w:rsidP="00AD1483" w14:paraId="1C59684A"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 </w:t>
            </w:r>
          </w:p>
        </w:tc>
        <w:tc>
          <w:tcPr>
            <w:tcW w:w="1439" w:type="pct"/>
            <w:gridSpan w:val="2"/>
            <w:tcBorders>
              <w:top w:val="nil"/>
              <w:left w:val="nil"/>
              <w:bottom w:val="nil"/>
              <w:right w:val="single" w:sz="4" w:space="0" w:color="808080" w:themeColor="background1" w:themeShade="80"/>
            </w:tcBorders>
            <w:shd w:val="clear" w:color="auto" w:fill="auto"/>
            <w:noWrap/>
            <w:vAlign w:val="center"/>
            <w:hideMark/>
          </w:tcPr>
          <w:p w:rsidR="00AD1483" w:rsidRPr="00860B39" w:rsidP="00AD1483" w14:paraId="2D028EEA" w14:textId="77777777">
            <w:pPr>
              <w:spacing w:after="0" w:line="240" w:lineRule="auto"/>
              <w:rPr>
                <w:rFonts w:ascii="Candara" w:eastAsia="Times New Roman" w:hAnsi="Candara" w:cs="Times New Roman"/>
                <w:color w:val="000000"/>
                <w:spacing w:val="-4"/>
                <w:sz w:val="15"/>
                <w:szCs w:val="15"/>
              </w:rPr>
            </w:pPr>
            <w:r w:rsidRPr="00860B39">
              <w:rPr>
                <w:rFonts w:ascii="Candara" w:eastAsia="Times New Roman" w:hAnsi="Candara" w:cs="Times New Roman"/>
                <w:color w:val="000000"/>
                <w:spacing w:val="-4"/>
                <w:sz w:val="15"/>
                <w:szCs w:val="15"/>
              </w:rPr>
              <w:t>Augsts pārneses potenciāls</w:t>
            </w:r>
          </w:p>
        </w:tc>
        <w:tc>
          <w:tcPr>
            <w:tcW w:w="1203" w:type="pct"/>
            <w:gridSpan w:val="2"/>
            <w:vMerge/>
            <w:tcBorders>
              <w:left w:val="single" w:sz="4" w:space="0" w:color="808080" w:themeColor="background1" w:themeShade="80"/>
              <w:bottom w:val="single" w:sz="4" w:space="0" w:color="auto"/>
              <w:right w:val="nil"/>
            </w:tcBorders>
            <w:shd w:val="clear" w:color="auto" w:fill="auto"/>
            <w:noWrap/>
            <w:vAlign w:val="center"/>
            <w:hideMark/>
          </w:tcPr>
          <w:p w:rsidR="00AD1483" w:rsidRPr="00860B39" w:rsidP="00AD1483" w14:paraId="56316B0B" w14:textId="77777777">
            <w:pPr>
              <w:spacing w:after="0" w:line="240" w:lineRule="auto"/>
              <w:jc w:val="center"/>
              <w:rPr>
                <w:rFonts w:ascii="Candara" w:eastAsia="Times New Roman" w:hAnsi="Candara" w:cs="Times New Roman"/>
                <w:color w:val="000000"/>
                <w:spacing w:val="-4"/>
                <w:sz w:val="15"/>
                <w:szCs w:val="15"/>
              </w:rPr>
            </w:pPr>
          </w:p>
        </w:tc>
      </w:tr>
    </w:tbl>
    <w:p w:rsidR="00AD1483" w:rsidRPr="00083075" w:rsidP="00AD1483" w14:paraId="13AF8E13" w14:textId="77777777">
      <w:pPr>
        <w:spacing w:before="120" w:after="0" w:line="240" w:lineRule="auto"/>
        <w:ind w:firstLine="284"/>
        <w:jc w:val="both"/>
        <w:rPr>
          <w:rFonts w:ascii="Candara" w:hAnsi="Candara" w:cs="Times New Roman"/>
          <w:sz w:val="2"/>
          <w:szCs w:val="24"/>
        </w:rPr>
      </w:pPr>
    </w:p>
    <w:p w:rsidR="003E6D68" w:rsidRPr="000B395A" w:rsidP="00B017CB" w14:paraId="50EA1CD5" w14:textId="77777777">
      <w:pPr>
        <w:spacing w:after="0" w:line="240" w:lineRule="auto"/>
        <w:jc w:val="both"/>
        <w:rPr>
          <w:rFonts w:ascii="Candara" w:hAnsi="Candara" w:cs="Times New Roman"/>
          <w:sz w:val="10"/>
        </w:rPr>
      </w:pPr>
    </w:p>
    <w:p w:rsidR="007D09BA" w:rsidRPr="00A2199B" w:rsidP="00214364" w14:paraId="4060FE7B" w14:textId="77777777">
      <w:pPr>
        <w:spacing w:after="0" w:line="240" w:lineRule="auto"/>
        <w:ind w:firstLine="567"/>
        <w:jc w:val="both"/>
        <w:rPr>
          <w:rFonts w:ascii="Candara" w:hAnsi="Candara" w:cs="Times New Roman"/>
        </w:rPr>
      </w:pPr>
      <w:r w:rsidRPr="00A2199B">
        <w:rPr>
          <w:rFonts w:ascii="Candara" w:hAnsi="Candara" w:cs="Times New Roman"/>
        </w:rPr>
        <w:t xml:space="preserve">2014.gadā tika </w:t>
      </w:r>
      <w:r w:rsidRPr="00A2199B">
        <w:rPr>
          <w:rFonts w:ascii="Candara" w:hAnsi="Candara" w:cs="Times New Roman"/>
          <w:bCs/>
        </w:rPr>
        <w:t xml:space="preserve">organizētas </w:t>
      </w:r>
      <w:r w:rsidRPr="00A2199B">
        <w:rPr>
          <w:rFonts w:ascii="Candara" w:hAnsi="Candara" w:cs="Times New Roman"/>
        </w:rPr>
        <w:t>14 publiskās diskusijas, kurās piedalījās vairāk nekā 500 pārstāvji no zinātniskajām institūcijām, izglītības iestādēm un nozaru asociācijām</w:t>
      </w:r>
      <w:r w:rsidRPr="00A2199B">
        <w:rPr>
          <w:rFonts w:ascii="Candara" w:hAnsi="Candara" w:cs="Times New Roman"/>
          <w:bCs/>
        </w:rPr>
        <w:t>.</w:t>
      </w:r>
      <w:r w:rsidRPr="00A2199B">
        <w:rPr>
          <w:rFonts w:ascii="Candara" w:hAnsi="Candara" w:cs="Times New Roman"/>
        </w:rPr>
        <w:t xml:space="preserve"> Diskusijās tika secināts, ka </w:t>
      </w:r>
      <w:r w:rsidR="00636EF4">
        <w:rPr>
          <w:rFonts w:ascii="Candara" w:hAnsi="Candara" w:cs="Times New Roman"/>
        </w:rPr>
        <w:t>Latvijas tautsaimniecības nozarēm</w:t>
      </w:r>
      <w:r w:rsidRPr="00A2199B">
        <w:rPr>
          <w:rFonts w:ascii="Candara" w:hAnsi="Candara" w:cs="Times New Roman"/>
        </w:rPr>
        <w:t xml:space="preserve"> ir raksturīga </w:t>
      </w:r>
      <w:r>
        <w:rPr>
          <w:rFonts w:ascii="Candara" w:hAnsi="Candara" w:cs="Times New Roman"/>
        </w:rPr>
        <w:t xml:space="preserve">relatīvi </w:t>
      </w:r>
      <w:r w:rsidRPr="00A2199B">
        <w:rPr>
          <w:rFonts w:ascii="Candara" w:hAnsi="Candara" w:cs="Times New Roman"/>
        </w:rPr>
        <w:t xml:space="preserve">augsta specializācija, tāpēc specializācija kopumā nav Latvijas </w:t>
      </w:r>
      <w:r w:rsidRPr="00A2199B">
        <w:rPr>
          <w:rFonts w:ascii="Candara" w:hAnsi="Candara" w:cs="Times New Roman"/>
        </w:rPr>
        <w:t xml:space="preserve">tautsaimniecības problēma. Eksporta orientētie Latvijas uzņēmumi ir augsti specializēti un patstāvīgi meklē specializācijas iespējas nišās vai atsevišķās produktu nozarēs. </w:t>
      </w:r>
      <w:r>
        <w:rPr>
          <w:rFonts w:ascii="Candara" w:hAnsi="Candara" w:cs="Times New Roman"/>
        </w:rPr>
        <w:t>Viens no svarīgākajiem v</w:t>
      </w:r>
      <w:r w:rsidRPr="00A2199B">
        <w:rPr>
          <w:rFonts w:ascii="Candara" w:hAnsi="Candara" w:cs="Times New Roman"/>
        </w:rPr>
        <w:t>iedās specia</w:t>
      </w:r>
      <w:r>
        <w:rPr>
          <w:rFonts w:ascii="Candara" w:hAnsi="Candara" w:cs="Times New Roman"/>
        </w:rPr>
        <w:t xml:space="preserve">lizācijas stratēģijas īstenošanas pamatprincipiem ir izvairīšanās no </w:t>
      </w:r>
      <w:r w:rsidRPr="00A2199B">
        <w:rPr>
          <w:rFonts w:ascii="Candara" w:hAnsi="Candara" w:cs="Times New Roman"/>
        </w:rPr>
        <w:t>“uzvarētāju sektoru” noteikšanas</w:t>
      </w:r>
      <w:r>
        <w:rPr>
          <w:rFonts w:ascii="Candara" w:hAnsi="Candara" w:cs="Times New Roman"/>
        </w:rPr>
        <w:t xml:space="preserve"> jeb selektivitātes. Tā vietā galvenais uzsvars tiek likts uz uzņēmējdarbības vides veidošanu, kas veicina inovatīvas</w:t>
      </w:r>
      <w:r w:rsidR="007437FF">
        <w:rPr>
          <w:rFonts w:ascii="Candara" w:hAnsi="Candara" w:cs="Times New Roman"/>
        </w:rPr>
        <w:t xml:space="preserve"> </w:t>
      </w:r>
      <w:r>
        <w:rPr>
          <w:rFonts w:ascii="Candara" w:hAnsi="Candara" w:cs="Times New Roman"/>
        </w:rPr>
        <w:t xml:space="preserve">darbības un </w:t>
      </w:r>
      <w:r w:rsidRPr="00A2199B">
        <w:rPr>
          <w:rFonts w:ascii="Candara" w:hAnsi="Candara" w:cs="Times New Roman"/>
        </w:rPr>
        <w:t>cilvēkresursu attīstīb</w:t>
      </w:r>
      <w:r>
        <w:rPr>
          <w:rFonts w:ascii="Candara" w:hAnsi="Candara" w:cs="Times New Roman"/>
        </w:rPr>
        <w:t>u</w:t>
      </w:r>
      <w:r w:rsidRPr="00A2199B">
        <w:rPr>
          <w:rFonts w:ascii="Candara" w:hAnsi="Candara" w:cs="Times New Roman"/>
          <w:bCs/>
        </w:rPr>
        <w:t xml:space="preserve">. </w:t>
      </w:r>
      <w:r w:rsidRPr="00A2199B">
        <w:rPr>
          <w:rFonts w:ascii="Candara" w:hAnsi="Candara" w:cs="Times New Roman"/>
        </w:rPr>
        <w:t>Viens no diskusiju uzdevumiem bija identificēt iespējamās konkurētspējas nišas katras specializācijas jomas ietvaros.</w:t>
      </w:r>
    </w:p>
    <w:p w:rsidR="007D09BA" w:rsidRPr="00860B39" w:rsidP="00214364" w14:paraId="640F8C1F" w14:textId="77777777">
      <w:pPr>
        <w:spacing w:after="120" w:line="240" w:lineRule="auto"/>
        <w:ind w:firstLine="567"/>
        <w:jc w:val="center"/>
        <w:rPr>
          <w:rFonts w:ascii="Candara" w:hAnsi="Candara"/>
          <w:b/>
          <w:sz w:val="2"/>
        </w:rPr>
      </w:pPr>
    </w:p>
    <w:p w:rsidR="007D09BA" w:rsidRPr="00A2199B" w:rsidP="00214364" w14:paraId="437F807D" w14:textId="77777777">
      <w:pPr>
        <w:spacing w:after="0" w:line="240" w:lineRule="auto"/>
        <w:ind w:firstLine="567"/>
        <w:jc w:val="both"/>
        <w:rPr>
          <w:rFonts w:ascii="Candara" w:hAnsi="Candara" w:cs="Times New Roman"/>
        </w:rPr>
      </w:pPr>
      <w:r w:rsidRPr="003D7680">
        <w:rPr>
          <w:rFonts w:ascii="Candara" w:hAnsi="Candara" w:cs="Times New Roman"/>
        </w:rPr>
        <w:t xml:space="preserve">Faktiskie kompetences centru pētījuma virzieni un klasteru programma ar atbilstošajiem finanšu instrumentiem </w:t>
      </w:r>
      <w:r w:rsidR="00666288">
        <w:rPr>
          <w:rFonts w:ascii="Candara" w:hAnsi="Candara" w:cs="Times New Roman"/>
        </w:rPr>
        <w:t>aptver</w:t>
      </w:r>
      <w:r w:rsidRPr="003D7680">
        <w:rPr>
          <w:rFonts w:ascii="Candara" w:hAnsi="Candara" w:cs="Times New Roman"/>
        </w:rPr>
        <w:t xml:space="preserve"> visas sākotnēji identificētās R</w:t>
      </w:r>
      <w:r w:rsidR="00666288">
        <w:rPr>
          <w:rFonts w:ascii="Candara" w:hAnsi="Candara" w:cs="Times New Roman"/>
        </w:rPr>
        <w:t>IS3 specializācijas jomas. Jaunas jomas nav</w:t>
      </w:r>
      <w:r w:rsidRPr="003D7680">
        <w:rPr>
          <w:rFonts w:ascii="Candara" w:hAnsi="Candara" w:cs="Times New Roman"/>
        </w:rPr>
        <w:t xml:space="preserve"> identi</w:t>
      </w:r>
      <w:r w:rsidR="00666288">
        <w:rPr>
          <w:rFonts w:ascii="Candara" w:hAnsi="Candara" w:cs="Times New Roman"/>
        </w:rPr>
        <w:t>ficēt</w:t>
      </w:r>
      <w:r w:rsidRPr="003D7680">
        <w:rPr>
          <w:rFonts w:ascii="Candara" w:hAnsi="Candara" w:cs="Times New Roman"/>
        </w:rPr>
        <w:t>a</w:t>
      </w:r>
      <w:r w:rsidR="00666288">
        <w:rPr>
          <w:rFonts w:ascii="Candara" w:hAnsi="Candara" w:cs="Times New Roman"/>
        </w:rPr>
        <w:t>s</w:t>
      </w:r>
      <w:r w:rsidRPr="003D7680">
        <w:rPr>
          <w:rFonts w:ascii="Candara" w:hAnsi="Candara" w:cs="Times New Roman"/>
        </w:rPr>
        <w:t xml:space="preserve">, </w:t>
      </w:r>
      <w:r w:rsidR="00666288">
        <w:rPr>
          <w:rFonts w:ascii="Candara" w:hAnsi="Candara" w:cs="Times New Roman"/>
        </w:rPr>
        <w:t>bet</w:t>
      </w:r>
      <w:r w:rsidRPr="003D7680">
        <w:rPr>
          <w:rFonts w:ascii="Candara" w:hAnsi="Candara" w:cs="Times New Roman"/>
        </w:rPr>
        <w:t xml:space="preserve"> </w:t>
      </w:r>
      <w:r w:rsidR="008F028E">
        <w:rPr>
          <w:rFonts w:ascii="Candara" w:hAnsi="Candara" w:cs="Times New Roman"/>
        </w:rPr>
        <w:t>sīkāk izdalīti pētījumu</w:t>
      </w:r>
      <w:r w:rsidRPr="003D7680">
        <w:rPr>
          <w:rFonts w:ascii="Candara" w:hAnsi="Candara" w:cs="Times New Roman"/>
        </w:rPr>
        <w:t xml:space="preserve"> virzieni Viedo materiālu, tehnoloģiju un inženiersistēmu jomā, kā arī Informācijas un komunikāciju tehnoloģiju jomā, </w:t>
      </w:r>
      <w:r w:rsidR="008F028E">
        <w:rPr>
          <w:rFonts w:ascii="Candara" w:hAnsi="Candara" w:cs="Times New Roman"/>
        </w:rPr>
        <w:t>attiecīgi</w:t>
      </w:r>
      <w:r w:rsidRPr="003D7680">
        <w:rPr>
          <w:rFonts w:ascii="Candara" w:hAnsi="Candara" w:cs="Times New Roman"/>
        </w:rPr>
        <w:t xml:space="preserve"> - Viedie materiāli tehnoloģijas un </w:t>
      </w:r>
      <w:r w:rsidRPr="003D7680" w:rsidR="00AD1BDF">
        <w:rPr>
          <w:rFonts w:ascii="Candara" w:hAnsi="Candara" w:cs="Times New Roman"/>
        </w:rPr>
        <w:t>inženiersistēmas</w:t>
      </w:r>
      <w:r w:rsidRPr="003D7680">
        <w:rPr>
          <w:rFonts w:ascii="Candara" w:hAnsi="Candara" w:cs="Times New Roman"/>
        </w:rPr>
        <w:t xml:space="preserve"> - modernas ražošanas tehnoloģijas un inženiersistēmas, Viedie materiāli, tehnoloģijas un inženiersistēmas – viedie materiāli un atbilstoši Informācijas un komunikācijas tehnoloģijas – informācijas un komunikāciju tehnoloģijas un Informācijas un komunikācijas tehnoloģijas – aparātbūve (elektronika).</w:t>
      </w:r>
    </w:p>
    <w:p w:rsidR="00AD1483" w:rsidRPr="00860B39" w:rsidP="00AD1483" w14:paraId="0D712596" w14:textId="77777777">
      <w:pPr>
        <w:spacing w:after="120" w:line="240" w:lineRule="auto"/>
        <w:jc w:val="center"/>
        <w:rPr>
          <w:rFonts w:ascii="Candara" w:hAnsi="Candara"/>
          <w:b/>
          <w:sz w:val="2"/>
        </w:rPr>
      </w:pPr>
    </w:p>
    <w:p w:rsidR="008B2C92" w:rsidRPr="002F77F7" w:rsidP="008B2C92" w14:paraId="48BBADBB" w14:textId="77777777">
      <w:pPr>
        <w:spacing w:after="120" w:line="240" w:lineRule="auto"/>
        <w:jc w:val="center"/>
        <w:rPr>
          <w:rFonts w:ascii="Candara" w:hAnsi="Candara"/>
          <w:i/>
          <w:szCs w:val="24"/>
        </w:rPr>
      </w:pPr>
      <w:r w:rsidRPr="002F77F7">
        <w:rPr>
          <w:rFonts w:ascii="Candara" w:hAnsi="Candara"/>
          <w:b/>
          <w:szCs w:val="24"/>
        </w:rPr>
        <w:t xml:space="preserve">2.attēls. </w:t>
      </w:r>
      <w:r w:rsidRPr="002F77F7">
        <w:rPr>
          <w:rFonts w:ascii="Candara" w:hAnsi="Candara"/>
          <w:b/>
          <w:szCs w:val="24"/>
        </w:rPr>
        <w:t>Latvijas industrijas potenciālās specializācijas nišas Viedās specializācijas jomas ietvaros</w:t>
      </w:r>
    </w:p>
    <w:tbl>
      <w:tblPr>
        <w:tblW w:w="4999" w:type="pct"/>
        <w:jc w:val="center"/>
        <w:tblLook w:val="04A0"/>
      </w:tblPr>
      <w:tblGrid>
        <w:gridCol w:w="1171"/>
        <w:gridCol w:w="3687"/>
        <w:gridCol w:w="3220"/>
        <w:gridCol w:w="1843"/>
      </w:tblGrid>
      <w:tr w14:paraId="370DBD2B" w14:textId="77777777" w:rsidTr="00232C83">
        <w:tblPrEx>
          <w:tblW w:w="4999" w:type="pct"/>
          <w:jc w:val="center"/>
          <w:tblLook w:val="04A0"/>
        </w:tblPrEx>
        <w:trPr>
          <w:trHeight w:val="430"/>
          <w:jc w:val="center"/>
        </w:trPr>
        <w:tc>
          <w:tcPr>
            <w:tcW w:w="590" w:type="pct"/>
            <w:shd w:val="clear" w:color="auto" w:fill="6D1D6B" w:themeFill="accent1" w:themeFillShade="BF"/>
            <w:vAlign w:val="center"/>
          </w:tcPr>
          <w:p w:rsidR="007D09BA" w:rsidRPr="005433E7" w:rsidP="00B86F69" w14:paraId="6304A849" w14:textId="77777777">
            <w:pPr>
              <w:spacing w:before="80" w:after="80" w:line="240" w:lineRule="auto"/>
              <w:jc w:val="center"/>
              <w:rPr>
                <w:rFonts w:ascii="Candara" w:hAnsi="Candara" w:cs="Times New Roman"/>
                <w:b/>
                <w:bCs/>
                <w:color w:val="FFFFFF" w:themeColor="background1"/>
                <w:sz w:val="15"/>
                <w:szCs w:val="15"/>
              </w:rPr>
            </w:pPr>
            <w:r w:rsidRPr="005433E7">
              <w:rPr>
                <w:rFonts w:ascii="Candara" w:hAnsi="Candara" w:cs="Times New Roman"/>
                <w:b/>
                <w:bCs/>
                <w:color w:val="FFFFFF" w:themeColor="background1"/>
                <w:kern w:val="24"/>
                <w:sz w:val="15"/>
                <w:szCs w:val="15"/>
              </w:rPr>
              <w:t>Specializācijas jomas</w:t>
            </w:r>
          </w:p>
        </w:tc>
        <w:tc>
          <w:tcPr>
            <w:tcW w:w="1858" w:type="pct"/>
            <w:shd w:val="clear" w:color="auto" w:fill="6D1D6B" w:themeFill="accent1" w:themeFillShade="BF"/>
            <w:vAlign w:val="center"/>
          </w:tcPr>
          <w:p w:rsidR="007D09BA" w:rsidRPr="005433E7" w:rsidP="00B86F69" w14:paraId="44B8F20E" w14:textId="77777777">
            <w:pPr>
              <w:spacing w:before="80" w:after="80" w:line="240" w:lineRule="auto"/>
              <w:jc w:val="center"/>
              <w:rPr>
                <w:rFonts w:ascii="Candara" w:hAnsi="Candara" w:cs="Times New Roman"/>
                <w:b/>
                <w:bCs/>
                <w:color w:val="FFFFFF" w:themeColor="background1"/>
                <w:sz w:val="15"/>
                <w:szCs w:val="15"/>
              </w:rPr>
            </w:pPr>
            <w:r w:rsidRPr="005433E7">
              <w:rPr>
                <w:rFonts w:ascii="Candara" w:hAnsi="Candara" w:cs="Times New Roman"/>
                <w:b/>
                <w:color w:val="FFFFFF" w:themeColor="background1"/>
                <w:sz w:val="15"/>
                <w:szCs w:val="15"/>
              </w:rPr>
              <w:t>Industrijas potenciālās specializācijas nišas 2014.gada diskusiju skatījumā</w:t>
            </w:r>
          </w:p>
        </w:tc>
        <w:tc>
          <w:tcPr>
            <w:tcW w:w="1623" w:type="pct"/>
            <w:shd w:val="clear" w:color="auto" w:fill="6D1D6B" w:themeFill="accent1" w:themeFillShade="BF"/>
            <w:vAlign w:val="center"/>
          </w:tcPr>
          <w:p w:rsidR="007D09BA" w:rsidRPr="005433E7" w:rsidP="00B86F69" w14:paraId="062ACE65" w14:textId="77777777">
            <w:pPr>
              <w:spacing w:before="80" w:after="80" w:line="240" w:lineRule="auto"/>
              <w:jc w:val="center"/>
              <w:rPr>
                <w:rFonts w:ascii="Candara" w:hAnsi="Candara" w:cs="Times New Roman"/>
                <w:b/>
                <w:color w:val="FFFFFF" w:themeColor="background1"/>
                <w:sz w:val="15"/>
                <w:szCs w:val="15"/>
              </w:rPr>
            </w:pPr>
            <w:r w:rsidRPr="005433E7">
              <w:rPr>
                <w:rFonts w:ascii="Candara" w:hAnsi="Candara" w:cs="Times New Roman"/>
                <w:b/>
                <w:color w:val="FFFFFF" w:themeColor="background1"/>
                <w:sz w:val="15"/>
                <w:szCs w:val="15"/>
              </w:rPr>
              <w:t>Pētījuma virziens/ rezultāts; Kompetences centri</w:t>
            </w:r>
            <w:r>
              <w:rPr>
                <w:rStyle w:val="FootnoteReference"/>
                <w:rFonts w:ascii="Candara" w:hAnsi="Candara" w:cs="Times New Roman"/>
                <w:b/>
                <w:color w:val="FFFFFF" w:themeColor="background1"/>
                <w:sz w:val="15"/>
                <w:szCs w:val="15"/>
              </w:rPr>
              <w:footnoteReference w:id="2"/>
            </w:r>
          </w:p>
        </w:tc>
        <w:tc>
          <w:tcPr>
            <w:tcW w:w="929" w:type="pct"/>
            <w:shd w:val="clear" w:color="auto" w:fill="6D1D6B" w:themeFill="accent1" w:themeFillShade="BF"/>
            <w:vAlign w:val="center"/>
          </w:tcPr>
          <w:p w:rsidR="007D09BA" w:rsidRPr="005433E7" w:rsidP="00B86F69" w14:paraId="333C9ADC" w14:textId="77777777">
            <w:pPr>
              <w:spacing w:before="80" w:after="80" w:line="240" w:lineRule="auto"/>
              <w:jc w:val="center"/>
              <w:rPr>
                <w:rFonts w:ascii="Candara" w:hAnsi="Candara" w:cs="Times New Roman"/>
                <w:b/>
                <w:color w:val="FFFFFF" w:themeColor="background1"/>
                <w:sz w:val="15"/>
                <w:szCs w:val="15"/>
              </w:rPr>
            </w:pPr>
            <w:r w:rsidRPr="005433E7">
              <w:rPr>
                <w:rFonts w:ascii="Candara" w:hAnsi="Candara" w:cs="Times New Roman"/>
                <w:b/>
                <w:color w:val="FFFFFF" w:themeColor="background1"/>
                <w:sz w:val="15"/>
                <w:szCs w:val="15"/>
              </w:rPr>
              <w:t>Klasteri (programma uzsākta ar 2017.g.)</w:t>
            </w:r>
          </w:p>
        </w:tc>
      </w:tr>
      <w:tr w14:paraId="0DE905E0" w14:textId="77777777" w:rsidTr="00232C83">
        <w:tblPrEx>
          <w:tblW w:w="4999" w:type="pct"/>
          <w:jc w:val="center"/>
          <w:tblLook w:val="04A0"/>
        </w:tblPrEx>
        <w:trPr>
          <w:trHeight w:val="254"/>
          <w:jc w:val="center"/>
        </w:trPr>
        <w:tc>
          <w:tcPr>
            <w:tcW w:w="590" w:type="pct"/>
            <w:tcBorders>
              <w:bottom w:val="single" w:sz="4" w:space="0" w:color="auto"/>
            </w:tcBorders>
          </w:tcPr>
          <w:p w:rsidR="007D09BA" w:rsidRPr="00656CCF" w:rsidP="00B86F69" w14:paraId="251EECE5" w14:textId="77777777">
            <w:pPr>
              <w:spacing w:before="80" w:after="80" w:line="240" w:lineRule="auto"/>
              <w:contextualSpacing/>
              <w:rPr>
                <w:rFonts w:ascii="Candara" w:eastAsia="Times New Roman" w:hAnsi="Candara" w:cs="Times New Roman"/>
                <w:spacing w:val="-8"/>
                <w:sz w:val="15"/>
                <w:szCs w:val="15"/>
              </w:rPr>
            </w:pPr>
            <w:r w:rsidRPr="00656CCF">
              <w:rPr>
                <w:rFonts w:ascii="Candara" w:eastAsia="Times New Roman" w:hAnsi="Candara" w:cs="Times New Roman"/>
                <w:bCs/>
                <w:spacing w:val="-8"/>
                <w:kern w:val="24"/>
                <w:sz w:val="15"/>
                <w:szCs w:val="15"/>
              </w:rPr>
              <w:t>1.Zināšanu ietilpīga bioekonomika.</w:t>
            </w:r>
          </w:p>
          <w:p w:rsidR="007D09BA" w:rsidRPr="00656CCF" w:rsidP="00B86F69" w14:paraId="2E72D19A" w14:textId="77777777">
            <w:pPr>
              <w:tabs>
                <w:tab w:val="num" w:pos="284"/>
              </w:tabs>
              <w:spacing w:before="80" w:after="80" w:line="240" w:lineRule="auto"/>
              <w:ind w:hanging="282"/>
              <w:rPr>
                <w:rFonts w:ascii="Candara" w:hAnsi="Candara" w:cs="Times New Roman"/>
                <w:b/>
                <w:bCs/>
                <w:spacing w:val="-8"/>
                <w:sz w:val="15"/>
                <w:szCs w:val="15"/>
              </w:rPr>
            </w:pPr>
          </w:p>
        </w:tc>
        <w:tc>
          <w:tcPr>
            <w:tcW w:w="1858" w:type="pct"/>
            <w:tcBorders>
              <w:bottom w:val="single" w:sz="4" w:space="0" w:color="auto"/>
            </w:tcBorders>
          </w:tcPr>
          <w:p w:rsidR="007D09BA" w:rsidRPr="00656CCF" w:rsidP="00B86F69" w14:paraId="05DFD492" w14:textId="77777777">
            <w:pPr>
              <w:spacing w:before="80" w:after="80" w:line="240" w:lineRule="auto"/>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Ilgtspējīga un produktīva meža audzēšana mainīgos klimata apstākļos; Koksnes biomasas pilnīga izmantošana ķīmiskajai pārstrādei un enerģijai; Inovatīvas, riskus mazinošas augu un dzīvnieku audzēšanas tehnoloģijas; Inovatīvu augstas pievienotās vērtības nišas produktu izstrāde no koksnes, tradicionālām un netradicionālām lauksaimniecības augu un dzīvnieku izejvielām; augu un dzīvnieku audzēšanas un pārstrādes blakusproduktu izmantošanas tehnoloģiskie risinājumi; Pārtikas drošība.</w:t>
            </w:r>
          </w:p>
        </w:tc>
        <w:tc>
          <w:tcPr>
            <w:tcW w:w="1623" w:type="pct"/>
            <w:tcBorders>
              <w:bottom w:val="single" w:sz="4" w:space="0" w:color="auto"/>
            </w:tcBorders>
          </w:tcPr>
          <w:p w:rsidR="007D09BA" w:rsidRPr="00656CCF" w:rsidP="00B86F69" w14:paraId="76EA8D6C" w14:textId="77777777">
            <w:pPr>
              <w:numPr>
                <w:ilvl w:val="0"/>
                <w:numId w:val="15"/>
              </w:numPr>
              <w:tabs>
                <w:tab w:val="left" w:pos="170"/>
              </w:tabs>
              <w:spacing w:before="80" w:after="80" w:line="240" w:lineRule="auto"/>
              <w:ind w:left="0" w:firstLine="28"/>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Latvijas ražotāju produktu tirgus palielināšana (LPKC)</w:t>
            </w:r>
            <w:r>
              <w:rPr>
                <w:rFonts w:ascii="Candara" w:eastAsia="Times New Roman" w:hAnsi="Candara" w:cs="Times New Roman"/>
                <w:spacing w:val="-8"/>
                <w:sz w:val="15"/>
                <w:szCs w:val="15"/>
                <w:vertAlign w:val="superscript"/>
              </w:rPr>
              <w:footnoteReference w:id="3"/>
            </w:r>
          </w:p>
          <w:p w:rsidR="007D09BA" w:rsidRPr="00656CCF" w:rsidP="00B86F69" w14:paraId="1F4064C4" w14:textId="77777777">
            <w:pPr>
              <w:numPr>
                <w:ilvl w:val="0"/>
                <w:numId w:val="15"/>
              </w:numPr>
              <w:tabs>
                <w:tab w:val="left" w:pos="0"/>
                <w:tab w:val="left" w:pos="170"/>
              </w:tabs>
              <w:spacing w:before="80" w:after="80" w:line="240" w:lineRule="auto"/>
              <w:ind w:left="0" w:firstLine="28"/>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Ražošanas pievienotās vērtības un konkurētspējas palielināšana. (LPKC)</w:t>
            </w:r>
          </w:p>
          <w:p w:rsidR="007D09BA" w:rsidRPr="00656CCF" w:rsidP="00B86F69" w14:paraId="046688DA" w14:textId="77777777">
            <w:pPr>
              <w:numPr>
                <w:ilvl w:val="0"/>
                <w:numId w:val="14"/>
              </w:numPr>
              <w:tabs>
                <w:tab w:val="left" w:pos="210"/>
                <w:tab w:val="left" w:pos="595"/>
              </w:tabs>
              <w:spacing w:before="80" w:after="80" w:line="240" w:lineRule="auto"/>
              <w:ind w:left="0" w:firstLine="28"/>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Meža kapitālvērtības palielināšana un mežsaimniecības attīstība (MNKC)</w:t>
            </w:r>
            <w:r>
              <w:rPr>
                <w:rFonts w:ascii="Candara" w:eastAsia="Times New Roman" w:hAnsi="Candara" w:cs="Times New Roman"/>
                <w:spacing w:val="-8"/>
                <w:sz w:val="15"/>
                <w:szCs w:val="15"/>
                <w:vertAlign w:val="superscript"/>
              </w:rPr>
              <w:footnoteReference w:id="4"/>
            </w:r>
          </w:p>
          <w:p w:rsidR="007D09BA" w:rsidRPr="00656CCF" w:rsidP="00B86F69" w14:paraId="6C9CB7E8" w14:textId="77777777">
            <w:pPr>
              <w:numPr>
                <w:ilvl w:val="0"/>
                <w:numId w:val="14"/>
              </w:numPr>
              <w:tabs>
                <w:tab w:val="left" w:pos="210"/>
                <w:tab w:val="left" w:pos="595"/>
              </w:tabs>
              <w:spacing w:before="80" w:after="80" w:line="240" w:lineRule="auto"/>
              <w:ind w:left="0" w:firstLine="28"/>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Jauni koksnes materiāli un tehnoloģijas. (MNKC)</w:t>
            </w:r>
          </w:p>
        </w:tc>
        <w:tc>
          <w:tcPr>
            <w:tcW w:w="929" w:type="pct"/>
            <w:tcBorders>
              <w:bottom w:val="single" w:sz="4" w:space="0" w:color="auto"/>
            </w:tcBorders>
          </w:tcPr>
          <w:p w:rsidR="007D09BA" w:rsidRPr="00656CCF" w:rsidP="00B86F69" w14:paraId="53483FA2" w14:textId="77777777">
            <w:pPr>
              <w:numPr>
                <w:ilvl w:val="0"/>
                <w:numId w:val="14"/>
              </w:numPr>
              <w:tabs>
                <w:tab w:val="left" w:pos="168"/>
              </w:tabs>
              <w:spacing w:before="80" w:after="80" w:line="240" w:lineRule="auto"/>
              <w:ind w:left="26" w:firstLine="0"/>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Pārtikas produktu kvalitātes klasteris</w:t>
            </w:r>
          </w:p>
          <w:p w:rsidR="007D09BA" w:rsidRPr="00656CCF" w:rsidP="00B86F69" w14:paraId="15BE098A" w14:textId="77777777">
            <w:pPr>
              <w:numPr>
                <w:ilvl w:val="0"/>
                <w:numId w:val="14"/>
              </w:numPr>
              <w:tabs>
                <w:tab w:val="left" w:pos="168"/>
              </w:tabs>
              <w:spacing w:before="80" w:after="80" w:line="240" w:lineRule="auto"/>
              <w:ind w:left="26" w:firstLine="0"/>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Latvijas Koka būvniecības klasteris</w:t>
            </w:r>
          </w:p>
          <w:p w:rsidR="007D09BA" w:rsidRPr="00656CCF" w:rsidP="00B86F69" w14:paraId="3680A4E3" w14:textId="77777777">
            <w:pPr>
              <w:numPr>
                <w:ilvl w:val="0"/>
                <w:numId w:val="14"/>
              </w:numPr>
              <w:tabs>
                <w:tab w:val="left" w:pos="168"/>
              </w:tabs>
              <w:spacing w:before="80" w:after="80" w:line="240" w:lineRule="auto"/>
              <w:ind w:left="26" w:firstLine="0"/>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CLEANTECH LATVIA (starp sektoru klasteris)</w:t>
            </w:r>
          </w:p>
          <w:p w:rsidR="007D09BA" w:rsidRPr="00656CCF" w:rsidP="00B86F69" w14:paraId="00426353" w14:textId="77777777">
            <w:pPr>
              <w:numPr>
                <w:ilvl w:val="0"/>
                <w:numId w:val="14"/>
              </w:numPr>
              <w:tabs>
                <w:tab w:val="left" w:pos="168"/>
              </w:tabs>
              <w:spacing w:before="80" w:after="80" w:line="240" w:lineRule="auto"/>
              <w:ind w:left="26" w:firstLine="0"/>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 xml:space="preserve">Viedās pilsētas klasteris (starp sektoru klasteris) </w:t>
            </w:r>
          </w:p>
        </w:tc>
      </w:tr>
      <w:tr w14:paraId="08F2440E" w14:textId="77777777" w:rsidTr="00232C83">
        <w:tblPrEx>
          <w:tblW w:w="4999" w:type="pct"/>
          <w:jc w:val="center"/>
          <w:tblLook w:val="04A0"/>
        </w:tblPrEx>
        <w:trPr>
          <w:trHeight w:val="818"/>
          <w:jc w:val="center"/>
        </w:trPr>
        <w:tc>
          <w:tcPr>
            <w:tcW w:w="590" w:type="pct"/>
            <w:tcBorders>
              <w:top w:val="single" w:sz="4" w:space="0" w:color="auto"/>
              <w:bottom w:val="single" w:sz="4" w:space="0" w:color="auto"/>
            </w:tcBorders>
          </w:tcPr>
          <w:p w:rsidR="007D09BA" w:rsidRPr="00656CCF" w:rsidP="00B86F69" w14:paraId="3F9327FC" w14:textId="77777777">
            <w:pPr>
              <w:spacing w:before="80" w:after="80" w:line="240" w:lineRule="auto"/>
              <w:contextualSpacing/>
              <w:rPr>
                <w:rFonts w:ascii="Candara" w:eastAsia="Times New Roman" w:hAnsi="Candara" w:cs="Times New Roman"/>
                <w:spacing w:val="-8"/>
                <w:sz w:val="15"/>
                <w:szCs w:val="15"/>
              </w:rPr>
            </w:pPr>
            <w:r w:rsidRPr="00656CCF">
              <w:rPr>
                <w:rFonts w:ascii="Candara" w:eastAsia="Times New Roman" w:hAnsi="Candara" w:cs="Times New Roman"/>
                <w:bCs/>
                <w:spacing w:val="-8"/>
                <w:kern w:val="24"/>
                <w:sz w:val="15"/>
                <w:szCs w:val="15"/>
              </w:rPr>
              <w:t>2.Biomedicīna, medicīnas tehnoloģijas, biofarmācija un biotehnoloģijas.</w:t>
            </w:r>
          </w:p>
        </w:tc>
        <w:tc>
          <w:tcPr>
            <w:tcW w:w="1858" w:type="pct"/>
            <w:tcBorders>
              <w:top w:val="single" w:sz="4" w:space="0" w:color="auto"/>
              <w:bottom w:val="single" w:sz="4" w:space="0" w:color="auto"/>
            </w:tcBorders>
          </w:tcPr>
          <w:p w:rsidR="007D09BA" w:rsidRPr="00656CCF" w:rsidP="00B86F69" w14:paraId="0B71CCF1" w14:textId="77777777">
            <w:pPr>
              <w:spacing w:before="80" w:after="80" w:line="240" w:lineRule="auto"/>
              <w:jc w:val="both"/>
              <w:rPr>
                <w:rFonts w:ascii="Candara" w:hAnsi="Candara"/>
                <w:spacing w:val="-8"/>
                <w:sz w:val="15"/>
                <w:szCs w:val="15"/>
              </w:rPr>
            </w:pPr>
            <w:r w:rsidRPr="00656CCF">
              <w:rPr>
                <w:rFonts w:ascii="Candara" w:hAnsi="Candara"/>
                <w:spacing w:val="-8"/>
                <w:sz w:val="15"/>
                <w:szCs w:val="15"/>
              </w:rPr>
              <w:t>Farmaceitisko un bioaktīvo vielu iegūšanas kīmiskās un biotehnoloģiskās metodes un produkti;</w:t>
            </w:r>
          </w:p>
          <w:p w:rsidR="007D09BA" w:rsidRPr="00656CCF" w:rsidP="00B86F69" w14:paraId="27CFEFCD" w14:textId="77777777">
            <w:pPr>
              <w:spacing w:before="80" w:after="80" w:line="240" w:lineRule="auto"/>
              <w:jc w:val="both"/>
              <w:rPr>
                <w:rFonts w:ascii="Candara" w:hAnsi="Candara"/>
                <w:spacing w:val="-8"/>
                <w:sz w:val="15"/>
                <w:szCs w:val="15"/>
              </w:rPr>
            </w:pPr>
            <w:r w:rsidRPr="00656CCF">
              <w:rPr>
                <w:rFonts w:ascii="Candara" w:hAnsi="Candara"/>
                <w:spacing w:val="-8"/>
                <w:sz w:val="15"/>
                <w:szCs w:val="15"/>
              </w:rPr>
              <w:t>Jaunu un esošo humāno un veterināro zāļu izstrāde un izpēte;</w:t>
            </w:r>
          </w:p>
          <w:p w:rsidR="007D09BA" w:rsidRPr="00656CCF" w:rsidP="00B86F69" w14:paraId="6F2F526D" w14:textId="77777777">
            <w:pPr>
              <w:spacing w:before="80" w:after="80" w:line="240" w:lineRule="auto"/>
              <w:jc w:val="both"/>
              <w:rPr>
                <w:rFonts w:ascii="Candara" w:hAnsi="Candara"/>
                <w:spacing w:val="-8"/>
                <w:sz w:val="15"/>
                <w:szCs w:val="15"/>
              </w:rPr>
            </w:pPr>
            <w:r w:rsidRPr="00656CCF">
              <w:rPr>
                <w:rFonts w:ascii="Candara" w:hAnsi="Candara"/>
                <w:spacing w:val="-8"/>
                <w:sz w:val="15"/>
                <w:szCs w:val="15"/>
              </w:rPr>
              <w:t>Molekulārās un individualizētās ārstēšanas un diagnostikas metodes un šūnu tehnoloģijas;</w:t>
            </w:r>
          </w:p>
          <w:p w:rsidR="007D09BA" w:rsidRPr="00656CCF" w:rsidP="00B86F69" w14:paraId="057A2054" w14:textId="77777777">
            <w:pPr>
              <w:spacing w:before="80" w:after="80" w:line="240" w:lineRule="auto"/>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Funkcionālā pārtika, ārstnieciskā kosmētika un bioaktīvi dabas vielu produkti.</w:t>
            </w:r>
          </w:p>
        </w:tc>
        <w:tc>
          <w:tcPr>
            <w:tcW w:w="1623" w:type="pct"/>
            <w:tcBorders>
              <w:top w:val="single" w:sz="4" w:space="0" w:color="auto"/>
              <w:bottom w:val="single" w:sz="4" w:space="0" w:color="auto"/>
            </w:tcBorders>
          </w:tcPr>
          <w:p w:rsidR="007D09BA" w:rsidRPr="00656CCF" w:rsidP="00B86F69" w14:paraId="3936EC64" w14:textId="77777777">
            <w:pPr>
              <w:numPr>
                <w:ilvl w:val="0"/>
                <w:numId w:val="14"/>
              </w:numPr>
              <w:tabs>
                <w:tab w:val="left" w:pos="170"/>
              </w:tabs>
              <w:spacing w:before="80" w:after="80" w:line="240" w:lineRule="auto"/>
              <w:ind w:left="28" w:hanging="28"/>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Oriģinālzāles un ģenēriskās zāles – aktīvo medicīnas vielu izpēte jaunu t.sk. patentbrīvo medikamentu izstrādei, specifisku vielu novērtēšana konkrētu slimību ārstēšanai u.tml. (FBMTKC)</w:t>
            </w:r>
            <w:r>
              <w:rPr>
                <w:rFonts w:ascii="Candara" w:eastAsia="Times New Roman" w:hAnsi="Candara" w:cs="Times New Roman"/>
                <w:spacing w:val="-8"/>
                <w:sz w:val="15"/>
                <w:szCs w:val="15"/>
                <w:vertAlign w:val="superscript"/>
              </w:rPr>
              <w:footnoteReference w:id="5"/>
            </w:r>
          </w:p>
          <w:p w:rsidR="007D09BA" w:rsidRPr="00656CCF" w:rsidP="00B86F69" w14:paraId="0B1782CF" w14:textId="77777777">
            <w:pPr>
              <w:numPr>
                <w:ilvl w:val="0"/>
                <w:numId w:val="14"/>
              </w:numPr>
              <w:tabs>
                <w:tab w:val="left" w:pos="170"/>
              </w:tabs>
              <w:spacing w:before="80" w:after="80" w:line="240" w:lineRule="auto"/>
              <w:ind w:left="28" w:hanging="28"/>
              <w:contextualSpacing/>
              <w:jc w:val="both"/>
              <w:rPr>
                <w:rFonts w:ascii="Candara" w:eastAsia="Times New Roman" w:hAnsi="Candara" w:cs="Times New Roman"/>
                <w:spacing w:val="-8"/>
                <w:sz w:val="15"/>
                <w:szCs w:val="15"/>
              </w:rPr>
            </w:pPr>
            <w:r w:rsidRPr="00656CCF">
              <w:rPr>
                <w:rFonts w:ascii="Candara" w:hAnsi="Candara"/>
                <w:spacing w:val="-8"/>
                <w:sz w:val="15"/>
                <w:szCs w:val="15"/>
              </w:rPr>
              <w:t xml:space="preserve">Dabas vielu zāļu attīstība </w:t>
            </w:r>
            <w:r w:rsidRPr="00656CCF">
              <w:rPr>
                <w:rFonts w:ascii="Candara" w:eastAsia="Times New Roman" w:hAnsi="Candara" w:cs="Times New Roman"/>
                <w:spacing w:val="-8"/>
                <w:sz w:val="15"/>
                <w:szCs w:val="15"/>
              </w:rPr>
              <w:t>(FBMTKC)</w:t>
            </w:r>
          </w:p>
        </w:tc>
        <w:tc>
          <w:tcPr>
            <w:tcW w:w="929" w:type="pct"/>
            <w:tcBorders>
              <w:top w:val="single" w:sz="4" w:space="0" w:color="auto"/>
              <w:bottom w:val="single" w:sz="4" w:space="0" w:color="auto"/>
            </w:tcBorders>
          </w:tcPr>
          <w:p w:rsidR="007D09BA" w:rsidRPr="00656CCF" w:rsidP="00B86F69" w14:paraId="200207CF" w14:textId="77777777">
            <w:pPr>
              <w:numPr>
                <w:ilvl w:val="0"/>
                <w:numId w:val="14"/>
              </w:numPr>
              <w:tabs>
                <w:tab w:val="left" w:pos="168"/>
              </w:tabs>
              <w:spacing w:before="80" w:after="80" w:line="240" w:lineRule="auto"/>
              <w:ind w:left="26" w:firstLine="0"/>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Latvijas Dzīvības zinātņu nozares attīstības klasteris - LifeScience.lv</w:t>
            </w:r>
          </w:p>
        </w:tc>
      </w:tr>
      <w:tr w14:paraId="6DEA58CF" w14:textId="77777777" w:rsidTr="00232C83">
        <w:tblPrEx>
          <w:tblW w:w="4999" w:type="pct"/>
          <w:jc w:val="center"/>
          <w:tblLook w:val="04A0"/>
        </w:tblPrEx>
        <w:trPr>
          <w:trHeight w:val="668"/>
          <w:jc w:val="center"/>
        </w:trPr>
        <w:tc>
          <w:tcPr>
            <w:tcW w:w="590" w:type="pct"/>
            <w:tcBorders>
              <w:top w:val="single" w:sz="4" w:space="0" w:color="auto"/>
              <w:bottom w:val="single" w:sz="4" w:space="0" w:color="auto"/>
            </w:tcBorders>
          </w:tcPr>
          <w:p w:rsidR="007D09BA" w:rsidRPr="00656CCF" w:rsidP="00B86F69" w14:paraId="512974DF" w14:textId="77777777">
            <w:pPr>
              <w:spacing w:before="80" w:after="80" w:line="240" w:lineRule="auto"/>
              <w:contextualSpacing/>
              <w:rPr>
                <w:rFonts w:ascii="Candara" w:eastAsia="Times New Roman" w:hAnsi="Candara" w:cs="Times New Roman"/>
                <w:spacing w:val="-8"/>
                <w:sz w:val="15"/>
                <w:szCs w:val="15"/>
              </w:rPr>
            </w:pPr>
            <w:r w:rsidRPr="00656CCF">
              <w:rPr>
                <w:rFonts w:ascii="Candara" w:eastAsia="Times New Roman" w:hAnsi="Candara" w:cs="Times New Roman"/>
                <w:bCs/>
                <w:spacing w:val="-8"/>
                <w:kern w:val="24"/>
                <w:sz w:val="15"/>
                <w:szCs w:val="15"/>
              </w:rPr>
              <w:t>3.Viedie materiāli, tehnoloģijas un inženiersistēmas.</w:t>
            </w:r>
          </w:p>
        </w:tc>
        <w:tc>
          <w:tcPr>
            <w:tcW w:w="1858" w:type="pct"/>
            <w:tcBorders>
              <w:top w:val="single" w:sz="4" w:space="0" w:color="auto"/>
              <w:bottom w:val="single" w:sz="4" w:space="0" w:color="auto"/>
            </w:tcBorders>
          </w:tcPr>
          <w:p w:rsidR="007D09BA" w:rsidRPr="00656CCF" w:rsidP="00B86F69" w14:paraId="3E757A29" w14:textId="77777777">
            <w:pPr>
              <w:spacing w:before="80" w:after="80" w:line="240" w:lineRule="auto"/>
              <w:jc w:val="both"/>
              <w:rPr>
                <w:rFonts w:ascii="Candara" w:hAnsi="Candara" w:cs="Times New Roman"/>
                <w:color w:val="000000"/>
                <w:spacing w:val="-8"/>
                <w:sz w:val="15"/>
                <w:szCs w:val="15"/>
              </w:rPr>
            </w:pPr>
            <w:r w:rsidRPr="00656CCF">
              <w:rPr>
                <w:rFonts w:ascii="Candara" w:hAnsi="Candara" w:cs="Times New Roman"/>
                <w:color w:val="000000"/>
                <w:spacing w:val="-8"/>
                <w:sz w:val="15"/>
                <w:szCs w:val="15"/>
              </w:rPr>
              <w:t xml:space="preserve">Implantu materiāli, kompozītmateriāli, plānie slāņi un pārklājumi, iekārtas, mehānismi un darba mašīnas, stikla šķiedras izstrādājumi un viedie materiālus uz stikla šķiedras bāzes. </w:t>
            </w:r>
          </w:p>
        </w:tc>
        <w:tc>
          <w:tcPr>
            <w:tcW w:w="1623" w:type="pct"/>
            <w:tcBorders>
              <w:top w:val="single" w:sz="4" w:space="0" w:color="auto"/>
              <w:bottom w:val="single" w:sz="4" w:space="0" w:color="auto"/>
            </w:tcBorders>
          </w:tcPr>
          <w:p w:rsidR="007D09BA" w:rsidRPr="00656CCF" w:rsidP="00B86F69" w14:paraId="3BDC46FE" w14:textId="77777777">
            <w:pPr>
              <w:tabs>
                <w:tab w:val="left" w:pos="225"/>
              </w:tabs>
              <w:spacing w:before="80" w:after="80" w:line="240" w:lineRule="auto"/>
              <w:jc w:val="both"/>
              <w:rPr>
                <w:rFonts w:ascii="Candara" w:hAnsi="Candara"/>
                <w:color w:val="000000"/>
                <w:spacing w:val="-8"/>
                <w:sz w:val="15"/>
                <w:szCs w:val="15"/>
                <w:u w:val="single"/>
              </w:rPr>
            </w:pPr>
            <w:r w:rsidRPr="00656CCF">
              <w:rPr>
                <w:rFonts w:ascii="Candara" w:hAnsi="Candara"/>
                <w:color w:val="000000"/>
                <w:spacing w:val="-8"/>
                <w:sz w:val="15"/>
                <w:szCs w:val="15"/>
                <w:u w:val="single"/>
              </w:rPr>
              <w:t>Viedie materiāli tehnoloģijas un inžniersistēmas - modernas ražošanas tehnoloģijas un inženiersistēmas</w:t>
            </w:r>
          </w:p>
          <w:p w:rsidR="007D09BA" w:rsidRPr="00656CCF" w:rsidP="00B86F69" w14:paraId="0C9C5EC9" w14:textId="77777777">
            <w:pPr>
              <w:numPr>
                <w:ilvl w:val="0"/>
                <w:numId w:val="16"/>
              </w:numPr>
              <w:tabs>
                <w:tab w:val="left" w:pos="240"/>
              </w:tabs>
              <w:spacing w:before="80" w:after="80" w:line="240" w:lineRule="auto"/>
              <w:ind w:left="28" w:firstLine="0"/>
              <w:contextualSpacing/>
              <w:jc w:val="both"/>
              <w:rPr>
                <w:rFonts w:ascii="Candara" w:eastAsia="Times New Roman" w:hAnsi="Candara" w:cs="Times New Roman"/>
                <w:color w:val="000000"/>
                <w:spacing w:val="-8"/>
                <w:sz w:val="15"/>
                <w:szCs w:val="15"/>
              </w:rPr>
            </w:pPr>
            <w:r w:rsidRPr="00656CCF">
              <w:rPr>
                <w:rFonts w:ascii="Candara" w:eastAsia="Times New Roman" w:hAnsi="Candara" w:cs="Times New Roman"/>
                <w:color w:val="000000"/>
                <w:spacing w:val="-8"/>
                <w:sz w:val="15"/>
                <w:szCs w:val="15"/>
              </w:rPr>
              <w:t>Automatizētu inženiersistēmu un materiālu ražošanas tehnoloģijas. (MKC)</w:t>
            </w:r>
          </w:p>
          <w:p w:rsidR="007D09BA" w:rsidRPr="00656CCF" w:rsidP="00B86F69" w14:paraId="65ECF6B2" w14:textId="77777777">
            <w:pPr>
              <w:numPr>
                <w:ilvl w:val="0"/>
                <w:numId w:val="16"/>
              </w:numPr>
              <w:tabs>
                <w:tab w:val="left" w:pos="225"/>
              </w:tabs>
              <w:spacing w:before="80" w:after="80" w:line="240" w:lineRule="auto"/>
              <w:ind w:left="28" w:firstLine="0"/>
              <w:contextualSpacing/>
              <w:jc w:val="both"/>
              <w:rPr>
                <w:rFonts w:ascii="Candara" w:eastAsia="Times New Roman" w:hAnsi="Candara" w:cs="Times New Roman"/>
                <w:color w:val="000000"/>
                <w:spacing w:val="-8"/>
                <w:sz w:val="15"/>
                <w:szCs w:val="15"/>
              </w:rPr>
            </w:pPr>
            <w:r w:rsidRPr="00656CCF">
              <w:rPr>
                <w:rFonts w:ascii="Candara" w:eastAsia="Times New Roman" w:hAnsi="Candara" w:cs="Times New Roman"/>
                <w:color w:val="000000"/>
                <w:spacing w:val="-8"/>
                <w:sz w:val="15"/>
                <w:szCs w:val="15"/>
              </w:rPr>
              <w:t>Transporta tehnoloģiju attīstība(MKC)</w:t>
            </w:r>
          </w:p>
          <w:p w:rsidR="007D09BA" w:rsidRPr="00656CCF" w:rsidP="00B86F69" w14:paraId="4EC0F4E9" w14:textId="77777777">
            <w:pPr>
              <w:tabs>
                <w:tab w:val="left" w:pos="225"/>
              </w:tabs>
              <w:spacing w:before="80" w:after="80" w:line="240" w:lineRule="auto"/>
              <w:jc w:val="both"/>
              <w:rPr>
                <w:rFonts w:ascii="Candara" w:hAnsi="Candara"/>
                <w:color w:val="000000"/>
                <w:spacing w:val="-8"/>
                <w:sz w:val="15"/>
                <w:szCs w:val="15"/>
                <w:u w:val="single"/>
              </w:rPr>
            </w:pPr>
            <w:r w:rsidRPr="00656CCF">
              <w:rPr>
                <w:rFonts w:ascii="Candara" w:hAnsi="Candara"/>
                <w:color w:val="000000"/>
                <w:spacing w:val="-8"/>
                <w:sz w:val="15"/>
                <w:szCs w:val="15"/>
                <w:u w:val="single"/>
              </w:rPr>
              <w:t>Viedie materiāli, tehnoloģijas un inženiersistēmas – viedie materiāli</w:t>
            </w:r>
          </w:p>
          <w:p w:rsidR="007D09BA" w:rsidRPr="00656CCF" w:rsidP="00B86F69" w14:paraId="5B807E36" w14:textId="77777777">
            <w:pPr>
              <w:numPr>
                <w:ilvl w:val="0"/>
                <w:numId w:val="17"/>
              </w:numPr>
              <w:tabs>
                <w:tab w:val="left" w:pos="225"/>
                <w:tab w:val="left" w:pos="255"/>
              </w:tabs>
              <w:spacing w:before="80" w:after="80" w:line="240" w:lineRule="auto"/>
              <w:ind w:left="28" w:firstLine="0"/>
              <w:contextualSpacing/>
              <w:jc w:val="both"/>
              <w:rPr>
                <w:rFonts w:ascii="Candara" w:eastAsia="Times New Roman" w:hAnsi="Candara" w:cs="Times New Roman"/>
                <w:color w:val="000000"/>
                <w:spacing w:val="-8"/>
                <w:sz w:val="15"/>
                <w:szCs w:val="15"/>
              </w:rPr>
            </w:pPr>
            <w:r w:rsidRPr="00656CCF">
              <w:rPr>
                <w:rFonts w:ascii="Candara" w:eastAsia="Times New Roman" w:hAnsi="Candara" w:cs="Times New Roman"/>
                <w:color w:val="000000"/>
                <w:spacing w:val="-8"/>
                <w:sz w:val="15"/>
                <w:szCs w:val="15"/>
              </w:rPr>
              <w:t>Viedo pārklājumu un materiālu izstrāde, viedās tehnoloģijas, nanotehnoloģijas un nanometeriāli. (VMTKC)</w:t>
            </w:r>
            <w:r>
              <w:rPr>
                <w:rFonts w:ascii="Candara" w:eastAsia="Times New Roman" w:hAnsi="Candara" w:cs="Times New Roman"/>
                <w:color w:val="000000"/>
                <w:spacing w:val="-8"/>
                <w:sz w:val="15"/>
                <w:szCs w:val="15"/>
                <w:vertAlign w:val="superscript"/>
              </w:rPr>
              <w:footnoteReference w:id="6"/>
            </w:r>
          </w:p>
        </w:tc>
        <w:tc>
          <w:tcPr>
            <w:tcW w:w="929" w:type="pct"/>
            <w:tcBorders>
              <w:top w:val="single" w:sz="4" w:space="0" w:color="auto"/>
              <w:bottom w:val="single" w:sz="4" w:space="0" w:color="auto"/>
            </w:tcBorders>
          </w:tcPr>
          <w:p w:rsidR="007D09BA" w:rsidRPr="00656CCF" w:rsidP="00B86F69" w14:paraId="6B76C936" w14:textId="77777777">
            <w:pPr>
              <w:numPr>
                <w:ilvl w:val="0"/>
                <w:numId w:val="17"/>
              </w:numPr>
              <w:tabs>
                <w:tab w:val="left" w:pos="168"/>
              </w:tabs>
              <w:spacing w:before="80" w:after="80" w:line="240" w:lineRule="auto"/>
              <w:ind w:left="26" w:firstLine="0"/>
              <w:contextualSpacing/>
              <w:jc w:val="both"/>
              <w:rPr>
                <w:rFonts w:ascii="Candara" w:eastAsia="Times New Roman" w:hAnsi="Candara" w:cs="Times New Roman"/>
                <w:color w:val="000000"/>
                <w:spacing w:val="-8"/>
                <w:sz w:val="15"/>
                <w:szCs w:val="15"/>
              </w:rPr>
            </w:pPr>
            <w:r w:rsidRPr="00656CCF">
              <w:rPr>
                <w:rFonts w:ascii="Candara" w:eastAsia="Times New Roman" w:hAnsi="Candara" w:cs="Times New Roman"/>
                <w:color w:val="000000"/>
                <w:spacing w:val="-8"/>
                <w:sz w:val="15"/>
                <w:szCs w:val="15"/>
              </w:rPr>
              <w:t>Metālapstrādes klasteris</w:t>
            </w:r>
          </w:p>
          <w:p w:rsidR="007D09BA" w:rsidRPr="00656CCF" w:rsidP="00B86F69" w14:paraId="47121687" w14:textId="77777777">
            <w:pPr>
              <w:numPr>
                <w:ilvl w:val="0"/>
                <w:numId w:val="17"/>
              </w:numPr>
              <w:tabs>
                <w:tab w:val="left" w:pos="168"/>
              </w:tabs>
              <w:spacing w:before="80" w:after="80" w:line="240" w:lineRule="auto"/>
              <w:ind w:left="26" w:firstLine="0"/>
              <w:contextualSpacing/>
              <w:jc w:val="both"/>
              <w:rPr>
                <w:rFonts w:ascii="Candara" w:eastAsia="Times New Roman" w:hAnsi="Candara" w:cs="Times New Roman"/>
                <w:color w:val="000000"/>
                <w:spacing w:val="-8"/>
                <w:sz w:val="15"/>
                <w:szCs w:val="15"/>
              </w:rPr>
            </w:pPr>
            <w:r w:rsidRPr="00656CCF">
              <w:rPr>
                <w:rFonts w:ascii="Candara" w:eastAsia="Times New Roman" w:hAnsi="Candara" w:cs="Times New Roman"/>
                <w:color w:val="000000"/>
                <w:spacing w:val="-8"/>
                <w:sz w:val="15"/>
                <w:szCs w:val="15"/>
              </w:rPr>
              <w:t xml:space="preserve">Zaļo un viedo tehnoloģiju klasteris </w:t>
            </w:r>
            <w:r w:rsidRPr="00656CCF">
              <w:rPr>
                <w:rFonts w:ascii="Candara" w:eastAsia="Times New Roman" w:hAnsi="Candara" w:cs="Times New Roman"/>
                <w:spacing w:val="-8"/>
                <w:sz w:val="15"/>
                <w:szCs w:val="15"/>
              </w:rPr>
              <w:t>(starp sektoru klasteris)</w:t>
            </w:r>
          </w:p>
          <w:p w:rsidR="007D09BA" w:rsidRPr="00656CCF" w:rsidP="00B86F69" w14:paraId="1BF700E7" w14:textId="77777777">
            <w:pPr>
              <w:numPr>
                <w:ilvl w:val="0"/>
                <w:numId w:val="17"/>
              </w:numPr>
              <w:tabs>
                <w:tab w:val="left" w:pos="168"/>
              </w:tabs>
              <w:spacing w:before="80" w:after="80" w:line="240" w:lineRule="auto"/>
              <w:ind w:left="26" w:firstLine="0"/>
              <w:contextualSpacing/>
              <w:jc w:val="both"/>
              <w:rPr>
                <w:rFonts w:ascii="Candara" w:eastAsia="Times New Roman" w:hAnsi="Candara" w:cs="Times New Roman"/>
                <w:color w:val="000000"/>
                <w:spacing w:val="-8"/>
                <w:sz w:val="15"/>
                <w:szCs w:val="15"/>
              </w:rPr>
            </w:pPr>
            <w:r w:rsidRPr="00656CCF">
              <w:rPr>
                <w:rFonts w:ascii="Candara" w:eastAsia="Times New Roman" w:hAnsi="Candara" w:cs="Times New Roman"/>
                <w:color w:val="000000"/>
                <w:spacing w:val="-8"/>
                <w:sz w:val="15"/>
                <w:szCs w:val="15"/>
              </w:rPr>
              <w:t>Drukas un mēdiju tehnoloģijas klasteris</w:t>
            </w:r>
          </w:p>
        </w:tc>
      </w:tr>
      <w:tr w14:paraId="2EF731EC" w14:textId="77777777" w:rsidTr="00232C83">
        <w:tblPrEx>
          <w:tblW w:w="4999" w:type="pct"/>
          <w:jc w:val="center"/>
          <w:tblLook w:val="04A0"/>
        </w:tblPrEx>
        <w:trPr>
          <w:trHeight w:val="202"/>
          <w:jc w:val="center"/>
        </w:trPr>
        <w:tc>
          <w:tcPr>
            <w:tcW w:w="590" w:type="pct"/>
            <w:tcBorders>
              <w:top w:val="single" w:sz="4" w:space="0" w:color="auto"/>
              <w:bottom w:val="single" w:sz="4" w:space="0" w:color="auto"/>
            </w:tcBorders>
          </w:tcPr>
          <w:p w:rsidR="007D09BA" w:rsidRPr="00656CCF" w:rsidP="00B86F69" w14:paraId="525DF48F" w14:textId="77777777">
            <w:pPr>
              <w:spacing w:before="80" w:after="80" w:line="240" w:lineRule="auto"/>
              <w:contextualSpacing/>
              <w:rPr>
                <w:rFonts w:ascii="Candara" w:eastAsia="Times New Roman" w:hAnsi="Candara" w:cs="Times New Roman"/>
                <w:spacing w:val="-8"/>
                <w:sz w:val="15"/>
                <w:szCs w:val="15"/>
              </w:rPr>
            </w:pPr>
            <w:r w:rsidRPr="00656CCF">
              <w:rPr>
                <w:rFonts w:ascii="Candara" w:eastAsia="Times New Roman" w:hAnsi="Candara" w:cs="Times New Roman"/>
                <w:bCs/>
                <w:spacing w:val="-8"/>
                <w:kern w:val="24"/>
                <w:sz w:val="15"/>
                <w:szCs w:val="15"/>
              </w:rPr>
              <w:t>4.Viedā enerģētika.</w:t>
            </w:r>
          </w:p>
        </w:tc>
        <w:tc>
          <w:tcPr>
            <w:tcW w:w="1858" w:type="pct"/>
            <w:tcBorders>
              <w:top w:val="single" w:sz="4" w:space="0" w:color="auto"/>
              <w:bottom w:val="single" w:sz="4" w:space="0" w:color="auto"/>
            </w:tcBorders>
          </w:tcPr>
          <w:p w:rsidR="007D09BA" w:rsidRPr="00656CCF" w:rsidP="00B86F69" w14:paraId="797BF96C" w14:textId="77777777">
            <w:pPr>
              <w:spacing w:before="80" w:after="80" w:line="240" w:lineRule="auto"/>
              <w:rPr>
                <w:rFonts w:ascii="Candara" w:hAnsi="Candara"/>
                <w:spacing w:val="-8"/>
                <w:sz w:val="15"/>
                <w:szCs w:val="15"/>
              </w:rPr>
            </w:pPr>
            <w:r w:rsidRPr="00656CCF">
              <w:rPr>
                <w:rFonts w:ascii="Candara" w:hAnsi="Candara"/>
                <w:spacing w:val="-8"/>
                <w:sz w:val="15"/>
                <w:szCs w:val="15"/>
              </w:rPr>
              <w:t>Resursu cenas; Energoresursu patēriņa intensitāte; ES klimata un enerģētikas ietvars 2030.</w:t>
            </w:r>
          </w:p>
        </w:tc>
        <w:tc>
          <w:tcPr>
            <w:tcW w:w="1623" w:type="pct"/>
            <w:tcBorders>
              <w:top w:val="single" w:sz="4" w:space="0" w:color="auto"/>
              <w:bottom w:val="single" w:sz="4" w:space="0" w:color="auto"/>
            </w:tcBorders>
          </w:tcPr>
          <w:p w:rsidR="007D09BA" w:rsidRPr="00656CCF" w:rsidP="00B86F69" w14:paraId="241C9E85" w14:textId="77777777">
            <w:pPr>
              <w:numPr>
                <w:ilvl w:val="0"/>
                <w:numId w:val="17"/>
              </w:numPr>
              <w:tabs>
                <w:tab w:val="left" w:pos="170"/>
              </w:tabs>
              <w:spacing w:before="80" w:after="80" w:line="240" w:lineRule="auto"/>
              <w:ind w:left="28" w:firstLine="0"/>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Sekmēt jaunu produktu un tehnoloģiju attīstību. (VITEKC)</w:t>
            </w:r>
            <w:r>
              <w:rPr>
                <w:rFonts w:ascii="Candara" w:eastAsia="Times New Roman" w:hAnsi="Candara" w:cs="Times New Roman"/>
                <w:spacing w:val="-8"/>
                <w:sz w:val="15"/>
                <w:szCs w:val="15"/>
                <w:vertAlign w:val="superscript"/>
              </w:rPr>
              <w:footnoteReference w:id="7"/>
            </w:r>
          </w:p>
          <w:p w:rsidR="007D09BA" w:rsidRPr="00656CCF" w:rsidP="00B86F69" w14:paraId="78FA1893" w14:textId="77777777">
            <w:pPr>
              <w:numPr>
                <w:ilvl w:val="0"/>
                <w:numId w:val="17"/>
              </w:numPr>
              <w:tabs>
                <w:tab w:val="left" w:pos="170"/>
              </w:tabs>
              <w:spacing w:before="80" w:after="80" w:line="240" w:lineRule="auto"/>
              <w:ind w:left="28" w:firstLine="0"/>
              <w:contextualSpacing/>
              <w:jc w:val="both"/>
              <w:rPr>
                <w:rFonts w:ascii="Candara" w:eastAsia="Times New Roman" w:hAnsi="Candara" w:cs="Times New Roman"/>
                <w:spacing w:val="-8"/>
                <w:sz w:val="15"/>
                <w:szCs w:val="15"/>
              </w:rPr>
            </w:pPr>
            <w:r w:rsidRPr="00656CCF">
              <w:rPr>
                <w:rFonts w:ascii="Candara" w:hAnsi="Candara"/>
                <w:spacing w:val="-8"/>
                <w:sz w:val="15"/>
                <w:szCs w:val="15"/>
              </w:rPr>
              <w:t>Veicināt jaunu produktu izstrādi uz eksportu orientēto uzņēmumu efektīvāku jaunu noieta tirgu apgūšana. (VITEKC)</w:t>
            </w:r>
          </w:p>
        </w:tc>
        <w:tc>
          <w:tcPr>
            <w:tcW w:w="929" w:type="pct"/>
            <w:tcBorders>
              <w:top w:val="single" w:sz="4" w:space="0" w:color="auto"/>
              <w:bottom w:val="single" w:sz="4" w:space="0" w:color="auto"/>
            </w:tcBorders>
          </w:tcPr>
          <w:p w:rsidR="007D09BA" w:rsidRPr="00656CCF" w:rsidP="00B86F69" w14:paraId="2D8DAB73" w14:textId="77777777">
            <w:pPr>
              <w:numPr>
                <w:ilvl w:val="0"/>
                <w:numId w:val="17"/>
              </w:numPr>
              <w:tabs>
                <w:tab w:val="left" w:pos="168"/>
              </w:tabs>
              <w:spacing w:before="80" w:after="80" w:line="240" w:lineRule="auto"/>
              <w:ind w:left="26" w:firstLine="0"/>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Latvijas Elektronikas un elektrotehnikas klasteris</w:t>
            </w:r>
          </w:p>
        </w:tc>
      </w:tr>
      <w:tr w14:paraId="2986D8C4" w14:textId="77777777" w:rsidTr="00232C83">
        <w:tblPrEx>
          <w:tblW w:w="4999" w:type="pct"/>
          <w:jc w:val="center"/>
          <w:tblLook w:val="04A0"/>
        </w:tblPrEx>
        <w:trPr>
          <w:trHeight w:val="68"/>
          <w:jc w:val="center"/>
        </w:trPr>
        <w:tc>
          <w:tcPr>
            <w:tcW w:w="590" w:type="pct"/>
            <w:tcBorders>
              <w:top w:val="single" w:sz="4" w:space="0" w:color="auto"/>
              <w:bottom w:val="single" w:sz="4" w:space="0" w:color="auto"/>
            </w:tcBorders>
          </w:tcPr>
          <w:p w:rsidR="007D09BA" w:rsidRPr="00656CCF" w:rsidP="00B86F69" w14:paraId="5C42E7B9" w14:textId="77777777">
            <w:pPr>
              <w:spacing w:before="80" w:after="80" w:line="240" w:lineRule="auto"/>
              <w:contextualSpacing/>
              <w:rPr>
                <w:rFonts w:ascii="Candara" w:eastAsia="Times New Roman" w:hAnsi="Candara" w:cs="Times New Roman"/>
                <w:spacing w:val="-8"/>
                <w:sz w:val="15"/>
                <w:szCs w:val="15"/>
              </w:rPr>
            </w:pPr>
            <w:r w:rsidRPr="00656CCF">
              <w:rPr>
                <w:rFonts w:ascii="Candara" w:eastAsia="Times New Roman" w:hAnsi="Candara" w:cs="Times New Roman"/>
                <w:bCs/>
                <w:spacing w:val="-8"/>
                <w:kern w:val="24"/>
                <w:sz w:val="15"/>
                <w:szCs w:val="15"/>
              </w:rPr>
              <w:t>5.Informācijas un komunikāciju tehnoloģijas.</w:t>
            </w:r>
          </w:p>
          <w:p w:rsidR="007D09BA" w:rsidRPr="00656CCF" w:rsidP="00B86F69" w14:paraId="0DC09EDE" w14:textId="77777777">
            <w:pPr>
              <w:tabs>
                <w:tab w:val="num" w:pos="284"/>
              </w:tabs>
              <w:spacing w:before="80" w:after="80" w:line="240" w:lineRule="auto"/>
              <w:ind w:hanging="282"/>
              <w:rPr>
                <w:rFonts w:ascii="Candara" w:hAnsi="Candara" w:cs="Times New Roman"/>
                <w:b/>
                <w:bCs/>
                <w:spacing w:val="-8"/>
                <w:sz w:val="15"/>
                <w:szCs w:val="15"/>
              </w:rPr>
            </w:pPr>
          </w:p>
        </w:tc>
        <w:tc>
          <w:tcPr>
            <w:tcW w:w="1858" w:type="pct"/>
            <w:tcBorders>
              <w:top w:val="single" w:sz="4" w:space="0" w:color="auto"/>
              <w:bottom w:val="single" w:sz="4" w:space="0" w:color="auto"/>
            </w:tcBorders>
          </w:tcPr>
          <w:p w:rsidR="007D09BA" w:rsidRPr="00656CCF" w:rsidP="00B86F69" w14:paraId="319B6B63" w14:textId="77777777">
            <w:pPr>
              <w:tabs>
                <w:tab w:val="left" w:pos="284"/>
              </w:tabs>
              <w:spacing w:before="80" w:after="80" w:line="240" w:lineRule="auto"/>
              <w:jc w:val="both"/>
              <w:rPr>
                <w:rFonts w:ascii="Candara" w:hAnsi="Candara" w:cs="Times New Roman"/>
                <w:spacing w:val="-8"/>
                <w:sz w:val="15"/>
                <w:szCs w:val="15"/>
              </w:rPr>
            </w:pPr>
            <w:r w:rsidRPr="00656CCF">
              <w:rPr>
                <w:rFonts w:ascii="Candara" w:hAnsi="Candara" w:cs="Times New Roman"/>
                <w:spacing w:val="-8"/>
                <w:sz w:val="15"/>
                <w:szCs w:val="15"/>
              </w:rPr>
              <w:t>Inovatīva zināšanu pārvaldība, sistēmu modelēšanas un programmatūras izstrādes metodes un rīki; inovatīvi nozaru IKT aparatūras (</w:t>
            </w:r>
            <w:r w:rsidRPr="00656CCF">
              <w:rPr>
                <w:rFonts w:ascii="Candara" w:hAnsi="Candara" w:cs="Times New Roman"/>
                <w:i/>
                <w:spacing w:val="-8"/>
                <w:sz w:val="15"/>
                <w:szCs w:val="15"/>
              </w:rPr>
              <w:t>hardware</w:t>
            </w:r>
            <w:r w:rsidRPr="00656CCF">
              <w:rPr>
                <w:rFonts w:ascii="Candara" w:hAnsi="Candara" w:cs="Times New Roman"/>
                <w:spacing w:val="-8"/>
                <w:sz w:val="15"/>
                <w:szCs w:val="15"/>
              </w:rPr>
              <w:t>) un programmatūras (</w:t>
            </w:r>
            <w:r w:rsidRPr="00656CCF">
              <w:rPr>
                <w:rFonts w:ascii="Candara" w:hAnsi="Candara" w:cs="Times New Roman"/>
                <w:i/>
                <w:spacing w:val="-8"/>
                <w:sz w:val="15"/>
                <w:szCs w:val="15"/>
              </w:rPr>
              <w:t>software</w:t>
            </w:r>
            <w:r w:rsidRPr="00656CCF">
              <w:rPr>
                <w:rFonts w:ascii="Candara" w:hAnsi="Candara" w:cs="Times New Roman"/>
                <w:spacing w:val="-8"/>
                <w:sz w:val="15"/>
                <w:szCs w:val="15"/>
              </w:rPr>
              <w:t>) lietojumi; kiberfizikālās sistēmas, valodu tehnoloģijas un semantiskais tīmeklis; lielapjoma datu un zināšanu infrastruktūra; informācijas drošība un kvantu datori; datorsistēmu testēšanas metodes.</w:t>
            </w:r>
          </w:p>
        </w:tc>
        <w:tc>
          <w:tcPr>
            <w:tcW w:w="1623" w:type="pct"/>
            <w:tcBorders>
              <w:top w:val="single" w:sz="4" w:space="0" w:color="auto"/>
              <w:bottom w:val="single" w:sz="4" w:space="0" w:color="auto"/>
            </w:tcBorders>
          </w:tcPr>
          <w:p w:rsidR="007D09BA" w:rsidRPr="00656CCF" w:rsidP="00B86F69" w14:paraId="32738C68" w14:textId="77777777">
            <w:pPr>
              <w:tabs>
                <w:tab w:val="left" w:pos="170"/>
              </w:tabs>
              <w:spacing w:before="80" w:after="80" w:line="240" w:lineRule="auto"/>
              <w:ind w:left="28"/>
              <w:contextualSpacing/>
              <w:jc w:val="both"/>
              <w:rPr>
                <w:rFonts w:ascii="Candara" w:eastAsia="Times New Roman" w:hAnsi="Candara" w:cs="Times New Roman"/>
                <w:spacing w:val="-8"/>
                <w:sz w:val="15"/>
                <w:szCs w:val="15"/>
                <w:u w:val="single"/>
              </w:rPr>
            </w:pPr>
            <w:r w:rsidRPr="00656CCF">
              <w:rPr>
                <w:rFonts w:ascii="Candara" w:eastAsia="Times New Roman" w:hAnsi="Candara" w:cs="Times New Roman"/>
                <w:spacing w:val="-8"/>
                <w:sz w:val="15"/>
                <w:szCs w:val="15"/>
                <w:u w:val="single"/>
              </w:rPr>
              <w:t>Informācijas un komunikācijas tehnoloģijas – informācijas un komunikāciju tehnoloģijas</w:t>
            </w:r>
          </w:p>
          <w:p w:rsidR="007D09BA" w:rsidRPr="00656CCF" w:rsidP="00B86F69" w14:paraId="15DE4AA6" w14:textId="77777777">
            <w:pPr>
              <w:numPr>
                <w:ilvl w:val="0"/>
                <w:numId w:val="18"/>
              </w:numPr>
              <w:tabs>
                <w:tab w:val="left" w:pos="170"/>
              </w:tabs>
              <w:spacing w:before="80" w:after="80" w:line="240" w:lineRule="auto"/>
              <w:ind w:left="38" w:firstLine="0"/>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Inovatīvas zināšanu pārvaldības, sistēmu modelēšanas un programmatūras izstrādes metodes un rīki, to izmantošana (ITKC)</w:t>
            </w:r>
            <w:r>
              <w:rPr>
                <w:rFonts w:ascii="Candara" w:eastAsia="Times New Roman" w:hAnsi="Candara" w:cs="Times New Roman"/>
                <w:spacing w:val="-8"/>
                <w:sz w:val="15"/>
                <w:szCs w:val="15"/>
                <w:vertAlign w:val="superscript"/>
              </w:rPr>
              <w:footnoteReference w:id="8"/>
            </w:r>
          </w:p>
          <w:p w:rsidR="007D09BA" w:rsidRPr="00656CCF" w:rsidP="00B86F69" w14:paraId="0BE2861E" w14:textId="77777777">
            <w:pPr>
              <w:numPr>
                <w:ilvl w:val="0"/>
                <w:numId w:val="18"/>
              </w:numPr>
              <w:tabs>
                <w:tab w:val="left" w:pos="170"/>
              </w:tabs>
              <w:spacing w:before="80" w:after="80" w:line="240" w:lineRule="auto"/>
              <w:ind w:left="38" w:firstLine="0"/>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Inovatīvi nozaru IKT aparatūras un programmatūras lietojumi. (ITKC)</w:t>
            </w:r>
          </w:p>
          <w:p w:rsidR="007D09BA" w:rsidRPr="00656CCF" w:rsidP="00B86F69" w14:paraId="0C3FEF23" w14:textId="77777777">
            <w:pPr>
              <w:numPr>
                <w:ilvl w:val="0"/>
                <w:numId w:val="18"/>
              </w:numPr>
              <w:tabs>
                <w:tab w:val="left" w:pos="170"/>
              </w:tabs>
              <w:spacing w:before="80" w:after="80" w:line="240" w:lineRule="auto"/>
              <w:ind w:left="38" w:firstLine="0"/>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lang w:val="pl-PL"/>
              </w:rPr>
              <w:t>Lielapjoma datu un zināšanu infrastruktura (ITKC)</w:t>
            </w:r>
          </w:p>
          <w:p w:rsidR="007D09BA" w:rsidRPr="00656CCF" w:rsidP="00B86F69" w14:paraId="0BC5DB13" w14:textId="77777777">
            <w:pPr>
              <w:spacing w:before="80" w:after="80" w:line="240" w:lineRule="auto"/>
              <w:rPr>
                <w:rFonts w:ascii="Candara" w:hAnsi="Candara"/>
                <w:spacing w:val="-8"/>
                <w:sz w:val="15"/>
                <w:szCs w:val="15"/>
                <w:u w:val="single"/>
              </w:rPr>
            </w:pPr>
            <w:r w:rsidRPr="00656CCF">
              <w:rPr>
                <w:rFonts w:ascii="Candara" w:hAnsi="Candara"/>
                <w:spacing w:val="-8"/>
                <w:sz w:val="15"/>
                <w:szCs w:val="15"/>
                <w:u w:val="single"/>
              </w:rPr>
              <w:t>Informācijas un komunikācijas tehnoloģijas – aparātbūve (elektronika)</w:t>
            </w:r>
          </w:p>
          <w:p w:rsidR="007D09BA" w:rsidRPr="00656CCF" w:rsidP="00B86F69" w14:paraId="407214B6" w14:textId="77777777">
            <w:pPr>
              <w:numPr>
                <w:ilvl w:val="0"/>
                <w:numId w:val="18"/>
              </w:numPr>
              <w:tabs>
                <w:tab w:val="left" w:pos="170"/>
              </w:tabs>
              <w:spacing w:before="80" w:after="80" w:line="240" w:lineRule="auto"/>
              <w:ind w:left="38" w:firstLine="0"/>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Jaunu produktu izstrāde elektronikas, elektrotehnikas jomā. (LEO)</w:t>
            </w:r>
            <w:r>
              <w:rPr>
                <w:rFonts w:ascii="Candara" w:eastAsia="Times New Roman" w:hAnsi="Candara" w:cs="Times New Roman"/>
                <w:spacing w:val="-8"/>
                <w:sz w:val="15"/>
                <w:szCs w:val="15"/>
                <w:vertAlign w:val="superscript"/>
              </w:rPr>
              <w:footnoteReference w:id="9"/>
            </w:r>
          </w:p>
        </w:tc>
        <w:tc>
          <w:tcPr>
            <w:tcW w:w="929" w:type="pct"/>
            <w:tcBorders>
              <w:top w:val="single" w:sz="4" w:space="0" w:color="auto"/>
              <w:bottom w:val="single" w:sz="4" w:space="0" w:color="auto"/>
            </w:tcBorders>
          </w:tcPr>
          <w:p w:rsidR="007D09BA" w:rsidRPr="00656CCF" w:rsidP="00B86F69" w14:paraId="7391556B" w14:textId="77777777">
            <w:pPr>
              <w:numPr>
                <w:ilvl w:val="0"/>
                <w:numId w:val="18"/>
              </w:numPr>
              <w:tabs>
                <w:tab w:val="left" w:pos="168"/>
              </w:tabs>
              <w:spacing w:before="80" w:after="80" w:line="240" w:lineRule="auto"/>
              <w:ind w:left="26" w:firstLine="0"/>
              <w:contextualSpacing/>
              <w:jc w:val="both"/>
              <w:rPr>
                <w:rFonts w:ascii="Candara" w:eastAsia="Times New Roman" w:hAnsi="Candara" w:cs="Times New Roman"/>
                <w:spacing w:val="-8"/>
                <w:sz w:val="15"/>
                <w:szCs w:val="15"/>
              </w:rPr>
            </w:pPr>
            <w:r w:rsidRPr="00656CCF">
              <w:rPr>
                <w:rFonts w:ascii="Candara" w:eastAsia="Times New Roman" w:hAnsi="Candara" w:cs="Times New Roman"/>
                <w:spacing w:val="-8"/>
                <w:sz w:val="15"/>
                <w:szCs w:val="15"/>
              </w:rPr>
              <w:t>Informāciju Tehnoloģiju klasteris</w:t>
            </w:r>
          </w:p>
        </w:tc>
      </w:tr>
    </w:tbl>
    <w:p w:rsidR="00FB3AFD" w14:paraId="3536AA73" w14:textId="77777777">
      <w:pPr>
        <w:rPr>
          <w:rFonts w:ascii="Candara" w:eastAsia="Times New Roman" w:hAnsi="Candara" w:cstheme="majorBidi"/>
          <w:b/>
          <w:color w:val="FFFFFF" w:themeColor="background1"/>
          <w:sz w:val="32"/>
          <w:szCs w:val="32"/>
          <w:lang w:eastAsia="lv-LV"/>
        </w:rPr>
      </w:pPr>
      <w:bookmarkStart w:id="19" w:name="_Toc484445190"/>
      <w:r>
        <w:rPr>
          <w:rFonts w:ascii="Candara" w:eastAsia="Times New Roman" w:hAnsi="Candara"/>
          <w:b/>
          <w:color w:val="FFFFFF" w:themeColor="background1"/>
          <w:lang w:eastAsia="lv-LV"/>
        </w:rPr>
        <w:br w:type="page"/>
      </w:r>
    </w:p>
    <w:p w:rsidR="00A400D3" w:rsidRPr="00883473" w:rsidP="00A400D3" w14:paraId="0D35D00D" w14:textId="77777777">
      <w:pPr>
        <w:pStyle w:val="Heading1"/>
        <w:shd w:val="clear" w:color="auto" w:fill="6D1D6A" w:themeFill="accent1" w:themeFillShade="BF"/>
        <w:rPr>
          <w:rFonts w:ascii="Candara" w:eastAsia="Times New Roman" w:hAnsi="Candara"/>
          <w:b/>
          <w:color w:val="FFFFFF" w:themeColor="background1"/>
          <w:lang w:eastAsia="lv-LV"/>
        </w:rPr>
      </w:pPr>
      <w:bookmarkStart w:id="20" w:name="_Toc256000006"/>
      <w:bookmarkStart w:id="21" w:name="_Toc256000022"/>
      <w:r>
        <w:rPr>
          <w:rFonts w:ascii="Candara" w:eastAsia="Times New Roman" w:hAnsi="Candara"/>
          <w:b/>
          <w:color w:val="FFFFFF" w:themeColor="background1"/>
          <w:lang w:eastAsia="lv-LV"/>
        </w:rPr>
        <w:t xml:space="preserve">4. </w:t>
      </w:r>
      <w:r>
        <w:rPr>
          <w:rFonts w:ascii="Candara" w:eastAsia="Times New Roman" w:hAnsi="Candara"/>
          <w:b/>
          <w:color w:val="FFFFFF" w:themeColor="background1"/>
          <w:lang w:eastAsia="lv-LV"/>
        </w:rPr>
        <w:t>EKONOMIKAS ATTĪSTĪBAS TENDENCES</w:t>
      </w:r>
      <w:r w:rsidR="001A6C18">
        <w:rPr>
          <w:rFonts w:ascii="Candara" w:eastAsia="Times New Roman" w:hAnsi="Candara"/>
          <w:b/>
          <w:color w:val="FFFFFF" w:themeColor="background1"/>
          <w:lang w:eastAsia="lv-LV"/>
        </w:rPr>
        <w:t>,</w:t>
      </w:r>
      <w:r>
        <w:rPr>
          <w:rFonts w:ascii="Candara" w:eastAsia="Times New Roman" w:hAnsi="Candara"/>
          <w:b/>
          <w:color w:val="FFFFFF" w:themeColor="background1"/>
          <w:lang w:eastAsia="lv-LV"/>
        </w:rPr>
        <w:t xml:space="preserve"> MĒRĶI</w:t>
      </w:r>
      <w:r w:rsidR="001A6C18">
        <w:rPr>
          <w:rFonts w:ascii="Candara" w:eastAsia="Times New Roman" w:hAnsi="Candara"/>
          <w:b/>
          <w:color w:val="FFFFFF" w:themeColor="background1"/>
          <w:lang w:eastAsia="lv-LV"/>
        </w:rPr>
        <w:t xml:space="preserve"> UN IZAICINĀJUMI</w:t>
      </w:r>
      <w:bookmarkEnd w:id="21"/>
      <w:bookmarkEnd w:id="20"/>
      <w:bookmarkEnd w:id="19"/>
    </w:p>
    <w:p w:rsidR="007D09BA" w:rsidRPr="008A2A10" w:rsidP="00214364" w14:paraId="647B4721" w14:textId="77777777">
      <w:pPr>
        <w:spacing w:before="60" w:after="60" w:line="240" w:lineRule="auto"/>
        <w:ind w:firstLine="426"/>
        <w:jc w:val="both"/>
        <w:rPr>
          <w:rFonts w:ascii="Candara" w:hAnsi="Candara"/>
        </w:rPr>
      </w:pPr>
      <w:r w:rsidRPr="008A2A10">
        <w:rPr>
          <w:rFonts w:ascii="Candara" w:hAnsi="Candara"/>
        </w:rPr>
        <w:t>Latvijas ekonomik</w:t>
      </w:r>
      <w:r>
        <w:rPr>
          <w:rFonts w:ascii="Candara" w:hAnsi="Candara"/>
        </w:rPr>
        <w:t xml:space="preserve">a </w:t>
      </w:r>
      <w:r w:rsidRPr="008A2A10">
        <w:rPr>
          <w:rFonts w:ascii="Candara" w:hAnsi="Candara"/>
        </w:rPr>
        <w:t>ir makroekonomiski sabalansēta, bet tai trūkst stimulu jaunu konkurētspējas priekšrocību veidošanā visos ar ražošanas paplašināšanu un modernizāciju saistītajos procesos.</w:t>
      </w:r>
    </w:p>
    <w:p w:rsidR="007D09BA" w:rsidRPr="002C616B" w:rsidP="00EC206C" w14:paraId="6864B6F8" w14:textId="77777777">
      <w:pPr>
        <w:spacing w:before="60" w:after="60" w:line="240" w:lineRule="auto"/>
        <w:ind w:firstLine="426"/>
        <w:jc w:val="both"/>
        <w:rPr>
          <w:rFonts w:ascii="Candara" w:hAnsi="Candara" w:cs="Times New Roman"/>
          <w:szCs w:val="24"/>
        </w:rPr>
      </w:pPr>
      <w:r w:rsidRPr="002C616B">
        <w:rPr>
          <w:rFonts w:ascii="Candara" w:hAnsi="Candara" w:cs="Times New Roman"/>
          <w:szCs w:val="24"/>
        </w:rPr>
        <w:t>Latvijas ekonomikas atkopšanās pēc krīzes bija strauja – 2011. un 2012.gadā IKP pieauga vidēji par 5,1%. Turpmākajos gados izaugsmes tempi pakāpeniski samazinā</w:t>
      </w:r>
      <w:r w:rsidR="00C25A22">
        <w:rPr>
          <w:rFonts w:ascii="Candara" w:hAnsi="Candara" w:cs="Times New Roman"/>
          <w:szCs w:val="24"/>
        </w:rPr>
        <w:t>jā</w:t>
      </w:r>
      <w:r w:rsidRPr="002C616B">
        <w:rPr>
          <w:rFonts w:ascii="Candara" w:hAnsi="Candara" w:cs="Times New Roman"/>
          <w:szCs w:val="24"/>
        </w:rPr>
        <w:t>s – pēdējos četros gado</w:t>
      </w:r>
      <w:r>
        <w:rPr>
          <w:rFonts w:ascii="Candara" w:hAnsi="Candara" w:cs="Times New Roman"/>
          <w:szCs w:val="24"/>
        </w:rPr>
        <w:t>s IKP pieauga vidēji gadā par 2 procentiem (3.attēls)</w:t>
      </w:r>
      <w:r w:rsidRPr="002C616B">
        <w:rPr>
          <w:rFonts w:ascii="Candara" w:hAnsi="Candara" w:cs="Times New Roman"/>
          <w:szCs w:val="24"/>
        </w:rPr>
        <w:t>.</w:t>
      </w:r>
      <w:r w:rsidR="00C25A22">
        <w:rPr>
          <w:rFonts w:ascii="Candara" w:hAnsi="Candara" w:cs="Times New Roman"/>
          <w:szCs w:val="24"/>
        </w:rPr>
        <w:t xml:space="preserve"> </w:t>
      </w:r>
      <w:r>
        <w:rPr>
          <w:rFonts w:ascii="Candara" w:hAnsi="Candara" w:cs="Times New Roman"/>
          <w:szCs w:val="24"/>
        </w:rPr>
        <w:t xml:space="preserve">Latvijas ekonomikā ir novērstas izteiktās makroekonomiskās disproporcijas un mazināts ekonomikas ievainojamības riskus pret iekšējiem un ārējiem šokiem. </w:t>
      </w:r>
      <w:r w:rsidRPr="002C616B">
        <w:rPr>
          <w:rFonts w:ascii="Candara" w:hAnsi="Candara" w:cs="Times New Roman"/>
          <w:szCs w:val="24"/>
        </w:rPr>
        <w:t xml:space="preserve">Lai arī pašlaik Latvijas ekonomika ir makroekonomiski sabalansēta, tomēr tai trūkst straujākas izaugsmes stimuli. Nav izteiktas tendences, kas ļautu noteikt galvenos izaugsmes dzinuļus. Izaugsmes tempus </w:t>
      </w:r>
      <w:r>
        <w:rPr>
          <w:rFonts w:ascii="Candara" w:hAnsi="Candara" w:cs="Times New Roman"/>
          <w:szCs w:val="24"/>
        </w:rPr>
        <w:t xml:space="preserve">īstermiņā </w:t>
      </w:r>
      <w:r w:rsidRPr="002C616B">
        <w:rPr>
          <w:rFonts w:ascii="Candara" w:hAnsi="Candara" w:cs="Times New Roman"/>
          <w:szCs w:val="24"/>
        </w:rPr>
        <w:t>nosaka dažādi īslaicīgi konjunktūras apstākļi un tie nesola noturīgu devumu turpmākās izaugsmes nosacījumos.</w:t>
      </w:r>
    </w:p>
    <w:p w:rsidR="007D09BA" w:rsidP="00214364" w14:paraId="7ACC3D34" w14:textId="77777777">
      <w:pPr>
        <w:spacing w:before="60" w:after="60" w:line="240" w:lineRule="auto"/>
        <w:ind w:firstLine="426"/>
        <w:jc w:val="both"/>
        <w:rPr>
          <w:rFonts w:ascii="Candara" w:hAnsi="Candara"/>
          <w:szCs w:val="24"/>
        </w:rPr>
      </w:pPr>
      <w:r>
        <w:rPr>
          <w:rFonts w:ascii="Candara" w:hAnsi="Candara"/>
          <w:szCs w:val="24"/>
        </w:rPr>
        <w:t>E</w:t>
      </w:r>
      <w:r w:rsidRPr="008A2A10">
        <w:rPr>
          <w:rFonts w:ascii="Candara" w:hAnsi="Candara"/>
          <w:szCs w:val="24"/>
        </w:rPr>
        <w:t>konomika</w:t>
      </w:r>
      <w:r>
        <w:rPr>
          <w:rFonts w:ascii="Candara" w:hAnsi="Candara"/>
          <w:szCs w:val="24"/>
        </w:rPr>
        <w:t xml:space="preserve">s aktivitātes kopumā </w:t>
      </w:r>
      <w:r w:rsidRPr="008A2A10">
        <w:rPr>
          <w:rFonts w:ascii="Candara" w:hAnsi="Candara"/>
          <w:szCs w:val="24"/>
        </w:rPr>
        <w:t>nav sasniegu</w:t>
      </w:r>
      <w:r>
        <w:rPr>
          <w:rFonts w:ascii="Candara" w:hAnsi="Candara"/>
          <w:szCs w:val="24"/>
        </w:rPr>
        <w:t xml:space="preserve">šas </w:t>
      </w:r>
      <w:r w:rsidRPr="008A2A10">
        <w:rPr>
          <w:rFonts w:ascii="Candara" w:hAnsi="Candara"/>
          <w:szCs w:val="24"/>
        </w:rPr>
        <w:t>pirmskrīzes līmeni. Konkurētspējas rādītāju dinamika liecina, ka Latvijas ekonomikas modelis nav mainījies un</w:t>
      </w:r>
      <w:r>
        <w:rPr>
          <w:rFonts w:ascii="Candara" w:hAnsi="Candara"/>
          <w:szCs w:val="24"/>
        </w:rPr>
        <w:t xml:space="preserve"> joprojām saglabājas darbaspēka zemo izmaksu konkurētspējas priekšrocības</w:t>
      </w:r>
      <w:r w:rsidRPr="008A2A10">
        <w:rPr>
          <w:rFonts w:ascii="Candara" w:hAnsi="Candara"/>
          <w:szCs w:val="24"/>
        </w:rPr>
        <w:t>.</w:t>
      </w:r>
      <w:r>
        <w:rPr>
          <w:rFonts w:ascii="Candara" w:hAnsi="Candara"/>
          <w:szCs w:val="24"/>
        </w:rPr>
        <w:t xml:space="preserve"> Saglabājoties esošajam stāvoklim, ekonomikas izaugsmes tempi vidējā termiņā var sasniegt vien 2-3% gadā</w:t>
      </w:r>
      <w:r w:rsidRPr="00795F97">
        <w:rPr>
          <w:rFonts w:ascii="Candara" w:hAnsi="Candara" w:cs="Times New Roman"/>
          <w:szCs w:val="24"/>
        </w:rPr>
        <w:t xml:space="preserve"> </w:t>
      </w:r>
      <w:r w:rsidRPr="002C616B">
        <w:rPr>
          <w:rFonts w:ascii="Candara" w:hAnsi="Candara" w:cs="Times New Roman"/>
          <w:szCs w:val="24"/>
        </w:rPr>
        <w:t>un ekonomikai ir risks nonākt vidēju ienākumu slazdā.</w:t>
      </w:r>
    </w:p>
    <w:p w:rsidR="007D09BA" w:rsidP="007D09BA" w14:paraId="0854F06D" w14:textId="77777777">
      <w:pPr>
        <w:spacing w:after="0" w:line="240" w:lineRule="auto"/>
        <w:jc w:val="both"/>
        <w:rPr>
          <w:rFonts w:ascii="Candara" w:hAnsi="Candara"/>
          <w:szCs w:val="24"/>
        </w:rPr>
      </w:pPr>
    </w:p>
    <w:tbl>
      <w:tblPr>
        <w:tblStyle w:val="TableGrid"/>
        <w:tblpPr w:leftFromText="180" w:rightFromText="180" w:vertAnchor="text" w:tblpXSpec="right" w:tblpY="1"/>
        <w:tblOverlap w:val="never"/>
        <w:tblW w:w="6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9114"/>
      </w:tblGrid>
      <w:tr w14:paraId="694239EA" w14:textId="77777777" w:rsidTr="00BB2095">
        <w:tblPrEx>
          <w:tblW w:w="6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trHeight w:val="3557"/>
        </w:trPr>
        <w:tc>
          <w:tcPr>
            <w:tcW w:w="6609" w:type="dxa"/>
          </w:tcPr>
          <w:p w:rsidR="007D09BA" w:rsidRPr="0048778F" w:rsidP="00BB2095" w14:paraId="3D9834E1" w14:textId="77777777">
            <w:pPr>
              <w:ind w:left="-32"/>
              <w:jc w:val="center"/>
              <w:rPr>
                <w:rFonts w:ascii="Candara" w:eastAsia="SimSun" w:hAnsi="Candara" w:cs="Times New Roman"/>
                <w:sz w:val="20"/>
                <w:szCs w:val="24"/>
                <w:lang w:eastAsia="zh-CN" w:bidi="lo-LA"/>
              </w:rPr>
            </w:pPr>
            <w:r w:rsidRPr="002F77F7">
              <w:rPr>
                <w:rFonts w:ascii="Candara" w:eastAsia="SimSun" w:hAnsi="Candara" w:cs="Times New Roman"/>
                <w:b/>
                <w:lang w:eastAsia="zh-CN" w:bidi="lo-LA"/>
              </w:rPr>
              <w:t xml:space="preserve">3.attēls. </w:t>
            </w:r>
            <w:r w:rsidRPr="00A2199B">
              <w:rPr>
                <w:rFonts w:ascii="Candara" w:eastAsia="SimSun" w:hAnsi="Candara" w:cs="Times New Roman"/>
                <w:b/>
                <w:sz w:val="24"/>
                <w:szCs w:val="24"/>
                <w:lang w:eastAsia="zh-CN" w:bidi="lo-LA"/>
              </w:rPr>
              <w:t>Lat</w:t>
            </w:r>
            <w:r>
              <w:rPr>
                <w:rFonts w:ascii="Candara" w:eastAsia="SimSun" w:hAnsi="Candara" w:cs="Times New Roman"/>
                <w:b/>
                <w:sz w:val="24"/>
                <w:szCs w:val="24"/>
                <w:lang w:eastAsia="zh-CN" w:bidi="lo-LA"/>
              </w:rPr>
              <w:t>vijas tautsaimniecības izaugsme</w:t>
            </w:r>
            <w:r>
              <w:rPr>
                <w:rFonts w:ascii="Candara" w:eastAsia="SimSun" w:hAnsi="Candara" w:cs="Times New Roman"/>
                <w:sz w:val="20"/>
                <w:szCs w:val="24"/>
                <w:lang w:eastAsia="zh-CN" w:bidi="lo-LA"/>
              </w:rPr>
              <w:t>, IKP dinamika, 2004.gads = 100</w:t>
            </w:r>
          </w:p>
          <w:p w:rsidR="007D09BA" w:rsidP="00BB2095" w14:paraId="133166D2" w14:textId="77777777">
            <w:pPr>
              <w:spacing w:after="120"/>
              <w:ind w:left="-32"/>
              <w:jc w:val="center"/>
              <w:rPr>
                <w:rFonts w:ascii="Candara" w:hAnsi="Candara" w:cs="Times New Roman"/>
              </w:rPr>
            </w:pPr>
            <w:r w:rsidRPr="008A2A10">
              <w:rPr>
                <w:rFonts w:ascii="Candara" w:hAnsi="Candara"/>
                <w:noProof/>
                <w:sz w:val="20"/>
                <w:szCs w:val="20"/>
                <w:lang w:eastAsia="lv-LV"/>
              </w:rPr>
              <mc:AlternateContent>
                <mc:Choice Requires="wps">
                  <w:drawing>
                    <wp:anchor distT="0" distB="0" distL="114300" distR="114300" simplePos="0" relativeHeight="251749376" behindDoc="0" locked="0" layoutInCell="1" allowOverlap="1">
                      <wp:simplePos x="0" y="0"/>
                      <wp:positionH relativeFrom="column">
                        <wp:posOffset>4023995</wp:posOffset>
                      </wp:positionH>
                      <wp:positionV relativeFrom="paragraph">
                        <wp:posOffset>1952625</wp:posOffset>
                      </wp:positionV>
                      <wp:extent cx="1716405" cy="242570"/>
                      <wp:effectExtent l="0" t="0" r="0" b="0"/>
                      <wp:wrapNone/>
                      <wp:docPr id="355" name="TextBox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716405" cy="242570"/>
                              </a:xfrm>
                              <a:prstGeom prst="rect">
                                <a:avLst/>
                              </a:prstGeom>
                              <a:noFill/>
                            </wps:spPr>
                            <wps:txbx>
                              <w:txbxContent>
                                <w:p w:rsidR="00B55C40" w:rsidRPr="00636EF4" w:rsidP="007D09BA" w14:textId="77777777">
                                  <w:pPr>
                                    <w:spacing w:after="0"/>
                                    <w:jc w:val="center"/>
                                    <w:textAlignment w:val="baseline"/>
                                    <w:rPr>
                                      <w:rFonts w:ascii="Arial Narrow" w:hAnsi="Arial Narrow"/>
                                      <w:color w:val="C00000"/>
                                      <w:w w:val="80"/>
                                      <w:sz w:val="18"/>
                                      <w:szCs w:val="18"/>
                                    </w:rPr>
                                  </w:pPr>
                                  <w:r w:rsidRPr="00636EF4">
                                    <w:rPr>
                                      <w:rFonts w:ascii="Arial Narrow" w:eastAsia="Verdana" w:hAnsi="Arial Narrow" w:cs="Verdana"/>
                                      <w:color w:val="C00000"/>
                                      <w:w w:val="80"/>
                                      <w:kern w:val="24"/>
                                      <w:sz w:val="18"/>
                                      <w:szCs w:val="18"/>
                                    </w:rPr>
                                    <w:t xml:space="preserve">2018.-2022.gadā IKP </w:t>
                                  </w:r>
                                  <w:r w:rsidRPr="00636EF4">
                                    <w:rPr>
                                      <w:rFonts w:ascii="Arial Narrow" w:eastAsia="Verdana" w:hAnsi="Arial Narrow" w:cs="Arial"/>
                                      <w:color w:val="C00000"/>
                                      <w:w w:val="80"/>
                                      <w:kern w:val="24"/>
                                      <w:sz w:val="18"/>
                                      <w:szCs w:val="18"/>
                                    </w:rPr>
                                    <w:t>↑</w:t>
                                  </w:r>
                                  <w:r w:rsidRPr="00636EF4">
                                    <w:rPr>
                                      <w:rFonts w:ascii="Arial Narrow" w:eastAsia="Verdana" w:hAnsi="Arial Narrow" w:cs="Verdana"/>
                                      <w:color w:val="C00000"/>
                                      <w:w w:val="80"/>
                                      <w:kern w:val="24"/>
                                      <w:sz w:val="18"/>
                                      <w:szCs w:val="18"/>
                                    </w:rPr>
                                    <w:t xml:space="preserve"> vidēji 2,5%</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27" o:spid="_x0000_s1104" type="#_x0000_t202" style="width:135.15pt;height:19.1pt;margin-top:153.75pt;margin-left:316.85pt;mso-height-percent:0;mso-height-relative:page;mso-width-percent:0;mso-width-relative:margin;mso-wrap-distance-bottom:0;mso-wrap-distance-left:9pt;mso-wrap-distance-right:9pt;mso-wrap-distance-top:0;mso-wrap-style:square;position:absolute;visibility:visible;v-text-anchor:top;z-index:251750400" filled="f" stroked="f">
                      <v:path arrowok="t" textboxrect="0,0,21600,21600"/>
                      <v:textbox style="mso-fit-shape-to-text:t">
                        <w:txbxContent>
                          <w:p w:rsidR="00B55C40" w:rsidRPr="00636EF4" w:rsidP="007D09BA" w14:paraId="3B1DFD47" w14:textId="77777777">
                            <w:pPr>
                              <w:spacing w:after="0"/>
                              <w:jc w:val="center"/>
                              <w:textAlignment w:val="baseline"/>
                              <w:rPr>
                                <w:rFonts w:ascii="Arial Narrow" w:hAnsi="Arial Narrow"/>
                                <w:color w:val="C00000"/>
                                <w:w w:val="80"/>
                                <w:sz w:val="18"/>
                                <w:szCs w:val="18"/>
                              </w:rPr>
                            </w:pPr>
                            <w:r w:rsidRPr="00636EF4">
                              <w:rPr>
                                <w:rFonts w:ascii="Arial Narrow" w:eastAsia="Verdana" w:hAnsi="Arial Narrow" w:cs="Verdana"/>
                                <w:color w:val="C00000"/>
                                <w:w w:val="80"/>
                                <w:kern w:val="24"/>
                                <w:sz w:val="18"/>
                                <w:szCs w:val="18"/>
                              </w:rPr>
                              <w:t xml:space="preserve">2018.-2022.gadā IKP </w:t>
                            </w:r>
                            <w:r w:rsidRPr="00636EF4">
                              <w:rPr>
                                <w:rFonts w:ascii="Arial Narrow" w:eastAsia="Verdana" w:hAnsi="Arial Narrow" w:cs="Arial"/>
                                <w:color w:val="C00000"/>
                                <w:w w:val="80"/>
                                <w:kern w:val="24"/>
                                <w:sz w:val="18"/>
                                <w:szCs w:val="18"/>
                              </w:rPr>
                              <w:t>↑</w:t>
                            </w:r>
                            <w:r w:rsidRPr="00636EF4">
                              <w:rPr>
                                <w:rFonts w:ascii="Arial Narrow" w:eastAsia="Verdana" w:hAnsi="Arial Narrow" w:cs="Verdana"/>
                                <w:color w:val="C00000"/>
                                <w:w w:val="80"/>
                                <w:kern w:val="24"/>
                                <w:sz w:val="18"/>
                                <w:szCs w:val="18"/>
                              </w:rPr>
                              <w:t xml:space="preserve"> vidēji 2,5%</w:t>
                            </w:r>
                          </w:p>
                        </w:txbxContent>
                      </v:textbox>
                    </v:shape>
                  </w:pict>
                </mc:Fallback>
              </mc:AlternateContent>
            </w:r>
            <w:r w:rsidRPr="008A2A10">
              <w:rPr>
                <w:rFonts w:ascii="Candara" w:hAnsi="Candara"/>
                <w:noProof/>
                <w:sz w:val="20"/>
                <w:szCs w:val="20"/>
                <w:lang w:eastAsia="lv-LV"/>
              </w:rPr>
              <mc:AlternateContent>
                <mc:Choice Requires="wps">
                  <w:drawing>
                    <wp:anchor distT="0" distB="0" distL="114300" distR="114300" simplePos="0" relativeHeight="251751424" behindDoc="0" locked="0" layoutInCell="1" allowOverlap="1">
                      <wp:simplePos x="0" y="0"/>
                      <wp:positionH relativeFrom="column">
                        <wp:posOffset>3807460</wp:posOffset>
                      </wp:positionH>
                      <wp:positionV relativeFrom="paragraph">
                        <wp:posOffset>1569085</wp:posOffset>
                      </wp:positionV>
                      <wp:extent cx="2033905" cy="424180"/>
                      <wp:effectExtent l="0" t="0" r="4445" b="13970"/>
                      <wp:wrapNone/>
                      <wp:docPr id="41" name="Text Box 5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033905" cy="424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636EF4" w:rsidP="007D09BA" w14:textId="77777777">
                                  <w:pPr>
                                    <w:spacing w:after="0"/>
                                    <w:jc w:val="center"/>
                                    <w:textAlignment w:val="baseline"/>
                                    <w:rPr>
                                      <w:rFonts w:ascii="Arial Narrow" w:hAnsi="Arial Narrow" w:cs="Arial"/>
                                      <w:color w:val="C00000"/>
                                      <w:w w:val="80"/>
                                      <w:kern w:val="24"/>
                                      <w:sz w:val="16"/>
                                      <w:szCs w:val="18"/>
                                    </w:rPr>
                                  </w:pPr>
                                  <w:r w:rsidRPr="00636EF4">
                                    <w:rPr>
                                      <w:rFonts w:ascii="Arial Narrow" w:hAnsi="Arial Narrow" w:cs="Arial"/>
                                      <w:b/>
                                      <w:bCs/>
                                      <w:color w:val="C00000"/>
                                      <w:w w:val="80"/>
                                      <w:kern w:val="24"/>
                                      <w:sz w:val="16"/>
                                      <w:szCs w:val="18"/>
                                    </w:rPr>
                                    <w:t>TRENDA SCENĀRIJS</w:t>
                                  </w:r>
                                </w:p>
                                <w:p w:rsidR="00B55C40" w:rsidRPr="006E04F3" w:rsidP="007D09BA" w14:textId="77777777">
                                  <w:pPr>
                                    <w:spacing w:after="0" w:line="240" w:lineRule="auto"/>
                                    <w:jc w:val="center"/>
                                    <w:textAlignment w:val="baseline"/>
                                    <w:rPr>
                                      <w:rFonts w:ascii="Arial Narrow" w:hAnsi="Arial Narrow"/>
                                      <w:w w:val="80"/>
                                      <w:sz w:val="16"/>
                                      <w:szCs w:val="18"/>
                                    </w:rPr>
                                  </w:pPr>
                                  <w:r w:rsidRPr="006E04F3">
                                    <w:rPr>
                                      <w:rFonts w:ascii="Arial Narrow" w:hAnsi="Arial Narrow" w:cs="Arial"/>
                                      <w:color w:val="000000" w:themeColor="text1"/>
                                      <w:w w:val="80"/>
                                      <w:kern w:val="24"/>
                                      <w:sz w:val="16"/>
                                      <w:szCs w:val="18"/>
                                    </w:rPr>
                                    <w:t>Jaunu konkurētspējas priekšrocību trūkums kavē eksporta izaugsmi</w:t>
                                  </w:r>
                                  <w:r>
                                    <w:rPr>
                                      <w:rFonts w:ascii="Arial Narrow" w:hAnsi="Arial Narrow" w:cs="Arial"/>
                                      <w:color w:val="000000" w:themeColor="text1"/>
                                      <w:w w:val="80"/>
                                      <w:kern w:val="24"/>
                                      <w:sz w:val="16"/>
                                      <w:szCs w:val="18"/>
                                    </w:rPr>
                                    <w:t xml:space="preserve">. </w:t>
                                  </w:r>
                                  <w:r w:rsidRPr="006E04F3">
                                    <w:rPr>
                                      <w:rFonts w:ascii="Arial Narrow" w:hAnsi="Arial Narrow" w:cs="Arial"/>
                                      <w:color w:val="000000" w:themeColor="text1"/>
                                      <w:w w:val="80"/>
                                      <w:kern w:val="24"/>
                                      <w:sz w:val="16"/>
                                      <w:szCs w:val="18"/>
                                    </w:rPr>
                                    <w:t>Izaugsmi balsta</w:t>
                                  </w:r>
                                  <w:r>
                                    <w:rPr>
                                      <w:rFonts w:ascii="Arial Narrow" w:hAnsi="Arial Narrow" w:cs="Arial"/>
                                      <w:color w:val="000000" w:themeColor="text1"/>
                                      <w:w w:val="80"/>
                                      <w:kern w:val="24"/>
                                      <w:sz w:val="16"/>
                                      <w:szCs w:val="18"/>
                                    </w:rPr>
                                    <w:t xml:space="preserve"> lēni augošs </w:t>
                                  </w:r>
                                  <w:r w:rsidRPr="006E04F3">
                                    <w:rPr>
                                      <w:rFonts w:ascii="Arial Narrow" w:hAnsi="Arial Narrow" w:cs="Arial"/>
                                      <w:color w:val="000000" w:themeColor="text1"/>
                                      <w:w w:val="80"/>
                                      <w:kern w:val="24"/>
                                      <w:sz w:val="16"/>
                                      <w:szCs w:val="18"/>
                                    </w:rPr>
                                    <w:t>iekšzemes pieprasījums</w:t>
                                  </w:r>
                                </w:p>
                              </w:txbxContent>
                            </wps:txbx>
                            <wps:bodyPr rot="0" vert="horz" wrap="square" lIns="36000" tIns="0" rIns="36000" bIns="0" anchor="t" anchorCtr="0" upright="1"/>
                          </wps:wsp>
                        </a:graphicData>
                      </a:graphic>
                      <wp14:sizeRelH relativeFrom="margin">
                        <wp14:pctWidth>0</wp14:pctWidth>
                      </wp14:sizeRelH>
                      <wp14:sizeRelV relativeFrom="page">
                        <wp14:pctHeight>0</wp14:pctHeight>
                      </wp14:sizeRelV>
                    </wp:anchor>
                  </w:drawing>
                </mc:Choice>
                <mc:Fallback>
                  <w:pict>
                    <v:shape id="Text Box 59" o:spid="_x0000_s1105" type="#_x0000_t202" style="width:160.15pt;height:33.4pt;margin-top:123.55pt;margin-left:299.8pt;mso-height-percent:0;mso-height-relative:page;mso-width-percent:0;mso-width-relative:margin;mso-wrap-distance-bottom:0;mso-wrap-distance-left:9pt;mso-wrap-distance-right:9pt;mso-wrap-distance-top:0;mso-wrap-style:square;position:absolute;visibility:visible;v-text-anchor:top;z-index:251752448" filled="f" stroked="f">
                      <v:path arrowok="t" textboxrect="0,0,21600,21600"/>
                      <v:textbox inset="2.83pt,0,2.83pt,0">
                        <w:txbxContent>
                          <w:p w:rsidR="00B55C40" w:rsidRPr="00636EF4" w:rsidP="007D09BA" w14:paraId="3EE6B9AA" w14:textId="77777777">
                            <w:pPr>
                              <w:spacing w:after="0"/>
                              <w:jc w:val="center"/>
                              <w:textAlignment w:val="baseline"/>
                              <w:rPr>
                                <w:rFonts w:ascii="Arial Narrow" w:hAnsi="Arial Narrow" w:cs="Arial"/>
                                <w:color w:val="C00000"/>
                                <w:w w:val="80"/>
                                <w:kern w:val="24"/>
                                <w:sz w:val="16"/>
                                <w:szCs w:val="18"/>
                              </w:rPr>
                            </w:pPr>
                            <w:r w:rsidRPr="00636EF4">
                              <w:rPr>
                                <w:rFonts w:ascii="Arial Narrow" w:hAnsi="Arial Narrow" w:cs="Arial"/>
                                <w:b/>
                                <w:bCs/>
                                <w:color w:val="C00000"/>
                                <w:w w:val="80"/>
                                <w:kern w:val="24"/>
                                <w:sz w:val="16"/>
                                <w:szCs w:val="18"/>
                              </w:rPr>
                              <w:t>TRENDA SCENĀRIJS</w:t>
                            </w:r>
                          </w:p>
                          <w:p w:rsidR="00B55C40" w:rsidRPr="006E04F3" w:rsidP="007D09BA" w14:paraId="346D8441" w14:textId="77777777">
                            <w:pPr>
                              <w:spacing w:after="0" w:line="240" w:lineRule="auto"/>
                              <w:jc w:val="center"/>
                              <w:textAlignment w:val="baseline"/>
                              <w:rPr>
                                <w:rFonts w:ascii="Arial Narrow" w:hAnsi="Arial Narrow"/>
                                <w:w w:val="80"/>
                                <w:sz w:val="16"/>
                                <w:szCs w:val="18"/>
                              </w:rPr>
                            </w:pPr>
                            <w:r w:rsidRPr="006E04F3">
                              <w:rPr>
                                <w:rFonts w:ascii="Arial Narrow" w:hAnsi="Arial Narrow" w:cs="Arial"/>
                                <w:color w:val="000000" w:themeColor="text1"/>
                                <w:w w:val="80"/>
                                <w:kern w:val="24"/>
                                <w:sz w:val="16"/>
                                <w:szCs w:val="18"/>
                              </w:rPr>
                              <w:t>Jaunu konkurētspējas priekšrocību trūkums kavē eksporta izaugsmi</w:t>
                            </w:r>
                            <w:r>
                              <w:rPr>
                                <w:rFonts w:ascii="Arial Narrow" w:hAnsi="Arial Narrow" w:cs="Arial"/>
                                <w:color w:val="000000" w:themeColor="text1"/>
                                <w:w w:val="80"/>
                                <w:kern w:val="24"/>
                                <w:sz w:val="16"/>
                                <w:szCs w:val="18"/>
                              </w:rPr>
                              <w:t xml:space="preserve">. </w:t>
                            </w:r>
                            <w:r w:rsidRPr="006E04F3">
                              <w:rPr>
                                <w:rFonts w:ascii="Arial Narrow" w:hAnsi="Arial Narrow" w:cs="Arial"/>
                                <w:color w:val="000000" w:themeColor="text1"/>
                                <w:w w:val="80"/>
                                <w:kern w:val="24"/>
                                <w:sz w:val="16"/>
                                <w:szCs w:val="18"/>
                              </w:rPr>
                              <w:t>Izaugsmi balsta</w:t>
                            </w:r>
                            <w:r>
                              <w:rPr>
                                <w:rFonts w:ascii="Arial Narrow" w:hAnsi="Arial Narrow" w:cs="Arial"/>
                                <w:color w:val="000000" w:themeColor="text1"/>
                                <w:w w:val="80"/>
                                <w:kern w:val="24"/>
                                <w:sz w:val="16"/>
                                <w:szCs w:val="18"/>
                              </w:rPr>
                              <w:t xml:space="preserve"> lēni augošs </w:t>
                            </w:r>
                            <w:r w:rsidRPr="006E04F3">
                              <w:rPr>
                                <w:rFonts w:ascii="Arial Narrow" w:hAnsi="Arial Narrow" w:cs="Arial"/>
                                <w:color w:val="000000" w:themeColor="text1"/>
                                <w:w w:val="80"/>
                                <w:kern w:val="24"/>
                                <w:sz w:val="16"/>
                                <w:szCs w:val="18"/>
                              </w:rPr>
                              <w:t>iekšzemes pieprasījums</w:t>
                            </w:r>
                          </w:p>
                        </w:txbxContent>
                      </v:textbox>
                    </v:shape>
                  </w:pict>
                </mc:Fallback>
              </mc:AlternateContent>
            </w:r>
            <w:r w:rsidRPr="008A2A10" w:rsidR="007D09BA">
              <w:rPr>
                <w:rFonts w:ascii="Candara" w:hAnsi="Candara"/>
                <w:noProof/>
                <w:sz w:val="20"/>
                <w:szCs w:val="20"/>
                <w:lang w:eastAsia="lv-LV"/>
              </w:rPr>
              <mc:AlternateContent>
                <mc:Choice Requires="wps">
                  <w:drawing>
                    <wp:anchor distT="0" distB="0" distL="114300" distR="114300" simplePos="0" relativeHeight="251745280" behindDoc="0" locked="0" layoutInCell="1" allowOverlap="1">
                      <wp:simplePos x="0" y="0"/>
                      <wp:positionH relativeFrom="column">
                        <wp:posOffset>3256280</wp:posOffset>
                      </wp:positionH>
                      <wp:positionV relativeFrom="paragraph">
                        <wp:posOffset>728345</wp:posOffset>
                      </wp:positionV>
                      <wp:extent cx="1903730" cy="324485"/>
                      <wp:effectExtent l="0" t="0" r="0" b="0"/>
                      <wp:wrapNone/>
                      <wp:docPr id="42" name="TextBox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3730" cy="324485"/>
                              </a:xfrm>
                              <a:prstGeom prst="rect">
                                <a:avLst/>
                              </a:prstGeom>
                              <a:noFill/>
                            </wps:spPr>
                            <wps:txbx>
                              <w:txbxContent>
                                <w:p w:rsidR="00B55C40" w:rsidRPr="00636EF4" w:rsidP="007D09BA" w14:textId="77777777">
                                  <w:pPr>
                                    <w:pStyle w:val="NormalWeb"/>
                                    <w:spacing w:before="0" w:beforeAutospacing="0" w:after="0" w:afterAutospacing="0"/>
                                    <w:jc w:val="center"/>
                                    <w:textAlignment w:val="baseline"/>
                                    <w:rPr>
                                      <w:rFonts w:ascii="Arial Narrow" w:hAnsi="Arial Narrow"/>
                                      <w:color w:val="92278F" w:themeColor="accent1"/>
                                      <w:w w:val="80"/>
                                      <w:sz w:val="16"/>
                                      <w:szCs w:val="18"/>
                                    </w:rPr>
                                  </w:pPr>
                                  <w:r w:rsidRPr="00636EF4">
                                    <w:rPr>
                                      <w:rFonts w:ascii="Arial Narrow" w:eastAsia="Verdana" w:hAnsi="Arial Narrow" w:cs="Verdana"/>
                                      <w:color w:val="92278F" w:themeColor="accent1"/>
                                      <w:w w:val="80"/>
                                      <w:kern w:val="24"/>
                                      <w:sz w:val="16"/>
                                      <w:szCs w:val="18"/>
                                    </w:rPr>
                                    <w:t xml:space="preserve">2018.-2022.gadā IKP </w:t>
                                  </w:r>
                                  <w:r w:rsidRPr="00636EF4">
                                    <w:rPr>
                                      <w:rFonts w:ascii="Arial Narrow" w:eastAsia="Verdana" w:hAnsi="Arial Narrow" w:cs="Arial"/>
                                      <w:color w:val="92278F" w:themeColor="accent1"/>
                                      <w:w w:val="80"/>
                                      <w:kern w:val="24"/>
                                      <w:sz w:val="16"/>
                                      <w:szCs w:val="18"/>
                                    </w:rPr>
                                    <w:t>↑</w:t>
                                  </w:r>
                                  <w:r w:rsidRPr="00636EF4">
                                    <w:rPr>
                                      <w:rFonts w:ascii="Arial Narrow" w:eastAsia="Verdana" w:hAnsi="Arial Narrow" w:cs="Verdana"/>
                                      <w:color w:val="92278F" w:themeColor="accent1"/>
                                      <w:w w:val="80"/>
                                      <w:kern w:val="24"/>
                                      <w:sz w:val="16"/>
                                      <w:szCs w:val="18"/>
                                    </w:rPr>
                                    <w:t xml:space="preserve"> vidēji 5% gadā</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_x0000_s1106" type="#_x0000_t202" style="width:149.9pt;height:25.55pt;margin-top:57.35pt;margin-left:256.4pt;mso-height-percent:0;mso-height-relative:page;mso-width-percent:0;mso-width-relative:margin;mso-wrap-distance-bottom:0;mso-wrap-distance-left:9pt;mso-wrap-distance-right:9pt;mso-wrap-distance-top:0;mso-wrap-style:square;position:absolute;visibility:visible;v-text-anchor:top;z-index:251746304" filled="f" stroked="f">
                      <v:path arrowok="t" textboxrect="0,0,21600,21600"/>
                      <v:textbox style="mso-fit-shape-to-text:t">
                        <w:txbxContent>
                          <w:p w:rsidR="00B55C40" w:rsidRPr="00636EF4" w:rsidP="007D09BA" w14:paraId="48E0C458" w14:textId="77777777">
                            <w:pPr>
                              <w:pStyle w:val="NormalWeb"/>
                              <w:spacing w:before="0" w:beforeAutospacing="0" w:after="0" w:afterAutospacing="0"/>
                              <w:jc w:val="center"/>
                              <w:textAlignment w:val="baseline"/>
                              <w:rPr>
                                <w:rFonts w:ascii="Arial Narrow" w:hAnsi="Arial Narrow"/>
                                <w:color w:val="92278F" w:themeColor="accent1"/>
                                <w:w w:val="80"/>
                                <w:sz w:val="16"/>
                                <w:szCs w:val="18"/>
                              </w:rPr>
                            </w:pPr>
                            <w:r w:rsidRPr="00636EF4">
                              <w:rPr>
                                <w:rFonts w:ascii="Arial Narrow" w:eastAsia="Verdana" w:hAnsi="Arial Narrow" w:cs="Verdana"/>
                                <w:color w:val="92278F" w:themeColor="accent1"/>
                                <w:w w:val="80"/>
                                <w:kern w:val="24"/>
                                <w:sz w:val="16"/>
                                <w:szCs w:val="18"/>
                              </w:rPr>
                              <w:t xml:space="preserve">2018.-2022.gadā IKP </w:t>
                            </w:r>
                            <w:r w:rsidRPr="00636EF4">
                              <w:rPr>
                                <w:rFonts w:ascii="Arial Narrow" w:eastAsia="Verdana" w:hAnsi="Arial Narrow" w:cs="Arial"/>
                                <w:color w:val="92278F" w:themeColor="accent1"/>
                                <w:w w:val="80"/>
                                <w:kern w:val="24"/>
                                <w:sz w:val="16"/>
                                <w:szCs w:val="18"/>
                              </w:rPr>
                              <w:t>↑</w:t>
                            </w:r>
                            <w:r w:rsidRPr="00636EF4">
                              <w:rPr>
                                <w:rFonts w:ascii="Arial Narrow" w:eastAsia="Verdana" w:hAnsi="Arial Narrow" w:cs="Verdana"/>
                                <w:color w:val="92278F" w:themeColor="accent1"/>
                                <w:w w:val="80"/>
                                <w:kern w:val="24"/>
                                <w:sz w:val="16"/>
                                <w:szCs w:val="18"/>
                              </w:rPr>
                              <w:t xml:space="preserve"> vidēji 5% gadā</w:t>
                            </w:r>
                          </w:p>
                        </w:txbxContent>
                      </v:textbox>
                    </v:shape>
                  </w:pict>
                </mc:Fallback>
              </mc:AlternateContent>
            </w:r>
            <w:r w:rsidRPr="008A2A10" w:rsidR="007D09BA">
              <w:rPr>
                <w:rFonts w:ascii="Candara" w:hAnsi="Candara"/>
                <w:noProof/>
                <w:sz w:val="20"/>
                <w:szCs w:val="20"/>
                <w:lang w:eastAsia="lv-LV"/>
              </w:rPr>
              <mc:AlternateContent>
                <mc:Choice Requires="wps">
                  <w:drawing>
                    <wp:anchor distT="0" distB="0" distL="114300" distR="114300" simplePos="0" relativeHeight="251747328" behindDoc="0" locked="0" layoutInCell="1" allowOverlap="1">
                      <wp:simplePos x="0" y="0"/>
                      <wp:positionH relativeFrom="column">
                        <wp:posOffset>2916555</wp:posOffset>
                      </wp:positionH>
                      <wp:positionV relativeFrom="paragraph">
                        <wp:posOffset>367665</wp:posOffset>
                      </wp:positionV>
                      <wp:extent cx="2422525" cy="387985"/>
                      <wp:effectExtent l="3810" t="1905" r="2540" b="635"/>
                      <wp:wrapNone/>
                      <wp:docPr id="40" name="Text Box 57"/>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2422525" cy="3879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636EF4" w:rsidP="007D09BA" w14:textId="77777777">
                                  <w:pPr>
                                    <w:pStyle w:val="NormalWeb"/>
                                    <w:spacing w:before="0" w:beforeAutospacing="0" w:after="0" w:afterAutospacing="0"/>
                                    <w:jc w:val="center"/>
                                    <w:textAlignment w:val="baseline"/>
                                    <w:rPr>
                                      <w:rFonts w:ascii="Arial Narrow" w:hAnsi="Arial Narrow" w:cs="Arial"/>
                                      <w:color w:val="92278F" w:themeColor="accent1"/>
                                      <w:w w:val="80"/>
                                      <w:kern w:val="24"/>
                                      <w:sz w:val="16"/>
                                      <w:szCs w:val="18"/>
                                    </w:rPr>
                                  </w:pPr>
                                  <w:r w:rsidRPr="00636EF4">
                                    <w:rPr>
                                      <w:rFonts w:ascii="Arial Narrow" w:hAnsi="Arial Narrow" w:cs="Arial"/>
                                      <w:b/>
                                      <w:bCs/>
                                      <w:color w:val="92278F" w:themeColor="accent1"/>
                                      <w:w w:val="80"/>
                                      <w:kern w:val="24"/>
                                      <w:sz w:val="16"/>
                                      <w:szCs w:val="18"/>
                                    </w:rPr>
                                    <w:t>MĒRĶA SCENĀRIJS</w:t>
                                  </w:r>
                                </w:p>
                                <w:p w:rsidR="00B55C40" w:rsidRPr="006E04F3" w:rsidP="007D09BA" w14:textId="77777777">
                                  <w:pPr>
                                    <w:pStyle w:val="NormalWeb"/>
                                    <w:spacing w:before="0" w:beforeAutospacing="0" w:after="0" w:afterAutospacing="0"/>
                                    <w:jc w:val="center"/>
                                    <w:textAlignment w:val="baseline"/>
                                    <w:rPr>
                                      <w:rFonts w:ascii="Arial Narrow" w:hAnsi="Arial Narrow"/>
                                      <w:w w:val="80"/>
                                      <w:sz w:val="16"/>
                                      <w:szCs w:val="18"/>
                                    </w:rPr>
                                  </w:pPr>
                                  <w:r w:rsidRPr="006E04F3">
                                    <w:rPr>
                                      <w:rFonts w:ascii="Arial Narrow" w:hAnsi="Arial Narrow" w:cs="Arial"/>
                                      <w:color w:val="000000" w:themeColor="text1"/>
                                      <w:w w:val="80"/>
                                      <w:kern w:val="24"/>
                                      <w:sz w:val="16"/>
                                      <w:szCs w:val="18"/>
                                    </w:rPr>
                                    <w:t>Latvijas ekonomikas konkurētspējas priekšrocības pamatā tiek balstītas uz tehnoloģiskiem faktoriem, ražošanas efektivitāti, inovācijām</w:t>
                                  </w:r>
                                </w:p>
                              </w:txbxContent>
                            </wps:txbx>
                            <wps:bodyPr rot="0" vert="horz" wrap="square" lIns="36000" tIns="0" rIns="36000" bIns="0" anchor="t" anchorCtr="0" upright="1"/>
                          </wps:wsp>
                        </a:graphicData>
                      </a:graphic>
                      <wp14:sizeRelH relativeFrom="margin">
                        <wp14:pctWidth>0</wp14:pctWidth>
                      </wp14:sizeRelH>
                      <wp14:sizeRelV relativeFrom="page">
                        <wp14:pctHeight>0</wp14:pctHeight>
                      </wp14:sizeRelV>
                    </wp:anchor>
                  </w:drawing>
                </mc:Choice>
                <mc:Fallback>
                  <w:pict>
                    <v:shape id="Text Box 57" o:spid="_x0000_s1107" type="#_x0000_t202" style="width:190.75pt;height:30.55pt;margin-top:28.95pt;margin-left:229.65pt;mso-height-percent:0;mso-height-relative:page;mso-width-percent:0;mso-width-relative:margin;mso-wrap-distance-bottom:0;mso-wrap-distance-left:9pt;mso-wrap-distance-right:9pt;mso-wrap-distance-top:0;mso-wrap-style:square;position:absolute;visibility:visible;v-text-anchor:top;z-index:251748352" filled="f" stroked="f">
                      <v:path arrowok="t" textboxrect="0,0,21600,21600"/>
                      <v:textbox inset="2.83pt,0,2.83pt,0">
                        <w:txbxContent>
                          <w:p w:rsidR="00B55C40" w:rsidRPr="00636EF4" w:rsidP="007D09BA" w14:paraId="36E59735" w14:textId="77777777">
                            <w:pPr>
                              <w:pStyle w:val="NormalWeb"/>
                              <w:spacing w:before="0" w:beforeAutospacing="0" w:after="0" w:afterAutospacing="0"/>
                              <w:jc w:val="center"/>
                              <w:textAlignment w:val="baseline"/>
                              <w:rPr>
                                <w:rFonts w:ascii="Arial Narrow" w:hAnsi="Arial Narrow" w:cs="Arial"/>
                                <w:color w:val="92278F" w:themeColor="accent1"/>
                                <w:w w:val="80"/>
                                <w:kern w:val="24"/>
                                <w:sz w:val="16"/>
                                <w:szCs w:val="18"/>
                              </w:rPr>
                            </w:pPr>
                            <w:r w:rsidRPr="00636EF4">
                              <w:rPr>
                                <w:rFonts w:ascii="Arial Narrow" w:hAnsi="Arial Narrow" w:cs="Arial"/>
                                <w:b/>
                                <w:bCs/>
                                <w:color w:val="92278F" w:themeColor="accent1"/>
                                <w:w w:val="80"/>
                                <w:kern w:val="24"/>
                                <w:sz w:val="16"/>
                                <w:szCs w:val="18"/>
                              </w:rPr>
                              <w:t>MĒRĶA SCENĀRIJS</w:t>
                            </w:r>
                          </w:p>
                          <w:p w:rsidR="00B55C40" w:rsidRPr="006E04F3" w:rsidP="007D09BA" w14:paraId="20E69E27" w14:textId="77777777">
                            <w:pPr>
                              <w:pStyle w:val="NormalWeb"/>
                              <w:spacing w:before="0" w:beforeAutospacing="0" w:after="0" w:afterAutospacing="0"/>
                              <w:jc w:val="center"/>
                              <w:textAlignment w:val="baseline"/>
                              <w:rPr>
                                <w:rFonts w:ascii="Arial Narrow" w:hAnsi="Arial Narrow"/>
                                <w:w w:val="80"/>
                                <w:sz w:val="16"/>
                                <w:szCs w:val="18"/>
                              </w:rPr>
                            </w:pPr>
                            <w:r w:rsidRPr="006E04F3">
                              <w:rPr>
                                <w:rFonts w:ascii="Arial Narrow" w:hAnsi="Arial Narrow" w:cs="Arial"/>
                                <w:color w:val="000000" w:themeColor="text1"/>
                                <w:w w:val="80"/>
                                <w:kern w:val="24"/>
                                <w:sz w:val="16"/>
                                <w:szCs w:val="18"/>
                              </w:rPr>
                              <w:t>Latvijas ekonomikas konkurētspējas priekšrocības pamatā tiek balstītas uz tehnoloģiskiem faktoriem, ražošanas efektivitāti, inovācijām</w:t>
                            </w:r>
                          </w:p>
                        </w:txbxContent>
                      </v:textbox>
                    </v:shape>
                  </w:pict>
                </mc:Fallback>
              </mc:AlternateContent>
            </w:r>
            <w:r w:rsidRPr="008A2A10" w:rsidR="007D09BA">
              <w:rPr>
                <w:rFonts w:ascii="Candara" w:hAnsi="Candara"/>
                <w:noProof/>
                <w:sz w:val="20"/>
                <w:szCs w:val="20"/>
                <w:lang w:eastAsia="lv-LV"/>
              </w:rPr>
              <w:drawing>
                <wp:inline distT="0" distB="0" distL="0" distR="0">
                  <wp:extent cx="5764530" cy="2933700"/>
                  <wp:effectExtent l="0" t="0" r="7620" b="0"/>
                  <wp:docPr id="43"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7D09BA" w:rsidP="007D09BA" w14:paraId="2CB4A59E" w14:textId="77777777">
      <w:pPr>
        <w:spacing w:after="40" w:line="240" w:lineRule="auto"/>
        <w:jc w:val="both"/>
        <w:rPr>
          <w:rFonts w:ascii="Candara" w:hAnsi="Candara" w:cs="Times New Roman"/>
          <w:szCs w:val="24"/>
        </w:rPr>
      </w:pPr>
    </w:p>
    <w:p w:rsidR="00CF3F47" w:rsidP="00214364" w14:paraId="29426F8C" w14:textId="77777777">
      <w:pPr>
        <w:spacing w:after="40" w:line="240" w:lineRule="auto"/>
        <w:ind w:firstLine="426"/>
        <w:jc w:val="both"/>
        <w:rPr>
          <w:rFonts w:ascii="Candara" w:hAnsi="Candara" w:cs="Times New Roman"/>
          <w:szCs w:val="24"/>
        </w:rPr>
      </w:pPr>
    </w:p>
    <w:p w:rsidR="00F45071" w:rsidP="00214364" w14:paraId="74BE1CD5" w14:textId="77777777">
      <w:pPr>
        <w:spacing w:after="40" w:line="240" w:lineRule="auto"/>
        <w:ind w:firstLine="426"/>
        <w:jc w:val="both"/>
        <w:rPr>
          <w:rFonts w:ascii="Candara" w:hAnsi="Candara" w:cs="Times New Roman"/>
          <w:szCs w:val="24"/>
        </w:rPr>
      </w:pPr>
    </w:p>
    <w:p w:rsidR="00F45071" w:rsidP="00214364" w14:paraId="3C650274" w14:textId="77777777">
      <w:pPr>
        <w:spacing w:after="40" w:line="240" w:lineRule="auto"/>
        <w:ind w:firstLine="426"/>
        <w:jc w:val="both"/>
        <w:rPr>
          <w:rFonts w:ascii="Candara" w:hAnsi="Candara" w:cs="Times New Roman"/>
          <w:szCs w:val="24"/>
        </w:rPr>
      </w:pPr>
    </w:p>
    <w:p w:rsidR="00F45071" w:rsidP="00214364" w14:paraId="0A1BE559" w14:textId="77777777">
      <w:pPr>
        <w:spacing w:after="40" w:line="240" w:lineRule="auto"/>
        <w:ind w:firstLine="426"/>
        <w:jc w:val="both"/>
        <w:rPr>
          <w:rFonts w:ascii="Candara" w:hAnsi="Candara" w:cs="Times New Roman"/>
          <w:szCs w:val="24"/>
        </w:rPr>
      </w:pPr>
    </w:p>
    <w:p w:rsidR="00F45071" w:rsidP="00214364" w14:paraId="6B3A4C90" w14:textId="77777777">
      <w:pPr>
        <w:spacing w:after="40" w:line="240" w:lineRule="auto"/>
        <w:ind w:firstLine="426"/>
        <w:jc w:val="both"/>
        <w:rPr>
          <w:rFonts w:ascii="Candara" w:hAnsi="Candara" w:cs="Times New Roman"/>
          <w:szCs w:val="24"/>
        </w:rPr>
      </w:pPr>
    </w:p>
    <w:p w:rsidR="00F45071" w:rsidP="00214364" w14:paraId="36982A39" w14:textId="77777777">
      <w:pPr>
        <w:spacing w:after="40" w:line="240" w:lineRule="auto"/>
        <w:ind w:firstLine="426"/>
        <w:jc w:val="both"/>
        <w:rPr>
          <w:rFonts w:ascii="Candara" w:hAnsi="Candara" w:cs="Times New Roman"/>
          <w:szCs w:val="24"/>
        </w:rPr>
      </w:pPr>
    </w:p>
    <w:p w:rsidR="00F45071" w:rsidP="00214364" w14:paraId="06989491" w14:textId="77777777">
      <w:pPr>
        <w:spacing w:after="40" w:line="240" w:lineRule="auto"/>
        <w:ind w:firstLine="426"/>
        <w:jc w:val="both"/>
        <w:rPr>
          <w:rFonts w:ascii="Candara" w:hAnsi="Candara" w:cs="Times New Roman"/>
          <w:szCs w:val="24"/>
        </w:rPr>
      </w:pPr>
    </w:p>
    <w:p w:rsidR="00F45071" w:rsidP="00214364" w14:paraId="26883992" w14:textId="77777777">
      <w:pPr>
        <w:spacing w:after="40" w:line="240" w:lineRule="auto"/>
        <w:ind w:firstLine="426"/>
        <w:jc w:val="both"/>
        <w:rPr>
          <w:rFonts w:ascii="Candara" w:hAnsi="Candara" w:cs="Times New Roman"/>
          <w:szCs w:val="24"/>
        </w:rPr>
      </w:pPr>
    </w:p>
    <w:p w:rsidR="00F45071" w:rsidP="00214364" w14:paraId="53156709" w14:textId="77777777">
      <w:pPr>
        <w:spacing w:after="40" w:line="240" w:lineRule="auto"/>
        <w:ind w:firstLine="426"/>
        <w:jc w:val="both"/>
        <w:rPr>
          <w:rFonts w:ascii="Candara" w:hAnsi="Candara" w:cs="Times New Roman"/>
          <w:szCs w:val="24"/>
        </w:rPr>
      </w:pPr>
    </w:p>
    <w:p w:rsidR="00F45071" w:rsidP="00214364" w14:paraId="771EABAB" w14:textId="77777777">
      <w:pPr>
        <w:spacing w:after="40" w:line="240" w:lineRule="auto"/>
        <w:ind w:firstLine="426"/>
        <w:jc w:val="both"/>
        <w:rPr>
          <w:rFonts w:ascii="Candara" w:hAnsi="Candara" w:cs="Times New Roman"/>
          <w:szCs w:val="24"/>
        </w:rPr>
      </w:pPr>
    </w:p>
    <w:p w:rsidR="00F45071" w:rsidP="00214364" w14:paraId="6EACB26F" w14:textId="77777777">
      <w:pPr>
        <w:spacing w:after="40" w:line="240" w:lineRule="auto"/>
        <w:ind w:firstLine="426"/>
        <w:jc w:val="both"/>
        <w:rPr>
          <w:rFonts w:ascii="Candara" w:hAnsi="Candara" w:cs="Times New Roman"/>
          <w:szCs w:val="24"/>
        </w:rPr>
      </w:pPr>
    </w:p>
    <w:p w:rsidR="00F45071" w:rsidP="00214364" w14:paraId="72463B24" w14:textId="77777777">
      <w:pPr>
        <w:spacing w:after="40" w:line="240" w:lineRule="auto"/>
        <w:ind w:firstLine="426"/>
        <w:jc w:val="both"/>
        <w:rPr>
          <w:rFonts w:ascii="Candara" w:hAnsi="Candara" w:cs="Times New Roman"/>
          <w:szCs w:val="24"/>
        </w:rPr>
      </w:pPr>
    </w:p>
    <w:p w:rsidR="00F45071" w:rsidP="00214364" w14:paraId="0B57C6CC" w14:textId="77777777">
      <w:pPr>
        <w:spacing w:after="40" w:line="240" w:lineRule="auto"/>
        <w:ind w:firstLine="426"/>
        <w:jc w:val="both"/>
        <w:rPr>
          <w:rFonts w:ascii="Candara" w:hAnsi="Candara" w:cs="Times New Roman"/>
          <w:szCs w:val="24"/>
        </w:rPr>
      </w:pPr>
    </w:p>
    <w:p w:rsidR="00F45071" w:rsidP="00214364" w14:paraId="4172372F" w14:textId="77777777">
      <w:pPr>
        <w:spacing w:after="40" w:line="240" w:lineRule="auto"/>
        <w:ind w:firstLine="426"/>
        <w:jc w:val="both"/>
        <w:rPr>
          <w:rFonts w:ascii="Candara" w:hAnsi="Candara" w:cs="Times New Roman"/>
          <w:szCs w:val="24"/>
        </w:rPr>
      </w:pPr>
    </w:p>
    <w:p w:rsidR="00F45071" w:rsidP="00214364" w14:paraId="55BBCCF5" w14:textId="77777777">
      <w:pPr>
        <w:spacing w:after="40" w:line="240" w:lineRule="auto"/>
        <w:ind w:firstLine="426"/>
        <w:jc w:val="both"/>
        <w:rPr>
          <w:rFonts w:ascii="Candara" w:hAnsi="Candara" w:cs="Times New Roman"/>
          <w:szCs w:val="24"/>
        </w:rPr>
      </w:pPr>
    </w:p>
    <w:p w:rsidR="00F45071" w:rsidP="00214364" w14:paraId="20B2A667" w14:textId="77777777">
      <w:pPr>
        <w:spacing w:after="40" w:line="240" w:lineRule="auto"/>
        <w:ind w:firstLine="426"/>
        <w:jc w:val="both"/>
        <w:rPr>
          <w:rFonts w:ascii="Candara" w:hAnsi="Candara" w:cs="Times New Roman"/>
          <w:szCs w:val="24"/>
        </w:rPr>
      </w:pPr>
    </w:p>
    <w:p w:rsidR="007D09BA" w:rsidP="00214364" w14:paraId="00A67744" w14:textId="77777777">
      <w:pPr>
        <w:spacing w:after="40" w:line="240" w:lineRule="auto"/>
        <w:ind w:firstLine="426"/>
        <w:jc w:val="both"/>
        <w:rPr>
          <w:rFonts w:ascii="Candara" w:hAnsi="Candara" w:cs="Times New Roman"/>
          <w:szCs w:val="24"/>
        </w:rPr>
      </w:pPr>
      <w:r w:rsidRPr="002C616B">
        <w:rPr>
          <w:rFonts w:ascii="Candara" w:hAnsi="Candara" w:cs="Times New Roman"/>
          <w:szCs w:val="24"/>
        </w:rPr>
        <w:t>V</w:t>
      </w:r>
      <w:r>
        <w:rPr>
          <w:rFonts w:ascii="Candara" w:hAnsi="Candara" w:cs="Times New Roman"/>
          <w:szCs w:val="24"/>
        </w:rPr>
        <w:t xml:space="preserve">aldības mērķis ir </w:t>
      </w:r>
      <w:r w:rsidRPr="002C616B">
        <w:rPr>
          <w:rFonts w:ascii="Candara" w:hAnsi="Candara" w:cs="Times New Roman"/>
          <w:szCs w:val="24"/>
        </w:rPr>
        <w:t>veicināt līdzsvarotu un konkurētspējīgu</w:t>
      </w:r>
      <w:r>
        <w:rPr>
          <w:rFonts w:ascii="Candara" w:hAnsi="Candara" w:cs="Times New Roman"/>
          <w:szCs w:val="24"/>
        </w:rPr>
        <w:t xml:space="preserve"> </w:t>
      </w:r>
      <w:r w:rsidRPr="002C616B">
        <w:rPr>
          <w:rFonts w:ascii="Candara" w:hAnsi="Candara" w:cs="Times New Roman"/>
          <w:szCs w:val="24"/>
        </w:rPr>
        <w:t xml:space="preserve">tautsaimniecības attīstību vidējā termiņā panākt </w:t>
      </w:r>
      <w:r>
        <w:rPr>
          <w:rFonts w:ascii="Candara" w:hAnsi="Candara" w:cs="Times New Roman"/>
          <w:szCs w:val="24"/>
        </w:rPr>
        <w:t xml:space="preserve">stabilu un </w:t>
      </w:r>
      <w:r w:rsidRPr="002C616B">
        <w:rPr>
          <w:rFonts w:ascii="Candara" w:hAnsi="Candara" w:cs="Times New Roman"/>
          <w:szCs w:val="24"/>
        </w:rPr>
        <w:t>sabala</w:t>
      </w:r>
      <w:r w:rsidR="00214364">
        <w:rPr>
          <w:rFonts w:ascii="Candara" w:hAnsi="Candara" w:cs="Times New Roman"/>
          <w:szCs w:val="24"/>
        </w:rPr>
        <w:t>nsētu 5% IKP pieaugumu ik gadu.</w:t>
      </w:r>
    </w:p>
    <w:p w:rsidR="007D09BA" w:rsidP="00214364" w14:paraId="0D3A27E0" w14:textId="77777777">
      <w:pPr>
        <w:spacing w:after="40" w:line="240" w:lineRule="auto"/>
        <w:ind w:firstLine="426"/>
        <w:jc w:val="both"/>
        <w:rPr>
          <w:rFonts w:ascii="Candara" w:hAnsi="Candara" w:cs="Times New Roman"/>
        </w:rPr>
      </w:pPr>
      <w:r w:rsidRPr="0088582E">
        <w:rPr>
          <w:rFonts w:ascii="Candara" w:hAnsi="Candara" w:cs="Times New Roman"/>
          <w:b/>
        </w:rPr>
        <w:t>Ilgtspējīgas un sabalansētās ekonomiskās izaugsmes noteicošais priekšnosacījums ir produktivitātes līmeņa paaugstināšana.</w:t>
      </w:r>
      <w:r w:rsidRPr="0088582E">
        <w:rPr>
          <w:rFonts w:ascii="Candara" w:hAnsi="Candara" w:cs="Times New Roman"/>
        </w:rPr>
        <w:t xml:space="preserve"> Viens no galvenajiem izaicinājumiem ir jauno konkurētspējas priekšrocību veidošana, kas ir saistīts ar investīcijām cilvēkkapitālā, tehnoloģijās, inovācijā, pētniecībā</w:t>
      </w:r>
      <w:r w:rsidR="00BB58A1">
        <w:rPr>
          <w:rFonts w:ascii="Candara" w:hAnsi="Candara" w:cs="Times New Roman"/>
        </w:rPr>
        <w:t xml:space="preserve">, attiecīgi izveidojot mērķim atbilstošu valsts </w:t>
      </w:r>
      <w:r w:rsidR="00C25A22">
        <w:rPr>
          <w:rFonts w:ascii="Candara" w:hAnsi="Candara" w:cs="Times New Roman"/>
        </w:rPr>
        <w:t xml:space="preserve">investīciju un </w:t>
      </w:r>
      <w:r w:rsidR="00BB58A1">
        <w:rPr>
          <w:rFonts w:ascii="Candara" w:hAnsi="Candara" w:cs="Times New Roman"/>
        </w:rPr>
        <w:t>atbalsta mehānismu un fokusējot privātās investīcijas</w:t>
      </w:r>
      <w:r w:rsidRPr="0088582E">
        <w:rPr>
          <w:rFonts w:ascii="Candara" w:hAnsi="Candara" w:cs="Times New Roman"/>
        </w:rPr>
        <w:t>. Jaunu konkurētspējas priekšrocību veidošana ir svarīgs nosacījums eksporta noietu tirgus paplašināšanai un eksporta apjomu pieaugumam. Pašreizējos apstākļos Latvijas konkurētspēju ārējos un iekšējos tirgos noteiks spēja mazināt produktivitātes plaisu ar tehnoloģiski attīstītajām valstīm.</w:t>
      </w:r>
    </w:p>
    <w:p w:rsidR="007D09BA" w:rsidRPr="0088582E" w:rsidP="00214364" w14:paraId="0B186A63" w14:textId="77777777">
      <w:pPr>
        <w:spacing w:after="40" w:line="240" w:lineRule="auto"/>
        <w:ind w:firstLine="426"/>
        <w:jc w:val="both"/>
        <w:rPr>
          <w:rFonts w:ascii="Candara" w:hAnsi="Candara" w:cs="Times New Roman"/>
        </w:rPr>
      </w:pPr>
      <w:r w:rsidRPr="0088582E">
        <w:rPr>
          <w:rFonts w:ascii="Candara" w:hAnsi="Candara" w:cs="Times New Roman"/>
        </w:rPr>
        <w:t>Produktivitātes paaugstināšanas pamatā ir ne tikai tehnoloģiskās novitātes, ražošanas procesa vadības pilnveidošana, bet arī esošo resursu pārdale augstākās pievienotās vērtības produktu ražošanai, t.i. tautsaimniecības strukturālā transformācija.</w:t>
      </w:r>
      <w:r w:rsidR="00BB58A1">
        <w:rPr>
          <w:rFonts w:ascii="Candara" w:hAnsi="Candara" w:cs="Times New Roman"/>
        </w:rPr>
        <w:t xml:space="preserve"> Līdz ar to fundamentāli svarīgi koncentrēt valsts</w:t>
      </w:r>
      <w:r w:rsidR="007C5614">
        <w:rPr>
          <w:rFonts w:ascii="Candara" w:hAnsi="Candara" w:cs="Times New Roman"/>
        </w:rPr>
        <w:t xml:space="preserve"> investīciju un </w:t>
      </w:r>
      <w:r w:rsidR="00BB58A1">
        <w:rPr>
          <w:rFonts w:ascii="Candara" w:hAnsi="Candara" w:cs="Times New Roman"/>
        </w:rPr>
        <w:t xml:space="preserve"> atbalsta mehānismu uz </w:t>
      </w:r>
      <w:r w:rsidR="007C5614">
        <w:rPr>
          <w:rFonts w:ascii="Candara" w:hAnsi="Candara" w:cs="Times New Roman"/>
        </w:rPr>
        <w:t xml:space="preserve">nepieciešamo priekšnosacījumu un </w:t>
      </w:r>
      <w:r w:rsidR="00BB58A1">
        <w:rPr>
          <w:rFonts w:ascii="Candara" w:hAnsi="Candara" w:cs="Times New Roman"/>
        </w:rPr>
        <w:t xml:space="preserve">labvēlīgas vides izveidi, izvēloties mērķim </w:t>
      </w:r>
      <w:r w:rsidR="00BB58A1">
        <w:rPr>
          <w:rFonts w:ascii="Candara" w:hAnsi="Candara" w:cs="Times New Roman"/>
        </w:rPr>
        <w:t>atbilstošus instrumentus, savukārt komersantiem ļaujot veikt investīcijas produktos un to attīstībā. Analizējot esošo situāciju, var secināt, ka valsts intervence finanšu instrumentu veidā nesniedz pietiekamu atdevi tieši uz pievienotās vērtības produktu ražošanu un tautsaimniecības strukturālo transformāciju</w:t>
      </w:r>
      <w:r w:rsidR="00DF13E7">
        <w:rPr>
          <w:rFonts w:ascii="Candara" w:hAnsi="Candara" w:cs="Times New Roman"/>
        </w:rPr>
        <w:t xml:space="preserve">, proti, nemotivē uzņēmējus izvēlēties transformācijas ceļu. Attiecīgi, lai motivētu uzņēmējus izvēlēties augstākas pievienotās vērtības produktu ražošanu, nepieciešams no valsts puses </w:t>
      </w:r>
      <w:r w:rsidR="007C5614">
        <w:rPr>
          <w:rFonts w:ascii="Candara" w:hAnsi="Candara" w:cs="Times New Roman"/>
        </w:rPr>
        <w:t xml:space="preserve">investēt zināšanu bāzes un cilvēkkapitāla nodrošināšanā un </w:t>
      </w:r>
      <w:r w:rsidR="00DF13E7">
        <w:rPr>
          <w:rFonts w:ascii="Candara" w:hAnsi="Candara" w:cs="Times New Roman"/>
        </w:rPr>
        <w:t xml:space="preserve">veidot tieši tādus atbalsta instrumentus, kas ļautu komersantam fokusēties uz produktivitāti, neveicot ilgtermiņa ieguldījumus investīcijās, kurām nav produktivitātes atdeves. </w:t>
      </w:r>
    </w:p>
    <w:p w:rsidR="0088582E" w:rsidRPr="003E6D68" w:rsidP="004F2775" w14:paraId="42B604CF" w14:textId="77777777">
      <w:pPr>
        <w:spacing w:after="40" w:line="240" w:lineRule="auto"/>
        <w:jc w:val="both"/>
        <w:rPr>
          <w:rFonts w:ascii="Candara" w:hAnsi="Candara" w:cs="Times New Roman"/>
          <w:b/>
          <w:vanish/>
          <w:sz w:val="6"/>
          <w:szCs w:val="8"/>
          <w:specVanish/>
        </w:rPr>
      </w:pPr>
    </w:p>
    <w:p w:rsidR="004F2775" w:rsidRPr="003E6D68" w:rsidP="004F2775" w14:paraId="5BE35B2B" w14:textId="77777777">
      <w:pPr>
        <w:spacing w:after="40" w:line="240" w:lineRule="auto"/>
        <w:rPr>
          <w:rFonts w:ascii="Candara" w:hAnsi="Candara" w:cs="Times New Roman"/>
          <w:b/>
          <w:sz w:val="6"/>
          <w:szCs w:val="8"/>
        </w:rPr>
      </w:pPr>
      <w:r w:rsidRPr="003E6D68">
        <w:rPr>
          <w:rFonts w:ascii="Candara" w:hAnsi="Candara" w:cs="Times New Roman"/>
          <w:b/>
          <w:sz w:val="6"/>
          <w:szCs w:val="8"/>
        </w:rPr>
        <w:t xml:space="preserve"> </w:t>
      </w:r>
    </w:p>
    <w:p w:rsidR="000B395A" w14:paraId="3C2D5A3C" w14:textId="77777777">
      <w:r>
        <w:br w:type="page"/>
      </w:r>
    </w:p>
    <w:tbl>
      <w:tblPr>
        <w:tblStyle w:val="TableGrid"/>
        <w:tblW w:w="5313"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16"/>
        <w:gridCol w:w="5028"/>
      </w:tblGrid>
      <w:tr w14:paraId="127073DA" w14:textId="77777777" w:rsidTr="000B395A">
        <w:tblPrEx>
          <w:tblW w:w="5313"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7"/>
        </w:trPr>
        <w:tc>
          <w:tcPr>
            <w:tcW w:w="5000" w:type="pct"/>
            <w:gridSpan w:val="2"/>
            <w:shd w:val="clear" w:color="auto" w:fill="6D1D6B" w:themeFill="accent1" w:themeFillShade="BF"/>
          </w:tcPr>
          <w:p w:rsidR="007D09BA" w:rsidRPr="00795F97" w:rsidP="00BB2095" w14:paraId="32EB92EE" w14:textId="77777777">
            <w:pPr>
              <w:pStyle w:val="NormalWeb"/>
              <w:kinsoku w:val="0"/>
              <w:overflowPunct w:val="0"/>
              <w:spacing w:before="0" w:beforeAutospacing="0" w:after="0" w:afterAutospacing="0"/>
              <w:ind w:left="-23"/>
              <w:jc w:val="center"/>
              <w:textAlignment w:val="baseline"/>
              <w:rPr>
                <w:rFonts w:ascii="Candara" w:eastAsia="Verdana" w:hAnsi="Candara" w:cs="Verdana"/>
                <w:b/>
                <w:bCs/>
                <w:caps/>
                <w:color w:val="FFFFFF" w:themeColor="background1"/>
                <w:kern w:val="24"/>
                <w:sz w:val="22"/>
                <w:szCs w:val="52"/>
              </w:rPr>
            </w:pPr>
            <w:r>
              <w:rPr>
                <w:rFonts w:ascii="Candara" w:eastAsia="Verdana" w:hAnsi="Candara" w:cs="Verdana"/>
                <w:b/>
                <w:bCs/>
                <w:caps/>
                <w:color w:val="FFFFFF" w:themeColor="background1"/>
                <w:kern w:val="24"/>
                <w:sz w:val="22"/>
                <w:szCs w:val="52"/>
              </w:rPr>
              <w:t xml:space="preserve">4.1. </w:t>
            </w:r>
            <w:r w:rsidRPr="00795F97">
              <w:rPr>
                <w:rFonts w:ascii="Candara" w:eastAsia="Verdana" w:hAnsi="Candara" w:cs="Verdana"/>
                <w:b/>
                <w:bCs/>
                <w:caps/>
                <w:color w:val="FFFFFF" w:themeColor="background1"/>
                <w:kern w:val="24"/>
                <w:sz w:val="22"/>
                <w:szCs w:val="52"/>
              </w:rPr>
              <w:t>Latvijas tautsaimniecības attīstības izaicinājumi</w:t>
            </w:r>
          </w:p>
        </w:tc>
      </w:tr>
      <w:tr w14:paraId="069E1CEE" w14:textId="77777777" w:rsidTr="000B395A">
        <w:tblPrEx>
          <w:tblW w:w="5313" w:type="pct"/>
          <w:tblInd w:w="-567" w:type="dxa"/>
          <w:tblLook w:val="04A0"/>
        </w:tblPrEx>
        <w:trPr>
          <w:trHeight w:val="227"/>
        </w:trPr>
        <w:tc>
          <w:tcPr>
            <w:tcW w:w="5000" w:type="pct"/>
            <w:gridSpan w:val="2"/>
            <w:shd w:val="clear" w:color="auto" w:fill="FFFFFF" w:themeFill="background1"/>
          </w:tcPr>
          <w:p w:rsidR="007D09BA" w:rsidRPr="00795F97" w:rsidP="00BB2095" w14:paraId="7F193F4B" w14:textId="77777777">
            <w:pPr>
              <w:pStyle w:val="NormalWeb"/>
              <w:kinsoku w:val="0"/>
              <w:overflowPunct w:val="0"/>
              <w:spacing w:before="0" w:beforeAutospacing="0" w:after="0" w:afterAutospacing="0"/>
              <w:ind w:left="-23"/>
              <w:jc w:val="center"/>
              <w:textAlignment w:val="baseline"/>
              <w:rPr>
                <w:rFonts w:ascii="Candara" w:eastAsia="Verdana" w:hAnsi="Candara" w:cs="Verdana"/>
                <w:b/>
                <w:bCs/>
                <w:caps/>
                <w:color w:val="FFFFFF" w:themeColor="background1"/>
                <w:kern w:val="24"/>
                <w:sz w:val="20"/>
                <w:szCs w:val="52"/>
              </w:rPr>
            </w:pPr>
          </w:p>
        </w:tc>
      </w:tr>
      <w:tr w14:paraId="0A3FFFE1" w14:textId="77777777" w:rsidTr="000B395A">
        <w:tblPrEx>
          <w:tblW w:w="5313" w:type="pct"/>
          <w:tblInd w:w="-567" w:type="dxa"/>
          <w:tblLook w:val="04A0"/>
        </w:tblPrEx>
        <w:trPr>
          <w:trHeight w:val="3659"/>
        </w:trPr>
        <w:tc>
          <w:tcPr>
            <w:tcW w:w="2639" w:type="pct"/>
          </w:tcPr>
          <w:p w:rsidR="007D09BA" w:rsidRPr="0088582E" w:rsidP="00CF3F47" w14:paraId="7AC89386" w14:textId="77777777">
            <w:pPr>
              <w:pStyle w:val="NormalWeb"/>
              <w:kinsoku w:val="0"/>
              <w:overflowPunct w:val="0"/>
              <w:spacing w:before="240" w:beforeAutospacing="0" w:after="120" w:afterAutospacing="0"/>
              <w:ind w:left="-113" w:right="-102"/>
              <w:jc w:val="center"/>
              <w:textAlignment w:val="baseline"/>
              <w:rPr>
                <w:rFonts w:ascii="Candara" w:eastAsia="Verdana" w:hAnsi="Candara" w:cs="Verdana"/>
                <w:b/>
                <w:bCs/>
                <w:caps/>
                <w:color w:val="C00000"/>
                <w:kern w:val="24"/>
                <w:sz w:val="16"/>
                <w:szCs w:val="52"/>
              </w:rPr>
            </w:pPr>
            <w:r w:rsidRPr="00795F97">
              <w:rPr>
                <w:rFonts w:ascii="Candara" w:eastAsia="Verdana" w:hAnsi="Candara" w:cs="Verdana"/>
                <w:b/>
                <w:bCs/>
                <w:caps/>
                <w:color w:val="C00000"/>
                <w:kern w:val="24"/>
                <w:sz w:val="16"/>
                <w:szCs w:val="52"/>
              </w:rPr>
              <w:t>Latvijas rūpniecība specializējas zemo tehnoloģiju nozarēs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328"/>
            </w:tblGrid>
            <w:tr w14:paraId="277066AA" w14:textId="77777777" w:rsidTr="00BB209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94" w:type="dxa"/>
                </w:tcPr>
                <w:p w:rsidR="007D09BA" w:rsidRPr="00B6537C" w:rsidP="00BB2095" w14:paraId="7BD07D4D" w14:textId="77777777">
                  <w:pPr>
                    <w:pStyle w:val="NormalWeb"/>
                    <w:kinsoku w:val="0"/>
                    <w:overflowPunct w:val="0"/>
                    <w:spacing w:before="0" w:beforeAutospacing="0" w:after="0" w:afterAutospacing="0"/>
                    <w:jc w:val="center"/>
                    <w:textAlignment w:val="baseline"/>
                    <w:rPr>
                      <w:rFonts w:ascii="Candara" w:hAnsi="Candara" w:cs="Arial"/>
                      <w:color w:val="000000" w:themeColor="text1"/>
                      <w:kern w:val="24"/>
                      <w:sz w:val="10"/>
                      <w:szCs w:val="10"/>
                    </w:rPr>
                  </w:pPr>
                  <w:r w:rsidRPr="00B6537C">
                    <w:rPr>
                      <w:rFonts w:ascii="Candara" w:hAnsi="Candara" w:cs="Arial"/>
                      <w:b/>
                      <w:bCs/>
                      <w:color w:val="000000" w:themeColor="text1"/>
                      <w:kern w:val="24"/>
                      <w:sz w:val="10"/>
                      <w:szCs w:val="10"/>
                    </w:rPr>
                    <w:t>Apstrādes rūpniecības struktūra pēc tehnoloģijas līmeņiem,</w:t>
                  </w:r>
                </w:p>
                <w:p w:rsidR="007D09BA" w:rsidRPr="00B6537C" w:rsidP="00BB2095" w14:paraId="0863FC78" w14:textId="77777777">
                  <w:pPr>
                    <w:pStyle w:val="NormalWeb"/>
                    <w:kinsoku w:val="0"/>
                    <w:overflowPunct w:val="0"/>
                    <w:spacing w:before="0" w:beforeAutospacing="0" w:after="0" w:afterAutospacing="0"/>
                    <w:jc w:val="center"/>
                    <w:textAlignment w:val="baseline"/>
                    <w:rPr>
                      <w:rFonts w:ascii="Candara" w:eastAsia="Verdana" w:hAnsi="Candara" w:cs="Verdana"/>
                      <w:b/>
                      <w:bCs/>
                      <w:caps/>
                      <w:color w:val="6D1D6A" w:themeColor="accent1" w:themeShade="BF"/>
                      <w:kern w:val="24"/>
                      <w:sz w:val="10"/>
                      <w:szCs w:val="10"/>
                    </w:rPr>
                  </w:pPr>
                  <w:r w:rsidRPr="00B6537C">
                    <w:rPr>
                      <w:rFonts w:ascii="Candara" w:hAnsi="Candara" w:cs="Arial"/>
                      <w:color w:val="000000" w:themeColor="text1"/>
                      <w:kern w:val="24"/>
                      <w:sz w:val="10"/>
                      <w:szCs w:val="10"/>
                    </w:rPr>
                    <w:t>%</w:t>
                  </w:r>
                </w:p>
              </w:tc>
              <w:tc>
                <w:tcPr>
                  <w:tcW w:w="2149" w:type="dxa"/>
                </w:tcPr>
                <w:p w:rsidR="007D09BA" w:rsidRPr="00B6537C" w:rsidP="00BB2095" w14:paraId="7ED9470E"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eastAsia="Verdana" w:hAnsi="Candara" w:cs="Verdana"/>
                      <w:b/>
                      <w:bCs/>
                      <w:color w:val="000000" w:themeColor="text1"/>
                      <w:kern w:val="24"/>
                      <w:sz w:val="10"/>
                      <w:szCs w:val="10"/>
                    </w:rPr>
                  </w:pPr>
                  <w:r w:rsidRPr="00B6537C">
                    <w:rPr>
                      <w:rFonts w:ascii="Candara" w:eastAsia="Verdana" w:hAnsi="Candara" w:cs="Verdana"/>
                      <w:b/>
                      <w:bCs/>
                      <w:color w:val="000000" w:themeColor="text1"/>
                      <w:kern w:val="24"/>
                      <w:sz w:val="10"/>
                      <w:szCs w:val="10"/>
                    </w:rPr>
                    <w:t>Produktivitāte apstrādes rūpniecības nozarēs pēc tehnoloģiskās intensitātes,</w:t>
                  </w:r>
                </w:p>
                <w:p w:rsidR="007D09BA" w:rsidRPr="00B6537C" w:rsidP="00BB2095" w14:paraId="7087DE84"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eastAsia="Verdana" w:hAnsi="Candara" w:cs="Verdana"/>
                      <w:b/>
                      <w:bCs/>
                      <w:caps/>
                      <w:color w:val="6D1D6A" w:themeColor="accent1" w:themeShade="BF"/>
                      <w:kern w:val="24"/>
                      <w:sz w:val="10"/>
                      <w:szCs w:val="10"/>
                    </w:rPr>
                  </w:pPr>
                  <w:r w:rsidRPr="00B6537C">
                    <w:rPr>
                      <w:rFonts w:ascii="Candara" w:eastAsia="Verdana" w:hAnsi="Candara" w:cs="Verdana"/>
                      <w:color w:val="000000" w:themeColor="text1"/>
                      <w:kern w:val="24"/>
                      <w:sz w:val="10"/>
                      <w:szCs w:val="10"/>
                    </w:rPr>
                    <w:t>tūkst. EUR uz 1 nodarbināto, 2014.gadā</w:t>
                  </w:r>
                </w:p>
              </w:tc>
            </w:tr>
            <w:tr w14:paraId="40DDB7FF" w14:textId="77777777" w:rsidTr="00BB2095">
              <w:tblPrEx>
                <w:tblW w:w="0" w:type="auto"/>
                <w:tblLook w:val="04A0"/>
              </w:tblPrEx>
              <w:tc>
                <w:tcPr>
                  <w:tcW w:w="2394" w:type="dxa"/>
                  <w:shd w:val="clear" w:color="auto" w:fill="FFFFFF" w:themeFill="background1"/>
                </w:tcPr>
                <w:p w:rsidR="007D09BA" w:rsidP="00BB2095" w14:paraId="1E1F5337" w14:textId="77777777">
                  <w:pPr>
                    <w:pStyle w:val="NormalWeb"/>
                    <w:kinsoku w:val="0"/>
                    <w:overflowPunct w:val="0"/>
                    <w:spacing w:before="0" w:beforeAutospacing="0" w:after="0" w:afterAutospacing="0"/>
                    <w:ind w:left="-80"/>
                    <w:jc w:val="center"/>
                    <w:textAlignment w:val="baseline"/>
                    <w:rPr>
                      <w:rFonts w:ascii="Candara" w:eastAsia="Verdana" w:hAnsi="Candara" w:cs="Verdana"/>
                      <w:b/>
                      <w:bCs/>
                      <w:caps/>
                      <w:color w:val="6D1D6A" w:themeColor="accent1" w:themeShade="BF"/>
                      <w:kern w:val="24"/>
                      <w:sz w:val="16"/>
                      <w:szCs w:val="52"/>
                    </w:rPr>
                  </w:pPr>
                  <w:r w:rsidRPr="001A6C18">
                    <w:rPr>
                      <w:rFonts w:ascii="Candara" w:hAnsi="Candara"/>
                      <w:noProof/>
                      <w:sz w:val="12"/>
                    </w:rPr>
                    <w:drawing>
                      <wp:inline distT="0" distB="0" distL="0" distR="0">
                        <wp:extent cx="1376045" cy="1463813"/>
                        <wp:effectExtent l="0" t="0" r="0" b="3175"/>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149" w:type="dxa"/>
                </w:tcPr>
                <w:p w:rsidR="007D09BA" w:rsidP="00BB2095" w14:paraId="32C81516" w14:textId="77777777">
                  <w:pPr>
                    <w:pStyle w:val="NormalWeb"/>
                    <w:kinsoku w:val="0"/>
                    <w:overflowPunct w:val="0"/>
                    <w:spacing w:before="0" w:beforeAutospacing="0" w:after="0" w:afterAutospacing="0"/>
                    <w:ind w:left="-59"/>
                    <w:jc w:val="center"/>
                    <w:textAlignment w:val="baseline"/>
                    <w:rPr>
                      <w:rFonts w:ascii="Candara" w:eastAsia="Verdana" w:hAnsi="Candara" w:cs="Verdana"/>
                      <w:b/>
                      <w:bCs/>
                      <w:caps/>
                      <w:color w:val="6D1D6A" w:themeColor="accent1" w:themeShade="BF"/>
                      <w:kern w:val="24"/>
                      <w:sz w:val="16"/>
                      <w:szCs w:val="52"/>
                    </w:rPr>
                  </w:pPr>
                  <w:r w:rsidRPr="00795F97">
                    <w:rPr>
                      <w:rFonts w:ascii="Candara" w:eastAsia="Verdana" w:hAnsi="Candara" w:cs="Verdana"/>
                      <w:b/>
                      <w:bCs/>
                      <w:caps/>
                      <w:noProof/>
                      <w:color w:val="6D1D6A" w:themeColor="accent1" w:themeShade="BF"/>
                      <w:kern w:val="24"/>
                      <w:sz w:val="16"/>
                      <w:szCs w:val="52"/>
                    </w:rPr>
                    <mc:AlternateContent>
                      <mc:Choice Requires="wps">
                        <w:drawing>
                          <wp:anchor distT="45720" distB="45720" distL="114300" distR="114300" simplePos="0" relativeHeight="251755520" behindDoc="0" locked="0" layoutInCell="1" allowOverlap="1">
                            <wp:simplePos x="0" y="0"/>
                            <wp:positionH relativeFrom="column">
                              <wp:posOffset>578708</wp:posOffset>
                            </wp:positionH>
                            <wp:positionV relativeFrom="paragraph">
                              <wp:posOffset>1249045</wp:posOffset>
                            </wp:positionV>
                            <wp:extent cx="580390" cy="214630"/>
                            <wp:effectExtent l="0" t="0" r="0" b="0"/>
                            <wp:wrapNone/>
                            <wp:docPr id="3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390" cy="214630"/>
                                    </a:xfrm>
                                    <a:prstGeom prst="rect">
                                      <a:avLst/>
                                    </a:prstGeom>
                                    <a:noFill/>
                                    <a:ln w="9525">
                                      <a:noFill/>
                                      <a:miter lim="800000"/>
                                      <a:headEnd/>
                                      <a:tailEnd/>
                                    </a:ln>
                                  </wps:spPr>
                                  <wps:txbx>
                                    <w:txbxContent>
                                      <w:p w:rsidR="00B55C40" w:rsidRPr="00795F97" w:rsidP="007D09BA" w14:textId="77777777">
                                        <w:pPr>
                                          <w:rPr>
                                            <w:rFonts w:ascii="Arial Narrow" w:hAnsi="Arial Narrow"/>
                                            <w:color w:val="FFFFFF" w:themeColor="background1"/>
                                            <w:sz w:val="14"/>
                                          </w:rPr>
                                        </w:pPr>
                                        <w:r w:rsidRPr="00795F97">
                                          <w:rPr>
                                            <w:rFonts w:ascii="Arial Narrow" w:hAnsi="Arial Narrow"/>
                                            <w:color w:val="FFFFFF" w:themeColor="background1"/>
                                            <w:sz w:val="14"/>
                                          </w:rPr>
                                          <w:t>K</w:t>
                                        </w:r>
                                        <w:r>
                                          <w:rPr>
                                            <w:rFonts w:ascii="Arial Narrow" w:hAnsi="Arial Narrow"/>
                                            <w:color w:val="FFFFFF" w:themeColor="background1"/>
                                            <w:sz w:val="14"/>
                                          </w:rPr>
                                          <w:t>ā</w:t>
                                        </w:r>
                                        <w:r w:rsidRPr="00795F97">
                                          <w:rPr>
                                            <w:rFonts w:ascii="Arial Narrow" w:hAnsi="Arial Narrow"/>
                                            <w:color w:val="FFFFFF" w:themeColor="background1"/>
                                            <w:sz w:val="14"/>
                                          </w:rPr>
                                          <w:t xml:space="preserve"> ražot?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08" type="#_x0000_t202" style="width:45.7pt;height:16.9pt;margin-top:98.35pt;margin-left:45.55pt;mso-height-percent:0;mso-height-relative:margin;mso-width-percent:0;mso-width-relative:margin;mso-wrap-distance-bottom:3.6pt;mso-wrap-distance-left:9pt;mso-wrap-distance-right:9pt;mso-wrap-distance-top:3.6pt;mso-wrap-style:square;position:absolute;visibility:visible;v-text-anchor:top;z-index:251756544" filled="f" stroked="f">
                            <v:textbox>
                              <w:txbxContent>
                                <w:p w:rsidR="00B55C40" w:rsidRPr="00795F97" w:rsidP="007D09BA" w14:paraId="2E4CD54F" w14:textId="77777777">
                                  <w:pPr>
                                    <w:rPr>
                                      <w:rFonts w:ascii="Arial Narrow" w:hAnsi="Arial Narrow"/>
                                      <w:color w:val="FFFFFF" w:themeColor="background1"/>
                                      <w:sz w:val="14"/>
                                    </w:rPr>
                                  </w:pPr>
                                  <w:r w:rsidRPr="00795F97">
                                    <w:rPr>
                                      <w:rFonts w:ascii="Arial Narrow" w:hAnsi="Arial Narrow"/>
                                      <w:color w:val="FFFFFF" w:themeColor="background1"/>
                                      <w:sz w:val="14"/>
                                    </w:rPr>
                                    <w:t>K</w:t>
                                  </w:r>
                                  <w:r>
                                    <w:rPr>
                                      <w:rFonts w:ascii="Arial Narrow" w:hAnsi="Arial Narrow"/>
                                      <w:color w:val="FFFFFF" w:themeColor="background1"/>
                                      <w:sz w:val="14"/>
                                    </w:rPr>
                                    <w:t>ā</w:t>
                                  </w:r>
                                  <w:r w:rsidRPr="00795F97">
                                    <w:rPr>
                                      <w:rFonts w:ascii="Arial Narrow" w:hAnsi="Arial Narrow"/>
                                      <w:color w:val="FFFFFF" w:themeColor="background1"/>
                                      <w:sz w:val="14"/>
                                    </w:rPr>
                                    <w:t xml:space="preserve"> ražot?</w:t>
                                  </w:r>
                                </w:p>
                              </w:txbxContent>
                            </v:textbox>
                          </v:shape>
                        </w:pict>
                      </mc:Fallback>
                    </mc:AlternateContent>
                  </w:r>
                  <w:r w:rsidRPr="0087691D">
                    <w:rPr>
                      <w:rFonts w:ascii="Candara" w:hAnsi="Candara" w:cs="Arial"/>
                      <w:b/>
                      <w:bCs/>
                      <w:noProof/>
                      <w:color w:val="000000" w:themeColor="text1"/>
                      <w:kern w:val="24"/>
                      <w:sz w:val="4"/>
                    </w:rPr>
                    <mc:AlternateContent>
                      <mc:Choice Requires="wps">
                        <w:drawing>
                          <wp:anchor distT="45720" distB="45720" distL="114300" distR="114300" simplePos="0" relativeHeight="251762688" behindDoc="0" locked="0" layoutInCell="1" allowOverlap="1">
                            <wp:simplePos x="0" y="0"/>
                            <wp:positionH relativeFrom="column">
                              <wp:posOffset>972185</wp:posOffset>
                            </wp:positionH>
                            <wp:positionV relativeFrom="paragraph">
                              <wp:posOffset>463962</wp:posOffset>
                            </wp:positionV>
                            <wp:extent cx="580390" cy="214630"/>
                            <wp:effectExtent l="0" t="0" r="2540" b="0"/>
                            <wp:wrapNone/>
                            <wp:docPr id="3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6200000">
                                      <a:off x="0" y="0"/>
                                      <a:ext cx="580390" cy="214630"/>
                                    </a:xfrm>
                                    <a:prstGeom prst="rect">
                                      <a:avLst/>
                                    </a:prstGeom>
                                    <a:noFill/>
                                    <a:ln w="9525">
                                      <a:noFill/>
                                      <a:miter lim="800000"/>
                                      <a:headEnd/>
                                      <a:tailEnd/>
                                    </a:ln>
                                  </wps:spPr>
                                  <wps:txbx>
                                    <w:txbxContent>
                                      <w:p w:rsidR="00B55C40" w:rsidRPr="00795F97" w:rsidP="007D09BA" w14:textId="77777777">
                                        <w:pPr>
                                          <w:rPr>
                                            <w:rFonts w:ascii="Arial Narrow" w:hAnsi="Arial Narrow"/>
                                            <w:color w:val="FFFFFF" w:themeColor="background1"/>
                                            <w:sz w:val="14"/>
                                          </w:rPr>
                                        </w:pPr>
                                        <w:r w:rsidRPr="00795F97">
                                          <w:rPr>
                                            <w:rFonts w:ascii="Arial Narrow" w:hAnsi="Arial Narrow"/>
                                            <w:color w:val="FFFFFF" w:themeColor="background1"/>
                                            <w:sz w:val="14"/>
                                          </w:rPr>
                                          <w:t>K</w:t>
                                        </w:r>
                                        <w:r>
                                          <w:rPr>
                                            <w:rFonts w:ascii="Arial Narrow" w:hAnsi="Arial Narrow"/>
                                            <w:color w:val="FFFFFF" w:themeColor="background1"/>
                                            <w:sz w:val="14"/>
                                          </w:rPr>
                                          <w:t>o</w:t>
                                        </w:r>
                                        <w:r w:rsidRPr="00795F97">
                                          <w:rPr>
                                            <w:rFonts w:ascii="Arial Narrow" w:hAnsi="Arial Narrow"/>
                                            <w:color w:val="FFFFFF" w:themeColor="background1"/>
                                            <w:sz w:val="14"/>
                                          </w:rPr>
                                          <w:t xml:space="preserve"> ražot?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109" type="#_x0000_t202" style="width:45.7pt;height:16.9pt;margin-top:36.55pt;margin-left:76.55pt;mso-height-percent:0;mso-height-relative:margin;mso-width-percent:0;mso-width-relative:margin;mso-wrap-distance-bottom:3.6pt;mso-wrap-distance-left:9pt;mso-wrap-distance-right:9pt;mso-wrap-distance-top:3.6pt;mso-wrap-style:square;position:absolute;rotation:-90;visibility:visible;v-text-anchor:top;z-index:251763712" filled="f" stroked="f">
                            <v:textbox>
                              <w:txbxContent>
                                <w:p w:rsidR="00B55C40" w:rsidRPr="00795F97" w:rsidP="007D09BA" w14:paraId="19DC632E" w14:textId="77777777">
                                  <w:pPr>
                                    <w:rPr>
                                      <w:rFonts w:ascii="Arial Narrow" w:hAnsi="Arial Narrow"/>
                                      <w:color w:val="FFFFFF" w:themeColor="background1"/>
                                      <w:sz w:val="14"/>
                                    </w:rPr>
                                  </w:pPr>
                                  <w:r w:rsidRPr="00795F97">
                                    <w:rPr>
                                      <w:rFonts w:ascii="Arial Narrow" w:hAnsi="Arial Narrow"/>
                                      <w:color w:val="FFFFFF" w:themeColor="background1"/>
                                      <w:sz w:val="14"/>
                                    </w:rPr>
                                    <w:t>K</w:t>
                                  </w:r>
                                  <w:r>
                                    <w:rPr>
                                      <w:rFonts w:ascii="Arial Narrow" w:hAnsi="Arial Narrow"/>
                                      <w:color w:val="FFFFFF" w:themeColor="background1"/>
                                      <w:sz w:val="14"/>
                                    </w:rPr>
                                    <w:t>o</w:t>
                                  </w:r>
                                  <w:r w:rsidRPr="00795F97">
                                    <w:rPr>
                                      <w:rFonts w:ascii="Arial Narrow" w:hAnsi="Arial Narrow"/>
                                      <w:color w:val="FFFFFF" w:themeColor="background1"/>
                                      <w:sz w:val="14"/>
                                    </w:rPr>
                                    <w:t xml:space="preserve"> ražot?</w:t>
                                  </w:r>
                                </w:p>
                              </w:txbxContent>
                            </v:textbox>
                          </v:shape>
                        </w:pict>
                      </mc:Fallback>
                    </mc:AlternateContent>
                  </w:r>
                  <w:r w:rsidRPr="0087691D">
                    <w:rPr>
                      <w:rFonts w:ascii="Candara" w:hAnsi="Candara"/>
                      <w:noProof/>
                      <w:color w:val="000000"/>
                      <w:spacing w:val="-6"/>
                      <w:sz w:val="8"/>
                      <w:szCs w:val="14"/>
                    </w:rPr>
                    <mc:AlternateContent>
                      <mc:Choice Requires="wps">
                        <w:drawing>
                          <wp:anchor distT="0" distB="0" distL="114300" distR="114300" simplePos="0" relativeHeight="251764736" behindDoc="0" locked="0" layoutInCell="1" allowOverlap="1">
                            <wp:simplePos x="0" y="0"/>
                            <wp:positionH relativeFrom="column">
                              <wp:posOffset>805291</wp:posOffset>
                            </wp:positionH>
                            <wp:positionV relativeFrom="paragraph">
                              <wp:posOffset>476250</wp:posOffset>
                            </wp:positionV>
                            <wp:extent cx="1130935" cy="167005"/>
                            <wp:effectExtent l="0" t="0" r="0" b="0"/>
                            <wp:wrapNone/>
                            <wp:docPr id="208" name="TextBox 3"/>
                            <wp:cNvGraphicFramePr/>
                            <a:graphic xmlns:a="http://schemas.openxmlformats.org/drawingml/2006/main">
                              <a:graphicData uri="http://schemas.microsoft.com/office/word/2010/wordprocessingShape">
                                <wps:wsp xmlns:wps="http://schemas.microsoft.com/office/word/2010/wordprocessingShape">
                                  <wps:cNvSpPr txBox="1"/>
                                  <wps:spPr>
                                    <a:xfrm rot="16200000">
                                      <a:off x="0" y="0"/>
                                      <a:ext cx="1130935" cy="167005"/>
                                    </a:xfrm>
                                    <a:prstGeom prst="rect">
                                      <a:avLst/>
                                    </a:prstGeom>
                                    <a:noFill/>
                                  </wps:spPr>
                                  <wps:txbx>
                                    <w:txbxContent>
                                      <w:p w:rsidR="00B55C40" w:rsidRPr="0087691D" w:rsidP="007D09BA" w14:textId="77777777">
                                        <w:pPr>
                                          <w:pStyle w:val="NormalWeb"/>
                                          <w:spacing w:before="0" w:beforeAutospacing="0" w:after="0" w:afterAutospacing="0"/>
                                          <w:textAlignment w:val="baseline"/>
                                          <w:rPr>
                                            <w:rFonts w:ascii="Arial Narrow" w:hAnsi="Arial Narrow"/>
                                            <w:sz w:val="10"/>
                                            <w:szCs w:val="16"/>
                                          </w:rPr>
                                        </w:pPr>
                                        <w:r w:rsidRPr="0087691D">
                                          <w:rPr>
                                            <w:rFonts w:ascii="Arial Narrow" w:eastAsia="Verdana" w:hAnsi="Arial Narrow" w:cs="Verdana"/>
                                            <w:bCs/>
                                            <w:color w:val="C00000"/>
                                            <w:kern w:val="24"/>
                                            <w:sz w:val="10"/>
                                            <w:szCs w:val="16"/>
                                          </w:rPr>
                                          <w:t>Produktivitātes palielināšanas stratēģijas</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TextBox 3" o:spid="_x0000_s1110" type="#_x0000_t202" style="width:89.05pt;height:13.15pt;margin-top:37.5pt;margin-left:63.4pt;mso-height-percent:0;mso-height-relative:margin;mso-width-percent:0;mso-width-relative:margin;mso-wrap-distance-bottom:0;mso-wrap-distance-left:9pt;mso-wrap-distance-right:9pt;mso-wrap-distance-top:0;mso-wrap-style:square;position:absolute;rotation:-90;visibility:visible;v-text-anchor:top;z-index:251765760" filled="f" stroked="f">
                            <v:textbox>
                              <w:txbxContent>
                                <w:p w:rsidR="00B55C40" w:rsidRPr="0087691D" w:rsidP="007D09BA" w14:paraId="3D2D3038" w14:textId="77777777">
                                  <w:pPr>
                                    <w:pStyle w:val="NormalWeb"/>
                                    <w:spacing w:before="0" w:beforeAutospacing="0" w:after="0" w:afterAutospacing="0"/>
                                    <w:textAlignment w:val="baseline"/>
                                    <w:rPr>
                                      <w:rFonts w:ascii="Arial Narrow" w:hAnsi="Arial Narrow"/>
                                      <w:sz w:val="10"/>
                                      <w:szCs w:val="16"/>
                                    </w:rPr>
                                  </w:pPr>
                                  <w:r w:rsidRPr="0087691D">
                                    <w:rPr>
                                      <w:rFonts w:ascii="Arial Narrow" w:eastAsia="Verdana" w:hAnsi="Arial Narrow" w:cs="Verdana"/>
                                      <w:bCs/>
                                      <w:color w:val="C00000"/>
                                      <w:kern w:val="24"/>
                                      <w:sz w:val="10"/>
                                      <w:szCs w:val="16"/>
                                    </w:rPr>
                                    <w:t>Produktivitātes palielināšanas stratēģijas</w:t>
                                  </w:r>
                                </w:p>
                              </w:txbxContent>
                            </v:textbox>
                          </v:shape>
                        </w:pict>
                      </mc:Fallback>
                    </mc:AlternateContent>
                  </w:r>
                  <w:r w:rsidRPr="0087691D">
                    <w:rPr>
                      <w:rFonts w:ascii="Candara" w:hAnsi="Candara" w:cs="Arial"/>
                      <w:b/>
                      <w:bCs/>
                      <w:noProof/>
                      <w:color w:val="000000" w:themeColor="text1"/>
                      <w:kern w:val="24"/>
                      <w:sz w:val="4"/>
                    </w:rPr>
                    <mc:AlternateContent>
                      <mc:Choice Requires="wps">
                        <w:drawing>
                          <wp:anchor distT="0" distB="0" distL="114300" distR="114300" simplePos="0" relativeHeight="251759616" behindDoc="0" locked="0" layoutInCell="1" allowOverlap="1">
                            <wp:simplePos x="0" y="0"/>
                            <wp:positionH relativeFrom="column">
                              <wp:posOffset>1165357</wp:posOffset>
                            </wp:positionH>
                            <wp:positionV relativeFrom="paragraph">
                              <wp:posOffset>205825</wp:posOffset>
                            </wp:positionV>
                            <wp:extent cx="189230" cy="672465"/>
                            <wp:effectExtent l="19050" t="19050" r="39370" b="13335"/>
                            <wp:wrapNone/>
                            <wp:docPr id="305" name="Down Arrow 9"/>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89230" cy="672465"/>
                                    </a:xfrm>
                                    <a:prstGeom prst="downArrow">
                                      <a:avLst>
                                        <a:gd name="adj1" fmla="val 50000"/>
                                        <a:gd name="adj2" fmla="val 66031"/>
                                      </a:avLst>
                                    </a:prstGeom>
                                    <a:solidFill>
                                      <a:srgbClr val="C0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111" type="#_x0000_t67" style="width:14.9pt;height:52.95pt;margin-top:16.2pt;margin-left:91.75pt;mso-height-percent:0;mso-height-relative:margin;mso-width-percent:0;mso-width-relative:margin;mso-wrap-distance-bottom:0;mso-wrap-distance-left:9pt;mso-wrap-distance-right:9pt;mso-wrap-distance-top:0;mso-wrap-style:square;position:absolute;rotation:180;visibility:visible;v-text-anchor:middle;z-index:251760640" adj="17587" fillcolor="#c00000" strokecolor="black" strokeweight="0.25pt"/>
                        </w:pict>
                      </mc:Fallback>
                    </mc:AlternateContent>
                  </w:r>
                  <w:r w:rsidRPr="001A6C18">
                    <w:rPr>
                      <w:rFonts w:ascii="Candara" w:hAnsi="Candara"/>
                      <w:noProof/>
                      <w:sz w:val="12"/>
                    </w:rPr>
                    <mc:AlternateContent>
                      <mc:Choice Requires="wps">
                        <w:drawing>
                          <wp:anchor distT="0" distB="0" distL="114300" distR="114300" simplePos="0" relativeHeight="251753472" behindDoc="0" locked="0" layoutInCell="1" allowOverlap="1">
                            <wp:simplePos x="0" y="0"/>
                            <wp:positionH relativeFrom="column">
                              <wp:posOffset>794068</wp:posOffset>
                            </wp:positionH>
                            <wp:positionV relativeFrom="paragraph">
                              <wp:posOffset>1018333</wp:posOffset>
                            </wp:positionV>
                            <wp:extent cx="189230" cy="672465"/>
                            <wp:effectExtent l="0" t="13018" r="0" b="45402"/>
                            <wp:wrapNone/>
                            <wp:docPr id="217" name="Down Arrow 9"/>
                            <wp:cNvGraphicFramePr/>
                            <a:graphic xmlns:a="http://schemas.openxmlformats.org/drawingml/2006/main">
                              <a:graphicData uri="http://schemas.microsoft.com/office/word/2010/wordprocessingShape">
                                <wps:wsp xmlns:wps="http://schemas.microsoft.com/office/word/2010/wordprocessingShape">
                                  <wps:cNvSpPr/>
                                  <wps:spPr>
                                    <a:xfrm rot="16200000">
                                      <a:off x="0" y="0"/>
                                      <a:ext cx="189230" cy="672465"/>
                                    </a:xfrm>
                                    <a:prstGeom prst="downArrow">
                                      <a:avLst>
                                        <a:gd name="adj1" fmla="val 50000"/>
                                        <a:gd name="adj2" fmla="val 66031"/>
                                      </a:avLst>
                                    </a:prstGeom>
                                    <a:solidFill>
                                      <a:srgbClr val="C0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margin">
                              <wp14:pctWidth>0</wp14:pctWidth>
                            </wp14:sizeRelH>
                            <wp14:sizeRelV relativeFrom="margin">
                              <wp14:pctHeight>0</wp14:pctHeight>
                            </wp14:sizeRelV>
                          </wp:anchor>
                        </w:drawing>
                      </mc:Choice>
                      <mc:Fallback>
                        <w:pict>
                          <v:shape id="Down Arrow 9" o:spid="_x0000_s1112" type="#_x0000_t67" style="width:14.9pt;height:52.95pt;margin-top:80.2pt;margin-left:62.55pt;mso-height-percent:0;mso-height-relative:margin;mso-width-percent:0;mso-width-relative:margin;mso-wrap-distance-bottom:0;mso-wrap-distance-left:9pt;mso-wrap-distance-right:9pt;mso-wrap-distance-top:0;mso-wrap-style:square;position:absolute;rotation:-90;visibility:visible;v-text-anchor:middle;z-index:251754496" adj="17587" fillcolor="#c00000" strokecolor="black" strokeweight="0.25pt"/>
                        </w:pict>
                      </mc:Fallback>
                    </mc:AlternateContent>
                  </w:r>
                  <w:r w:rsidRPr="0087691D">
                    <w:rPr>
                      <w:rFonts w:ascii="Candara" w:hAnsi="Candara"/>
                      <w:noProof/>
                      <w:color w:val="000000"/>
                      <w:spacing w:val="-6"/>
                      <w:sz w:val="8"/>
                      <w:szCs w:val="14"/>
                    </w:rPr>
                    <mc:AlternateContent>
                      <mc:Choice Requires="wps">
                        <w:drawing>
                          <wp:anchor distT="0" distB="0" distL="114300" distR="114300" simplePos="0" relativeHeight="251757568" behindDoc="0" locked="0" layoutInCell="1" allowOverlap="1">
                            <wp:simplePos x="0" y="0"/>
                            <wp:positionH relativeFrom="column">
                              <wp:posOffset>258445</wp:posOffset>
                            </wp:positionH>
                            <wp:positionV relativeFrom="paragraph">
                              <wp:posOffset>1381125</wp:posOffset>
                            </wp:positionV>
                            <wp:extent cx="1130935" cy="167005"/>
                            <wp:effectExtent l="0" t="0" r="0" b="0"/>
                            <wp:wrapNone/>
                            <wp:docPr id="304" name="Text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130935" cy="167005"/>
                                    </a:xfrm>
                                    <a:prstGeom prst="rect">
                                      <a:avLst/>
                                    </a:prstGeom>
                                    <a:noFill/>
                                  </wps:spPr>
                                  <wps:txbx>
                                    <w:txbxContent>
                                      <w:p w:rsidR="00B55C40" w:rsidRPr="0087691D" w:rsidP="007D09BA" w14:textId="77777777">
                                        <w:pPr>
                                          <w:pStyle w:val="NormalWeb"/>
                                          <w:spacing w:before="0" w:beforeAutospacing="0" w:after="0" w:afterAutospacing="0"/>
                                          <w:textAlignment w:val="baseline"/>
                                          <w:rPr>
                                            <w:rFonts w:ascii="Arial Narrow" w:hAnsi="Arial Narrow"/>
                                            <w:sz w:val="10"/>
                                            <w:szCs w:val="16"/>
                                          </w:rPr>
                                        </w:pPr>
                                        <w:r w:rsidRPr="0087691D">
                                          <w:rPr>
                                            <w:rFonts w:ascii="Arial Narrow" w:eastAsia="Verdana" w:hAnsi="Arial Narrow" w:cs="Verdana"/>
                                            <w:bCs/>
                                            <w:color w:val="C00000"/>
                                            <w:kern w:val="24"/>
                                            <w:sz w:val="10"/>
                                            <w:szCs w:val="16"/>
                                          </w:rPr>
                                          <w:t>Produktivitātes palielināšanas stratēģijas</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 id="_x0000_s1113" type="#_x0000_t202" style="width:89.05pt;height:13.15pt;margin-top:108.75pt;margin-left:20.35pt;mso-height-percent:0;mso-height-relative:margin;mso-width-percent:0;mso-width-relative:margin;mso-wrap-distance-bottom:0;mso-wrap-distance-left:9pt;mso-wrap-distance-right:9pt;mso-wrap-distance-top:0;mso-wrap-style:square;position:absolute;visibility:visible;v-text-anchor:top;z-index:251758592" filled="f" stroked="f">
                            <v:textbox>
                              <w:txbxContent>
                                <w:p w:rsidR="00B55C40" w:rsidRPr="0087691D" w:rsidP="007D09BA" w14:paraId="4B1E52F3" w14:textId="77777777">
                                  <w:pPr>
                                    <w:pStyle w:val="NormalWeb"/>
                                    <w:spacing w:before="0" w:beforeAutospacing="0" w:after="0" w:afterAutospacing="0"/>
                                    <w:textAlignment w:val="baseline"/>
                                    <w:rPr>
                                      <w:rFonts w:ascii="Arial Narrow" w:hAnsi="Arial Narrow"/>
                                      <w:sz w:val="10"/>
                                      <w:szCs w:val="16"/>
                                    </w:rPr>
                                  </w:pPr>
                                  <w:r w:rsidRPr="0087691D">
                                    <w:rPr>
                                      <w:rFonts w:ascii="Arial Narrow" w:eastAsia="Verdana" w:hAnsi="Arial Narrow" w:cs="Verdana"/>
                                      <w:bCs/>
                                      <w:color w:val="C00000"/>
                                      <w:kern w:val="24"/>
                                      <w:sz w:val="10"/>
                                      <w:szCs w:val="16"/>
                                    </w:rPr>
                                    <w:t>Produktivitātes palielināšanas stratēģijas</w:t>
                                  </w:r>
                                </w:p>
                              </w:txbxContent>
                            </v:textbox>
                          </v:shape>
                        </w:pict>
                      </mc:Fallback>
                    </mc:AlternateContent>
                  </w:r>
                  <w:r w:rsidRPr="001A6C18">
                    <w:rPr>
                      <w:rFonts w:ascii="Candara" w:hAnsi="Candara"/>
                      <w:noProof/>
                      <w:sz w:val="12"/>
                    </w:rPr>
                    <w:drawing>
                      <wp:inline distT="0" distB="0" distL="0" distR="0">
                        <wp:extent cx="1377950" cy="1330430"/>
                        <wp:effectExtent l="0" t="0" r="0" b="3175"/>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7D09BA" w:rsidRPr="003E6D68" w:rsidP="00BB2095" w14:paraId="14E884A9" w14:textId="77777777">
            <w:pPr>
              <w:rPr>
                <w:rFonts w:ascii="Candara" w:eastAsia="Times New Roman" w:hAnsi="Candara" w:cs="Times New Roman"/>
                <w:color w:val="000000"/>
                <w:spacing w:val="-6"/>
                <w:sz w:val="8"/>
                <w:szCs w:val="14"/>
              </w:rPr>
            </w:pPr>
          </w:p>
          <w:p w:rsidR="007D09BA" w:rsidRPr="001A6C18" w:rsidP="00BB2095" w14:paraId="373604C3" w14:textId="77777777">
            <w:pPr>
              <w:kinsoku w:val="0"/>
              <w:overflowPunct w:val="0"/>
              <w:textAlignment w:val="baseline"/>
              <w:rPr>
                <w:rFonts w:ascii="Candara" w:hAnsi="Candara"/>
                <w:noProof/>
                <w:sz w:val="12"/>
                <w:lang w:eastAsia="lv-LV"/>
              </w:rPr>
            </w:pPr>
            <w:r w:rsidRPr="001A6C18">
              <w:rPr>
                <w:rFonts w:ascii="Candara" w:hAnsi="Candara"/>
                <w:noProof/>
                <w:sz w:val="6"/>
                <w:lang w:eastAsia="lv-LV"/>
              </w:rPr>
              <mc:AlternateContent>
                <mc:Choice Requires="wps">
                  <w:drawing>
                    <wp:inline distT="0" distB="0" distL="0" distR="0">
                      <wp:extent cx="2913163" cy="461665"/>
                      <wp:effectExtent l="0" t="0" r="1905" b="8255"/>
                      <wp:docPr id="221"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13163" cy="461665"/>
                              </a:xfrm>
                              <a:prstGeom prst="rect">
                                <a:avLst/>
                              </a:prstGeom>
                              <a:solidFill>
                                <a:schemeClr val="accent1">
                                  <a:lumMod val="75000"/>
                                </a:schemeClr>
                              </a:solidFill>
                            </wps:spPr>
                            <wps:txbx>
                              <w:txbxContent>
                                <w:p w:rsidR="00B55C40" w:rsidRPr="00BD13CC" w:rsidP="007D09BA"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sidRPr="00BD13CC">
                                    <w:rPr>
                                      <w:rFonts w:ascii="Candara" w:eastAsia="Verdana" w:hAnsi="Candara" w:cs="Verdana"/>
                                      <w:b/>
                                      <w:bCs/>
                                      <w:color w:val="FFFFFF" w:themeColor="background1"/>
                                      <w:kern w:val="24"/>
                                      <w:sz w:val="14"/>
                                      <w:shd w:val="clear" w:color="auto" w:fill="6D1D6A" w:themeFill="accent1" w:themeFillShade="BF"/>
                                    </w:rPr>
                                    <w:t xml:space="preserve">Nepieciešams </w:t>
                                  </w:r>
                                  <w:r>
                                    <w:rPr>
                                      <w:rFonts w:ascii="Candara" w:eastAsia="Verdana" w:hAnsi="Candara" w:cs="Verdana"/>
                                      <w:b/>
                                      <w:bCs/>
                                      <w:color w:val="FFFFFF" w:themeColor="background1"/>
                                      <w:kern w:val="24"/>
                                      <w:sz w:val="14"/>
                                      <w:shd w:val="clear" w:color="auto" w:fill="6D1D6A" w:themeFill="accent1" w:themeFillShade="BF"/>
                                    </w:rPr>
                                    <w:t xml:space="preserve">sekmēt </w:t>
                                  </w:r>
                                  <w:r w:rsidRPr="000E0956">
                                    <w:rPr>
                                      <w:rFonts w:ascii="Candara" w:eastAsia="Verdana" w:hAnsi="Candara" w:cs="Verdana"/>
                                      <w:b/>
                                      <w:bCs/>
                                      <w:color w:val="FFFFFF" w:themeColor="background1"/>
                                      <w:kern w:val="24"/>
                                      <w:sz w:val="14"/>
                                      <w:shd w:val="clear" w:color="auto" w:fill="6D1D6A" w:themeFill="accent1" w:themeFillShade="BF"/>
                                    </w:rPr>
                                    <w:t>ražošanas diversifikāciju un tehnoloģisko modernizāciju</w:t>
                                  </w:r>
                                </w:p>
                              </w:txbxContent>
                            </wps:txbx>
                            <wps:bodyPr wrap="square" rtlCol="0">
                              <a:spAutoFit/>
                            </wps:bodyPr>
                          </wps:wsp>
                        </a:graphicData>
                      </a:graphic>
                    </wp:inline>
                  </w:drawing>
                </mc:Choice>
                <mc:Fallback>
                  <w:pict>
                    <v:shape id="TextBox 11" o:spid="_x0000_i1114" type="#_x0000_t202" style="width:229.4pt;height:36.35pt;mso-left-percent:-10001;mso-position-horizontal-relative:char;mso-position-vertical-relative:line;mso-top-percent:-10001;mso-wrap-style:square;visibility:visible;v-text-anchor:top" fillcolor="#6d1d6a" stroked="f">
                      <v:textbox style="mso-fit-shape-to-text:t">
                        <w:txbxContent>
                          <w:p w:rsidR="00B55C40" w:rsidRPr="00BD13CC" w:rsidP="007D09BA" w14:paraId="55E35807"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sidRPr="00BD13CC">
                              <w:rPr>
                                <w:rFonts w:ascii="Candara" w:eastAsia="Verdana" w:hAnsi="Candara" w:cs="Verdana"/>
                                <w:b/>
                                <w:bCs/>
                                <w:color w:val="FFFFFF" w:themeColor="background1"/>
                                <w:kern w:val="24"/>
                                <w:sz w:val="14"/>
                                <w:shd w:val="clear" w:color="auto" w:fill="6D1D6A" w:themeFill="accent1" w:themeFillShade="BF"/>
                              </w:rPr>
                              <w:t xml:space="preserve">Nepieciešams </w:t>
                            </w:r>
                            <w:r>
                              <w:rPr>
                                <w:rFonts w:ascii="Candara" w:eastAsia="Verdana" w:hAnsi="Candara" w:cs="Verdana"/>
                                <w:b/>
                                <w:bCs/>
                                <w:color w:val="FFFFFF" w:themeColor="background1"/>
                                <w:kern w:val="24"/>
                                <w:sz w:val="14"/>
                                <w:shd w:val="clear" w:color="auto" w:fill="6D1D6A" w:themeFill="accent1" w:themeFillShade="BF"/>
                              </w:rPr>
                              <w:t xml:space="preserve">sekmēt </w:t>
                            </w:r>
                            <w:r w:rsidRPr="000E0956">
                              <w:rPr>
                                <w:rFonts w:ascii="Candara" w:eastAsia="Verdana" w:hAnsi="Candara" w:cs="Verdana"/>
                                <w:b/>
                                <w:bCs/>
                                <w:color w:val="FFFFFF" w:themeColor="background1"/>
                                <w:kern w:val="24"/>
                                <w:sz w:val="14"/>
                                <w:shd w:val="clear" w:color="auto" w:fill="6D1D6A" w:themeFill="accent1" w:themeFillShade="BF"/>
                              </w:rPr>
                              <w:t>ražošanas diversifikāciju un tehnoloģisko modernizāciju</w:t>
                            </w:r>
                          </w:p>
                        </w:txbxContent>
                      </v:textbox>
                      <w10:wrap type="none"/>
                      <w10:anchorlock/>
                    </v:shape>
                  </w:pict>
                </mc:Fallback>
              </mc:AlternateContent>
            </w:r>
          </w:p>
        </w:tc>
        <w:tc>
          <w:tcPr>
            <w:tcW w:w="2361" w:type="pct"/>
          </w:tcPr>
          <w:p w:rsidR="007D09BA" w:rsidRPr="0088582E" w:rsidP="00CF3F47" w14:paraId="2E617D9D" w14:textId="77777777">
            <w:pPr>
              <w:pStyle w:val="NormalWeb"/>
              <w:kinsoku w:val="0"/>
              <w:overflowPunct w:val="0"/>
              <w:spacing w:before="240" w:beforeAutospacing="0" w:after="120" w:afterAutospacing="0"/>
              <w:ind w:left="-113" w:right="-102"/>
              <w:jc w:val="center"/>
              <w:textAlignment w:val="baseline"/>
              <w:rPr>
                <w:rFonts w:ascii="Candara" w:hAnsi="Candara" w:cs="Arial"/>
                <w:b/>
                <w:bCs/>
                <w:color w:val="C00000"/>
                <w:kern w:val="24"/>
                <w:sz w:val="8"/>
              </w:rPr>
            </w:pPr>
            <w:r>
              <w:rPr>
                <w:rFonts w:ascii="Candara" w:eastAsia="Verdana" w:hAnsi="Candara" w:cs="Verdana"/>
                <w:b/>
                <w:bCs/>
                <w:caps/>
                <w:color w:val="C00000"/>
                <w:kern w:val="24"/>
                <w:sz w:val="16"/>
                <w:szCs w:val="52"/>
              </w:rPr>
              <w:t>RELATĪVI Zemi ienākumi no eksporta</w:t>
            </w:r>
          </w:p>
          <w:p w:rsidR="007D09BA" w:rsidP="00BB2095" w14:paraId="6D1CC287" w14:textId="77777777">
            <w:pPr>
              <w:pStyle w:val="NormalWeb"/>
              <w:tabs>
                <w:tab w:val="center" w:pos="1991"/>
                <w:tab w:val="center" w:pos="5416"/>
              </w:tabs>
              <w:kinsoku w:val="0"/>
              <w:overflowPunct w:val="0"/>
              <w:spacing w:before="0" w:beforeAutospacing="0" w:after="0" w:afterAutospacing="0"/>
              <w:ind w:left="-23"/>
              <w:textAlignment w:val="baseline"/>
              <w:rPr>
                <w:rFonts w:ascii="Candara" w:eastAsia="Verdana" w:hAnsi="Candara" w:cs="Verdana"/>
                <w:bCs/>
                <w:caps/>
                <w:kern w:val="24"/>
                <w:sz w:val="6"/>
                <w:szCs w:val="16"/>
                <w14:shadow w14:blurRad="38100" w14:dist="38100" w14:dir="2700000" w14:sx="100000" w14:sy="100000" w14:kx="0" w14:ky="0" w14:algn="tl">
                  <w14:srgbClr w14:val="000000">
                    <w14:alpha w14:val="57000"/>
                  </w14:srgbClr>
                </w14:shad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78"/>
              <w:gridCol w:w="2234"/>
            </w:tblGrid>
            <w:tr w14:paraId="645DBC8C" w14:textId="77777777" w:rsidTr="00BB2095">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00" w:type="pct"/>
                </w:tcPr>
                <w:p w:rsidR="007D09BA" w:rsidRPr="00B6537C" w:rsidP="00BB2095" w14:paraId="035FB4BA" w14:textId="77777777">
                  <w:pPr>
                    <w:pStyle w:val="NormalWeb"/>
                    <w:tabs>
                      <w:tab w:val="center" w:pos="1991"/>
                      <w:tab w:val="center" w:pos="5416"/>
                    </w:tabs>
                    <w:kinsoku w:val="0"/>
                    <w:overflowPunct w:val="0"/>
                    <w:spacing w:before="0" w:beforeAutospacing="0" w:after="0" w:afterAutospacing="0"/>
                    <w:ind w:left="-23"/>
                    <w:jc w:val="center"/>
                    <w:textAlignment w:val="baseline"/>
                    <w:rPr>
                      <w:rFonts w:ascii="Candara" w:hAnsi="Candara" w:cs="Arial"/>
                      <w:b/>
                      <w:bCs/>
                      <w:color w:val="000000" w:themeColor="text1"/>
                      <w:kern w:val="24"/>
                      <w:sz w:val="10"/>
                      <w:szCs w:val="10"/>
                    </w:rPr>
                  </w:pPr>
                  <w:r w:rsidRPr="00B6537C">
                    <w:rPr>
                      <w:rFonts w:ascii="Candara" w:hAnsi="Candara" w:cs="Arial"/>
                      <w:b/>
                      <w:bCs/>
                      <w:color w:val="000000" w:themeColor="text1"/>
                      <w:kern w:val="24"/>
                      <w:sz w:val="10"/>
                      <w:szCs w:val="10"/>
                    </w:rPr>
                    <w:t>Preču un pakalpojumu eksports</w:t>
                  </w:r>
                </w:p>
                <w:p w:rsidR="007D09BA" w:rsidRPr="00B6537C" w:rsidP="00BB2095" w14:paraId="09A4E478" w14:textId="77777777">
                  <w:pPr>
                    <w:pStyle w:val="NormalWeb"/>
                    <w:tabs>
                      <w:tab w:val="center" w:pos="1991"/>
                      <w:tab w:val="center" w:pos="5416"/>
                    </w:tabs>
                    <w:kinsoku w:val="0"/>
                    <w:overflowPunct w:val="0"/>
                    <w:spacing w:before="0" w:beforeAutospacing="0" w:after="0" w:afterAutospacing="0"/>
                    <w:ind w:left="-23"/>
                    <w:jc w:val="center"/>
                    <w:textAlignment w:val="baseline"/>
                    <w:rPr>
                      <w:rFonts w:ascii="Candara" w:eastAsia="Verdana" w:hAnsi="Candara" w:cs="Verdana"/>
                      <w:bCs/>
                      <w:caps/>
                      <w:kern w:val="24"/>
                      <w:sz w:val="10"/>
                      <w:szCs w:val="10"/>
                      <w14:shadow w14:blurRad="38100" w14:dist="38100" w14:dir="2700000" w14:sx="100000" w14:sy="100000" w14:kx="0" w14:ky="0" w14:algn="tl">
                        <w14:srgbClr w14:val="000000">
                          <w14:alpha w14:val="57000"/>
                        </w14:srgbClr>
                      </w14:shadow>
                    </w:rPr>
                  </w:pPr>
                  <w:r>
                    <w:rPr>
                      <w:rFonts w:ascii="Candara" w:hAnsi="Candara" w:cs="Arial"/>
                      <w:bCs/>
                      <w:color w:val="000000" w:themeColor="text1"/>
                      <w:kern w:val="24"/>
                      <w:sz w:val="10"/>
                      <w:szCs w:val="10"/>
                    </w:rPr>
                    <w:t>% no IKP, vidēji 2013.-2016</w:t>
                  </w:r>
                  <w:r w:rsidRPr="00B6537C">
                    <w:rPr>
                      <w:rFonts w:ascii="Candara" w:hAnsi="Candara" w:cs="Arial"/>
                      <w:bCs/>
                      <w:color w:val="000000" w:themeColor="text1"/>
                      <w:kern w:val="24"/>
                      <w:sz w:val="10"/>
                      <w:szCs w:val="10"/>
                    </w:rPr>
                    <w:t>.gadā</w:t>
                  </w:r>
                </w:p>
              </w:tc>
              <w:tc>
                <w:tcPr>
                  <w:tcW w:w="2300" w:type="pct"/>
                </w:tcPr>
                <w:p w:rsidR="007D09BA" w:rsidRPr="00B6537C" w:rsidP="00BB2095" w14:paraId="15DD791B" w14:textId="77777777">
                  <w:pPr>
                    <w:pStyle w:val="NormalWeb"/>
                    <w:tabs>
                      <w:tab w:val="center" w:pos="1991"/>
                      <w:tab w:val="center" w:pos="5416"/>
                    </w:tabs>
                    <w:kinsoku w:val="0"/>
                    <w:overflowPunct w:val="0"/>
                    <w:spacing w:before="0" w:beforeAutospacing="0" w:after="0" w:afterAutospacing="0"/>
                    <w:ind w:left="-23"/>
                    <w:jc w:val="center"/>
                    <w:textAlignment w:val="baseline"/>
                    <w:rPr>
                      <w:rFonts w:ascii="Candara" w:hAnsi="Candara" w:cs="Arial"/>
                      <w:b/>
                      <w:bCs/>
                      <w:color w:val="000000" w:themeColor="text1"/>
                      <w:kern w:val="24"/>
                      <w:sz w:val="10"/>
                      <w:szCs w:val="10"/>
                    </w:rPr>
                  </w:pPr>
                  <w:r w:rsidRPr="00B6537C">
                    <w:rPr>
                      <w:rFonts w:ascii="Candara" w:hAnsi="Candara" w:cs="Arial"/>
                      <w:b/>
                      <w:bCs/>
                      <w:color w:val="000000" w:themeColor="text1"/>
                      <w:kern w:val="24"/>
                      <w:sz w:val="10"/>
                      <w:szCs w:val="10"/>
                    </w:rPr>
                    <w:t>IT pakalpojumu eksports</w:t>
                  </w:r>
                </w:p>
                <w:p w:rsidR="007D09BA" w:rsidRPr="00B6537C" w:rsidP="00BB2095" w14:paraId="6C7BCC69" w14:textId="77777777">
                  <w:pPr>
                    <w:pStyle w:val="NormalWeb"/>
                    <w:tabs>
                      <w:tab w:val="center" w:pos="1991"/>
                      <w:tab w:val="center" w:pos="5416"/>
                    </w:tabs>
                    <w:kinsoku w:val="0"/>
                    <w:overflowPunct w:val="0"/>
                    <w:spacing w:before="0" w:beforeAutospacing="0" w:after="0" w:afterAutospacing="0"/>
                    <w:ind w:left="-23"/>
                    <w:jc w:val="center"/>
                    <w:textAlignment w:val="baseline"/>
                    <w:rPr>
                      <w:rFonts w:ascii="Candara" w:eastAsia="Verdana" w:hAnsi="Candara" w:cs="Verdana"/>
                      <w:bCs/>
                      <w:caps/>
                      <w:kern w:val="24"/>
                      <w:sz w:val="10"/>
                      <w:szCs w:val="10"/>
                      <w14:shadow w14:blurRad="38100" w14:dist="38100" w14:dir="2700000" w14:sx="100000" w14:sy="100000" w14:kx="0" w14:ky="0" w14:algn="tl">
                        <w14:srgbClr w14:val="000000">
                          <w14:alpha w14:val="57000"/>
                        </w14:srgbClr>
                      </w14:shadow>
                    </w:rPr>
                  </w:pPr>
                  <w:r w:rsidRPr="00B6537C">
                    <w:rPr>
                      <w:rFonts w:ascii="Candara" w:eastAsia="Verdana" w:hAnsi="Candara" w:cs="Verdana"/>
                      <w:color w:val="000000" w:themeColor="text1"/>
                      <w:kern w:val="24"/>
                      <w:sz w:val="10"/>
                      <w:szCs w:val="10"/>
                    </w:rPr>
                    <w:t>% no IKP, vidēji 2013.-2</w:t>
                  </w:r>
                  <w:r>
                    <w:rPr>
                      <w:rFonts w:ascii="Candara" w:eastAsia="Verdana" w:hAnsi="Candara" w:cs="Verdana"/>
                      <w:color w:val="000000" w:themeColor="text1"/>
                      <w:kern w:val="24"/>
                      <w:sz w:val="10"/>
                      <w:szCs w:val="10"/>
                    </w:rPr>
                    <w:t>016</w:t>
                  </w:r>
                  <w:r w:rsidRPr="00B6537C">
                    <w:rPr>
                      <w:rFonts w:ascii="Candara" w:eastAsia="Verdana" w:hAnsi="Candara" w:cs="Verdana"/>
                      <w:color w:val="000000" w:themeColor="text1"/>
                      <w:kern w:val="24"/>
                      <w:sz w:val="10"/>
                      <w:szCs w:val="10"/>
                    </w:rPr>
                    <w:t>.gadā</w:t>
                  </w:r>
                </w:p>
              </w:tc>
            </w:tr>
            <w:tr w14:paraId="52CAC243" w14:textId="77777777" w:rsidTr="00BB2095">
              <w:tblPrEx>
                <w:tblW w:w="5000" w:type="pct"/>
                <w:tblLook w:val="04A0"/>
              </w:tblPrEx>
              <w:tc>
                <w:tcPr>
                  <w:tcW w:w="2700" w:type="pct"/>
                  <w:vMerge w:val="restart"/>
                </w:tcPr>
                <w:p w:rsidR="007D09BA" w:rsidP="00BB2095" w14:paraId="7B172FFB" w14:textId="77777777">
                  <w:pPr>
                    <w:pStyle w:val="NormalWeb"/>
                    <w:tabs>
                      <w:tab w:val="center" w:pos="1991"/>
                      <w:tab w:val="center" w:pos="5416"/>
                    </w:tabs>
                    <w:kinsoku w:val="0"/>
                    <w:overflowPunct w:val="0"/>
                    <w:spacing w:before="0" w:beforeAutospacing="0" w:after="0" w:afterAutospacing="0"/>
                    <w:ind w:left="-23"/>
                    <w:textAlignment w:val="baseline"/>
                    <w:rPr>
                      <w:rFonts w:ascii="Candara" w:eastAsia="Verdana" w:hAnsi="Candara" w:cs="Verdana"/>
                      <w:bCs/>
                      <w:caps/>
                      <w:kern w:val="24"/>
                      <w:sz w:val="6"/>
                      <w:szCs w:val="16"/>
                      <w14:shadow w14:blurRad="38100" w14:dist="38100" w14:dir="2700000" w14:sx="100000" w14:sy="100000" w14:kx="0" w14:ky="0" w14:algn="tl">
                        <w14:srgbClr w14:val="000000">
                          <w14:alpha w14:val="57000"/>
                        </w14:srgbClr>
                      </w14:shadow>
                    </w:rPr>
                  </w:pPr>
                  <w:r w:rsidRPr="001A6C18">
                    <w:rPr>
                      <w:rFonts w:ascii="Candara" w:hAnsi="Candara"/>
                      <w:noProof/>
                      <w:sz w:val="6"/>
                      <w:szCs w:val="16"/>
                    </w:rPr>
                    <w:drawing>
                      <wp:inline distT="0" distB="0" distL="0" distR="0">
                        <wp:extent cx="1497204" cy="1567180"/>
                        <wp:effectExtent l="0" t="0" r="8255" b="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0" w:type="pct"/>
                </w:tcPr>
                <w:p w:rsidR="007D09BA" w:rsidP="00BB2095" w14:paraId="4398AA51" w14:textId="77777777">
                  <w:pPr>
                    <w:pStyle w:val="NormalWeb"/>
                    <w:tabs>
                      <w:tab w:val="center" w:pos="1991"/>
                      <w:tab w:val="center" w:pos="5416"/>
                    </w:tabs>
                    <w:kinsoku w:val="0"/>
                    <w:overflowPunct w:val="0"/>
                    <w:spacing w:before="0" w:beforeAutospacing="0" w:after="0" w:afterAutospacing="0"/>
                    <w:ind w:left="-23"/>
                    <w:textAlignment w:val="baseline"/>
                    <w:rPr>
                      <w:rFonts w:ascii="Candara" w:eastAsia="Verdana" w:hAnsi="Candara" w:cs="Verdana"/>
                      <w:bCs/>
                      <w:caps/>
                      <w:kern w:val="24"/>
                      <w:sz w:val="6"/>
                      <w:szCs w:val="16"/>
                      <w14:shadow w14:blurRad="38100" w14:dist="38100" w14:dir="2700000" w14:sx="100000" w14:sy="100000" w14:kx="0" w14:ky="0" w14:algn="tl">
                        <w14:srgbClr w14:val="000000">
                          <w14:alpha w14:val="57000"/>
                        </w14:srgbClr>
                      </w14:shadow>
                    </w:rPr>
                  </w:pPr>
                  <w:r w:rsidRPr="001A6C18">
                    <w:rPr>
                      <w:rFonts w:ascii="Candara" w:hAnsi="Candara"/>
                      <w:noProof/>
                      <w:sz w:val="6"/>
                      <w:szCs w:val="16"/>
                    </w:rPr>
                    <w:drawing>
                      <wp:inline distT="0" distB="0" distL="0" distR="0">
                        <wp:extent cx="1296000" cy="684000"/>
                        <wp:effectExtent l="0" t="0" r="0" b="1905"/>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14:paraId="3E7077F9" w14:textId="77777777" w:rsidTr="00BB2095">
              <w:tblPrEx>
                <w:tblW w:w="5000" w:type="pct"/>
                <w:tblLook w:val="04A0"/>
              </w:tblPrEx>
              <w:tc>
                <w:tcPr>
                  <w:tcW w:w="2700" w:type="pct"/>
                  <w:vMerge/>
                </w:tcPr>
                <w:p w:rsidR="007D09BA" w:rsidRPr="00B6537C" w:rsidP="00BB2095" w14:paraId="478B6034" w14:textId="77777777">
                  <w:pPr>
                    <w:pStyle w:val="NormalWeb"/>
                    <w:tabs>
                      <w:tab w:val="center" w:pos="1991"/>
                      <w:tab w:val="center" w:pos="5416"/>
                    </w:tabs>
                    <w:kinsoku w:val="0"/>
                    <w:overflowPunct w:val="0"/>
                    <w:spacing w:before="0" w:beforeAutospacing="0" w:after="0" w:afterAutospacing="0"/>
                    <w:ind w:left="-23"/>
                    <w:jc w:val="center"/>
                    <w:textAlignment w:val="baseline"/>
                    <w:rPr>
                      <w:rFonts w:ascii="Candara" w:eastAsia="Verdana" w:hAnsi="Candara" w:cs="Verdana"/>
                      <w:bCs/>
                      <w:caps/>
                      <w:kern w:val="24"/>
                      <w:sz w:val="10"/>
                      <w:szCs w:val="10"/>
                      <w14:shadow w14:blurRad="38100" w14:dist="38100" w14:dir="2700000" w14:sx="100000" w14:sy="100000" w14:kx="0" w14:ky="0" w14:algn="tl">
                        <w14:srgbClr w14:val="000000">
                          <w14:alpha w14:val="57000"/>
                        </w14:srgbClr>
                      </w14:shadow>
                    </w:rPr>
                  </w:pPr>
                </w:p>
              </w:tc>
              <w:tc>
                <w:tcPr>
                  <w:tcW w:w="2300" w:type="pct"/>
                </w:tcPr>
                <w:p w:rsidR="007D09BA" w:rsidRPr="00B6537C" w:rsidP="00BB2095" w14:paraId="48F678E4" w14:textId="77777777">
                  <w:pPr>
                    <w:pStyle w:val="NormalWeb"/>
                    <w:tabs>
                      <w:tab w:val="center" w:pos="1991"/>
                      <w:tab w:val="center" w:pos="5416"/>
                    </w:tabs>
                    <w:kinsoku w:val="0"/>
                    <w:overflowPunct w:val="0"/>
                    <w:spacing w:before="0" w:beforeAutospacing="0" w:after="0" w:afterAutospacing="0"/>
                    <w:ind w:left="-23"/>
                    <w:jc w:val="center"/>
                    <w:textAlignment w:val="baseline"/>
                    <w:rPr>
                      <w:rFonts w:ascii="Candara" w:eastAsia="Verdana" w:hAnsi="Candara" w:cs="Verdana"/>
                      <w:bCs/>
                      <w:caps/>
                      <w:kern w:val="24"/>
                      <w:sz w:val="10"/>
                      <w:szCs w:val="10"/>
                      <w14:shadow w14:blurRad="38100" w14:dist="38100" w14:dir="2700000" w14:sx="100000" w14:sy="100000" w14:kx="0" w14:ky="0" w14:algn="tl">
                        <w14:srgbClr w14:val="000000">
                          <w14:alpha w14:val="57000"/>
                        </w14:srgbClr>
                      </w14:shadow>
                    </w:rPr>
                  </w:pPr>
                  <w:r w:rsidRPr="00B6537C">
                    <w:rPr>
                      <w:rFonts w:ascii="Candara" w:hAnsi="Candara" w:cs="Arial"/>
                      <w:b/>
                      <w:bCs/>
                      <w:color w:val="000000" w:themeColor="text1"/>
                      <w:kern w:val="24"/>
                      <w:sz w:val="10"/>
                      <w:szCs w:val="10"/>
                    </w:rPr>
                    <w:t>Augsto tehnoloģiju produktu eksports</w:t>
                  </w:r>
                </w:p>
                <w:p w:rsidR="007D09BA" w:rsidRPr="00B6537C" w:rsidP="00BB2095" w14:paraId="3288A00A" w14:textId="77777777">
                  <w:pPr>
                    <w:pStyle w:val="NormalWeb"/>
                    <w:tabs>
                      <w:tab w:val="center" w:pos="1991"/>
                      <w:tab w:val="center" w:pos="5416"/>
                    </w:tabs>
                    <w:kinsoku w:val="0"/>
                    <w:overflowPunct w:val="0"/>
                    <w:spacing w:before="0" w:beforeAutospacing="0" w:after="0" w:afterAutospacing="0"/>
                    <w:ind w:left="-23"/>
                    <w:jc w:val="center"/>
                    <w:textAlignment w:val="baseline"/>
                    <w:rPr>
                      <w:rFonts w:ascii="Candara" w:eastAsia="Verdana" w:hAnsi="Candara" w:cs="Verdana"/>
                      <w:bCs/>
                      <w:caps/>
                      <w:kern w:val="24"/>
                      <w:sz w:val="10"/>
                      <w:szCs w:val="10"/>
                      <w14:shadow w14:blurRad="38100" w14:dist="38100" w14:dir="2700000" w14:sx="100000" w14:sy="100000" w14:kx="0" w14:ky="0" w14:algn="tl">
                        <w14:srgbClr w14:val="000000">
                          <w14:alpha w14:val="57000"/>
                        </w14:srgbClr>
                      </w14:shadow>
                    </w:rPr>
                  </w:pPr>
                  <w:r>
                    <w:rPr>
                      <w:rFonts w:ascii="Candara" w:eastAsia="Verdana" w:hAnsi="Candara" w:cs="Verdana"/>
                      <w:color w:val="000000" w:themeColor="text1"/>
                      <w:kern w:val="24"/>
                      <w:sz w:val="10"/>
                      <w:szCs w:val="10"/>
                    </w:rPr>
                    <w:t>% no IKP, vidēji 2013.-2015</w:t>
                  </w:r>
                  <w:r w:rsidRPr="00B6537C">
                    <w:rPr>
                      <w:rFonts w:ascii="Candara" w:eastAsia="Verdana" w:hAnsi="Candara" w:cs="Verdana"/>
                      <w:color w:val="000000" w:themeColor="text1"/>
                      <w:kern w:val="24"/>
                      <w:sz w:val="10"/>
                      <w:szCs w:val="10"/>
                    </w:rPr>
                    <w:t>.gadā</w:t>
                  </w:r>
                </w:p>
              </w:tc>
            </w:tr>
            <w:tr w14:paraId="760ADEFB" w14:textId="77777777" w:rsidTr="00BB2095">
              <w:tblPrEx>
                <w:tblW w:w="5000" w:type="pct"/>
                <w:tblLook w:val="04A0"/>
              </w:tblPrEx>
              <w:tc>
                <w:tcPr>
                  <w:tcW w:w="2700" w:type="pct"/>
                  <w:vMerge/>
                </w:tcPr>
                <w:p w:rsidR="007D09BA" w:rsidP="00BB2095" w14:paraId="7BB76B36" w14:textId="77777777">
                  <w:pPr>
                    <w:pStyle w:val="NormalWeb"/>
                    <w:tabs>
                      <w:tab w:val="center" w:pos="1991"/>
                      <w:tab w:val="center" w:pos="5416"/>
                    </w:tabs>
                    <w:kinsoku w:val="0"/>
                    <w:overflowPunct w:val="0"/>
                    <w:spacing w:before="0" w:beforeAutospacing="0" w:after="0" w:afterAutospacing="0"/>
                    <w:ind w:left="-23"/>
                    <w:textAlignment w:val="baseline"/>
                    <w:rPr>
                      <w:rFonts w:ascii="Candara" w:eastAsia="Verdana" w:hAnsi="Candara" w:cs="Verdana"/>
                      <w:bCs/>
                      <w:caps/>
                      <w:kern w:val="24"/>
                      <w:sz w:val="6"/>
                      <w:szCs w:val="16"/>
                      <w14:shadow w14:blurRad="38100" w14:dist="38100" w14:dir="2700000" w14:sx="100000" w14:sy="100000" w14:kx="0" w14:ky="0" w14:algn="tl">
                        <w14:srgbClr w14:val="000000">
                          <w14:alpha w14:val="57000"/>
                        </w14:srgbClr>
                      </w14:shadow>
                    </w:rPr>
                  </w:pPr>
                </w:p>
              </w:tc>
              <w:tc>
                <w:tcPr>
                  <w:tcW w:w="2300" w:type="pct"/>
                </w:tcPr>
                <w:p w:rsidR="007D09BA" w:rsidP="00BB2095" w14:paraId="4698FC10" w14:textId="77777777">
                  <w:pPr>
                    <w:pStyle w:val="NormalWeb"/>
                    <w:tabs>
                      <w:tab w:val="center" w:pos="1991"/>
                      <w:tab w:val="center" w:pos="5416"/>
                    </w:tabs>
                    <w:kinsoku w:val="0"/>
                    <w:overflowPunct w:val="0"/>
                    <w:spacing w:before="0" w:beforeAutospacing="0" w:after="0" w:afterAutospacing="0"/>
                    <w:ind w:left="-23"/>
                    <w:textAlignment w:val="baseline"/>
                    <w:rPr>
                      <w:rFonts w:ascii="Candara" w:eastAsia="Verdana" w:hAnsi="Candara" w:cs="Verdana"/>
                      <w:bCs/>
                      <w:caps/>
                      <w:kern w:val="24"/>
                      <w:sz w:val="6"/>
                      <w:szCs w:val="16"/>
                      <w14:shadow w14:blurRad="38100" w14:dist="38100" w14:dir="2700000" w14:sx="100000" w14:sy="100000" w14:kx="0" w14:ky="0" w14:algn="tl">
                        <w14:srgbClr w14:val="000000">
                          <w14:alpha w14:val="57000"/>
                        </w14:srgbClr>
                      </w14:shadow>
                    </w:rPr>
                  </w:pPr>
                  <w:r w:rsidRPr="001A6C18">
                    <w:rPr>
                      <w:rFonts w:ascii="Candara" w:eastAsia="Verdana" w:hAnsi="Candara" w:cs="Verdana"/>
                      <w:bCs/>
                      <w:caps/>
                      <w:noProof/>
                      <w:kern w:val="24"/>
                      <w:sz w:val="6"/>
                      <w:szCs w:val="16"/>
                      <w14:shadow w14:blurRad="38100" w14:dist="38100" w14:dir="2700000" w14:sx="100000" w14:sy="100000" w14:kx="0" w14:ky="0" w14:algn="tl">
                        <w14:srgbClr w14:val="000000">
                          <w14:alpha w14:val="57000"/>
                        </w14:srgbClr>
                      </w14:shadow>
                    </w:rPr>
                    <w:drawing>
                      <wp:inline distT="0" distB="0" distL="0" distR="0">
                        <wp:extent cx="1296000" cy="684000"/>
                        <wp:effectExtent l="0" t="0" r="0" b="1905"/>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7D09BA" w:rsidP="00BB2095" w14:paraId="1A1935FA" w14:textId="77777777">
            <w:pPr>
              <w:pStyle w:val="NormalWeb"/>
              <w:tabs>
                <w:tab w:val="center" w:pos="1991"/>
                <w:tab w:val="center" w:pos="5416"/>
              </w:tabs>
              <w:kinsoku w:val="0"/>
              <w:overflowPunct w:val="0"/>
              <w:spacing w:before="0" w:beforeAutospacing="0" w:after="0" w:afterAutospacing="0"/>
              <w:ind w:left="-23"/>
              <w:textAlignment w:val="baseline"/>
              <w:rPr>
                <w:rFonts w:ascii="Candara" w:eastAsia="Verdana" w:hAnsi="Candara" w:cs="Verdana"/>
                <w:bCs/>
                <w:caps/>
                <w:kern w:val="24"/>
                <w:sz w:val="4"/>
                <w:szCs w:val="16"/>
                <w14:shadow w14:blurRad="38100" w14:dist="38100" w14:dir="2700000" w14:sx="100000" w14:sy="100000" w14:kx="0" w14:ky="0" w14:algn="tl">
                  <w14:srgbClr w14:val="000000">
                    <w14:alpha w14:val="57000"/>
                  </w14:srgbClr>
                </w14:shadow>
              </w:rPr>
            </w:pPr>
          </w:p>
          <w:p w:rsidR="007D09BA" w:rsidRPr="004B476F" w:rsidP="00BB2095" w14:paraId="543875C9" w14:textId="77777777">
            <w:pPr>
              <w:jc w:val="center"/>
              <w:rPr>
                <w:rFonts w:ascii="Candara" w:hAnsi="Candara" w:cs="Arial"/>
                <w:b/>
                <w:bCs/>
                <w:color w:val="000000" w:themeColor="text1"/>
                <w:kern w:val="24"/>
                <w:sz w:val="4"/>
              </w:rPr>
            </w:pPr>
          </w:p>
          <w:p w:rsidR="007D09BA" w:rsidP="00BB2095" w14:paraId="150B822E" w14:textId="77777777">
            <w:pPr>
              <w:jc w:val="center"/>
              <w:rPr>
                <w:rFonts w:ascii="Candara" w:hAnsi="Candara" w:cs="Arial"/>
                <w:b/>
                <w:bCs/>
                <w:color w:val="000000" w:themeColor="text1"/>
                <w:kern w:val="24"/>
                <w:sz w:val="8"/>
              </w:rPr>
            </w:pPr>
            <w:r w:rsidRPr="001A6C18">
              <w:rPr>
                <w:rFonts w:ascii="Candara" w:hAnsi="Candara"/>
                <w:noProof/>
                <w:sz w:val="6"/>
                <w:lang w:eastAsia="lv-LV"/>
              </w:rPr>
              <mc:AlternateContent>
                <mc:Choice Requires="wps">
                  <w:drawing>
                    <wp:inline distT="0" distB="0" distL="0" distR="0">
                      <wp:extent cx="2938145" cy="324000"/>
                      <wp:effectExtent l="0" t="0" r="0" b="0"/>
                      <wp:docPr id="222"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38145" cy="324000"/>
                              </a:xfrm>
                              <a:prstGeom prst="rect">
                                <a:avLst/>
                              </a:prstGeom>
                              <a:solidFill>
                                <a:schemeClr val="accent1">
                                  <a:lumMod val="75000"/>
                                </a:schemeClr>
                              </a:solidFill>
                            </wps:spPr>
                            <wps:txbx>
                              <w:txbxContent>
                                <w:p w:rsidR="00B55C40" w:rsidRPr="00B6537C" w:rsidP="007D09BA" w14:textId="7777777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6D1D6A" w:themeFill="accent1" w:themeFillShade="BF"/>
                                    </w:rPr>
                                  </w:pPr>
                                  <w:r w:rsidRPr="00B6537C">
                                    <w:rPr>
                                      <w:rFonts w:ascii="Candara" w:eastAsia="Verdana" w:hAnsi="Candara" w:cs="Verdana"/>
                                      <w:b/>
                                      <w:bCs/>
                                      <w:color w:val="FFFFFF" w:themeColor="background1"/>
                                      <w:kern w:val="24"/>
                                      <w:sz w:val="14"/>
                                      <w:shd w:val="clear" w:color="auto" w:fill="6D1D6A" w:themeFill="accent1" w:themeFillShade="BF"/>
                                    </w:rPr>
                                    <w:t>Nepieciešams reformas, kas atvieglos pāreju uz produktu ar augstāku pievienoto vērtību ražošanu</w:t>
                                  </w:r>
                                </w:p>
                              </w:txbxContent>
                            </wps:txbx>
                            <wps:bodyPr wrap="square" rtlCol="0">
                              <a:spAutoFit/>
                            </wps:bodyPr>
                          </wps:wsp>
                        </a:graphicData>
                      </a:graphic>
                    </wp:inline>
                  </w:drawing>
                </mc:Choice>
                <mc:Fallback>
                  <w:pict>
                    <v:shape id="_x0000_i1115" type="#_x0000_t202" style="width:231.35pt;height:25.5pt;mso-left-percent:-10001;mso-position-horizontal-relative:char;mso-position-vertical-relative:line;mso-top-percent:-10001;mso-wrap-style:square;visibility:visible;v-text-anchor:top" fillcolor="#6d1d6a" stroked="f">
                      <v:textbox style="mso-fit-shape-to-text:t">
                        <w:txbxContent>
                          <w:p w:rsidR="00B55C40" w:rsidRPr="00B6537C" w:rsidP="007D09BA" w14:paraId="7195A6CF" w14:textId="7777777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6D1D6A" w:themeFill="accent1" w:themeFillShade="BF"/>
                              </w:rPr>
                            </w:pPr>
                            <w:r w:rsidRPr="00B6537C">
                              <w:rPr>
                                <w:rFonts w:ascii="Candara" w:eastAsia="Verdana" w:hAnsi="Candara" w:cs="Verdana"/>
                                <w:b/>
                                <w:bCs/>
                                <w:color w:val="FFFFFF" w:themeColor="background1"/>
                                <w:kern w:val="24"/>
                                <w:sz w:val="14"/>
                                <w:shd w:val="clear" w:color="auto" w:fill="6D1D6A" w:themeFill="accent1" w:themeFillShade="BF"/>
                              </w:rPr>
                              <w:t>Nepieciešams reformas, kas atvieglos pāreju uz produktu ar augstāku pievienoto vērtību ražošanu</w:t>
                            </w:r>
                          </w:p>
                        </w:txbxContent>
                      </v:textbox>
                      <w10:wrap type="none"/>
                      <w10:anchorlock/>
                    </v:shape>
                  </w:pict>
                </mc:Fallback>
              </mc:AlternateContent>
            </w:r>
          </w:p>
          <w:p w:rsidR="007D09BA" w:rsidP="00BB2095" w14:paraId="758DD03C" w14:textId="77777777">
            <w:pPr>
              <w:jc w:val="center"/>
              <w:rPr>
                <w:rFonts w:ascii="Candara" w:hAnsi="Candara" w:cs="Arial"/>
                <w:b/>
                <w:bCs/>
                <w:color w:val="000000" w:themeColor="text1"/>
                <w:kern w:val="24"/>
                <w:sz w:val="8"/>
              </w:rPr>
            </w:pPr>
          </w:p>
          <w:p w:rsidR="00CF3F47" w:rsidP="00BB2095" w14:paraId="5C7A9078" w14:textId="77777777">
            <w:pPr>
              <w:jc w:val="center"/>
              <w:rPr>
                <w:rFonts w:ascii="Candara" w:hAnsi="Candara" w:cs="Arial"/>
                <w:b/>
                <w:bCs/>
                <w:color w:val="000000" w:themeColor="text1"/>
                <w:kern w:val="24"/>
                <w:sz w:val="8"/>
              </w:rPr>
            </w:pPr>
          </w:p>
          <w:p w:rsidR="00CF3F47" w:rsidP="00BB2095" w14:paraId="65054367" w14:textId="77777777">
            <w:pPr>
              <w:jc w:val="center"/>
              <w:rPr>
                <w:rFonts w:ascii="Candara" w:hAnsi="Candara" w:cs="Arial"/>
                <w:b/>
                <w:bCs/>
                <w:color w:val="000000" w:themeColor="text1"/>
                <w:kern w:val="24"/>
                <w:sz w:val="8"/>
              </w:rPr>
            </w:pPr>
          </w:p>
          <w:p w:rsidR="00CF3F47" w:rsidP="00BB2095" w14:paraId="15F7B145" w14:textId="77777777">
            <w:pPr>
              <w:jc w:val="center"/>
              <w:rPr>
                <w:rFonts w:ascii="Candara" w:hAnsi="Candara" w:cs="Arial"/>
                <w:b/>
                <w:bCs/>
                <w:color w:val="000000" w:themeColor="text1"/>
                <w:kern w:val="24"/>
                <w:sz w:val="8"/>
              </w:rPr>
            </w:pPr>
          </w:p>
          <w:p w:rsidR="007D09BA" w:rsidRPr="00B6537C" w:rsidP="00BB2095" w14:paraId="5A58584A" w14:textId="77777777">
            <w:pPr>
              <w:jc w:val="center"/>
              <w:rPr>
                <w:rFonts w:ascii="Candara" w:hAnsi="Candara" w:cs="Arial"/>
                <w:b/>
                <w:bCs/>
                <w:color w:val="000000" w:themeColor="text1"/>
                <w:kern w:val="24"/>
                <w:sz w:val="8"/>
              </w:rPr>
            </w:pPr>
          </w:p>
        </w:tc>
      </w:tr>
      <w:tr w14:paraId="707A8143" w14:textId="77777777" w:rsidTr="000B395A">
        <w:tblPrEx>
          <w:tblW w:w="5313" w:type="pct"/>
          <w:tblInd w:w="-567" w:type="dxa"/>
          <w:tblLook w:val="04A0"/>
        </w:tblPrEx>
        <w:trPr>
          <w:trHeight w:val="3685"/>
        </w:trPr>
        <w:tc>
          <w:tcPr>
            <w:tcW w:w="2639" w:type="pct"/>
          </w:tcPr>
          <w:p w:rsidR="007D09BA" w:rsidRPr="0088582E" w:rsidP="00BB2095" w14:paraId="54480AEB"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16"/>
                <w:szCs w:val="52"/>
              </w:rPr>
            </w:pPr>
            <w:r>
              <w:rPr>
                <w:rFonts w:ascii="Candara" w:eastAsia="Verdana" w:hAnsi="Candara" w:cs="Verdana"/>
                <w:b/>
                <w:bCs/>
                <w:caps/>
                <w:color w:val="C00000"/>
                <w:kern w:val="24"/>
                <w:sz w:val="16"/>
                <w:szCs w:val="52"/>
              </w:rPr>
              <w:t>neilgtspējīga investīciju struktūra</w:t>
            </w:r>
          </w:p>
          <w:p w:rsidR="007D09BA" w:rsidRPr="008A2493" w:rsidP="00BB2095" w14:paraId="6AD7AB57"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6D1D6A" w:themeColor="accent1" w:themeShade="BF"/>
                <w:kern w:val="24"/>
                <w:sz w:val="4"/>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2361"/>
            </w:tblGrid>
            <w:tr w14:paraId="72FDDA60" w14:textId="77777777" w:rsidTr="00BB209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08" w:type="dxa"/>
                </w:tcPr>
                <w:p w:rsidR="007D09BA" w:rsidRPr="008A2493" w:rsidP="00BB2095" w14:paraId="6ED51DDE" w14:textId="77777777">
                  <w:pPr>
                    <w:pStyle w:val="NormalWeb"/>
                    <w:kinsoku w:val="0"/>
                    <w:overflowPunct w:val="0"/>
                    <w:spacing w:before="0" w:beforeAutospacing="0" w:after="0" w:afterAutospacing="0"/>
                    <w:jc w:val="center"/>
                    <w:textAlignment w:val="baseline"/>
                    <w:rPr>
                      <w:rFonts w:ascii="Candara" w:hAnsi="Candara" w:cs="Arial"/>
                      <w:b/>
                      <w:bCs/>
                      <w:color w:val="000000" w:themeColor="text1"/>
                      <w:kern w:val="24"/>
                      <w:sz w:val="10"/>
                      <w:szCs w:val="10"/>
                    </w:rPr>
                  </w:pPr>
                  <w:r w:rsidRPr="008A2493">
                    <w:rPr>
                      <w:rFonts w:ascii="Candara" w:hAnsi="Candara" w:cs="Arial"/>
                      <w:b/>
                      <w:bCs/>
                      <w:color w:val="000000" w:themeColor="text1"/>
                      <w:kern w:val="24"/>
                      <w:sz w:val="10"/>
                      <w:szCs w:val="10"/>
                    </w:rPr>
                    <w:t>Investīciju līmenis</w:t>
                  </w:r>
                </w:p>
                <w:p w:rsidR="007D09BA" w:rsidRPr="008A2493" w:rsidP="00BB2095" w14:paraId="00E7B1D5" w14:textId="77777777">
                  <w:pPr>
                    <w:pStyle w:val="NormalWeb"/>
                    <w:kinsoku w:val="0"/>
                    <w:overflowPunct w:val="0"/>
                    <w:spacing w:before="0" w:beforeAutospacing="0" w:after="0" w:afterAutospacing="0"/>
                    <w:jc w:val="center"/>
                    <w:textAlignment w:val="baseline"/>
                    <w:rPr>
                      <w:rFonts w:ascii="Candara" w:eastAsia="Verdana" w:hAnsi="Candara" w:cs="Verdana"/>
                      <w:b/>
                      <w:bCs/>
                      <w:caps/>
                      <w:color w:val="6D1D6A" w:themeColor="accent1" w:themeShade="BF"/>
                      <w:kern w:val="24"/>
                      <w:sz w:val="10"/>
                      <w:szCs w:val="10"/>
                    </w:rPr>
                  </w:pPr>
                  <w:r w:rsidRPr="008A2493">
                    <w:rPr>
                      <w:rFonts w:ascii="Candara" w:hAnsi="Candara" w:cs="Arial"/>
                      <w:color w:val="000000" w:themeColor="text1"/>
                      <w:kern w:val="24"/>
                      <w:sz w:val="10"/>
                      <w:szCs w:val="10"/>
                    </w:rPr>
                    <w:t>% no IKP, vidēji 2013.-201</w:t>
                  </w:r>
                  <w:r>
                    <w:rPr>
                      <w:rFonts w:ascii="Candara" w:hAnsi="Candara" w:cs="Arial"/>
                      <w:color w:val="000000" w:themeColor="text1"/>
                      <w:kern w:val="24"/>
                      <w:sz w:val="10"/>
                      <w:szCs w:val="10"/>
                    </w:rPr>
                    <w:t>6</w:t>
                  </w:r>
                  <w:r w:rsidRPr="008A2493">
                    <w:rPr>
                      <w:rFonts w:ascii="Candara" w:hAnsi="Candara" w:cs="Arial"/>
                      <w:color w:val="000000" w:themeColor="text1"/>
                      <w:kern w:val="24"/>
                      <w:sz w:val="10"/>
                      <w:szCs w:val="10"/>
                    </w:rPr>
                    <w:t>.gadā</w:t>
                  </w:r>
                </w:p>
              </w:tc>
              <w:tc>
                <w:tcPr>
                  <w:tcW w:w="2308" w:type="dxa"/>
                </w:tcPr>
                <w:p w:rsidR="007D09BA" w:rsidRPr="008A2493" w:rsidP="00BB2095" w14:paraId="539DE64F"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10"/>
                      <w:szCs w:val="10"/>
                    </w:rPr>
                  </w:pPr>
                  <w:r w:rsidRPr="008A2493">
                    <w:rPr>
                      <w:rFonts w:ascii="Candara" w:hAnsi="Candara" w:cs="Arial"/>
                      <w:b/>
                      <w:bCs/>
                      <w:color w:val="000000" w:themeColor="text1"/>
                      <w:kern w:val="24"/>
                      <w:sz w:val="10"/>
                      <w:szCs w:val="10"/>
                    </w:rPr>
                    <w:t>Investīcijas apstrādes rūpniecībā</w:t>
                  </w:r>
                </w:p>
                <w:p w:rsidR="007D09BA" w:rsidRPr="008A2493" w:rsidP="00BB2095" w14:paraId="6B994BCD"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eastAsia="Verdana" w:hAnsi="Candara" w:cs="Verdana"/>
                      <w:b/>
                      <w:bCs/>
                      <w:caps/>
                      <w:color w:val="6D1D6A" w:themeColor="accent1" w:themeShade="BF"/>
                      <w:kern w:val="24"/>
                      <w:sz w:val="10"/>
                      <w:szCs w:val="10"/>
                    </w:rPr>
                  </w:pPr>
                  <w:r w:rsidRPr="008A2493">
                    <w:rPr>
                      <w:rFonts w:ascii="Candara" w:hAnsi="Candara" w:cs="Arial"/>
                      <w:color w:val="000000" w:themeColor="text1"/>
                      <w:kern w:val="24"/>
                      <w:sz w:val="10"/>
                      <w:szCs w:val="10"/>
                    </w:rPr>
                    <w:t>% no kopējām investīcijām</w:t>
                  </w:r>
                </w:p>
              </w:tc>
            </w:tr>
            <w:tr w14:paraId="34AD9A92" w14:textId="77777777" w:rsidTr="00BB2095">
              <w:tblPrEx>
                <w:tblW w:w="0" w:type="auto"/>
                <w:tblLook w:val="04A0"/>
              </w:tblPrEx>
              <w:tc>
                <w:tcPr>
                  <w:tcW w:w="2308" w:type="dxa"/>
                </w:tcPr>
                <w:p w:rsidR="007D09BA" w:rsidP="00BB2095" w14:paraId="0FAF8C17" w14:textId="77777777">
                  <w:pPr>
                    <w:pStyle w:val="NormalWeb"/>
                    <w:kinsoku w:val="0"/>
                    <w:overflowPunct w:val="0"/>
                    <w:spacing w:before="0" w:beforeAutospacing="0" w:after="0" w:afterAutospacing="0"/>
                    <w:ind w:left="-80"/>
                    <w:jc w:val="center"/>
                    <w:textAlignment w:val="baseline"/>
                    <w:rPr>
                      <w:rFonts w:ascii="Candara" w:eastAsia="Verdana" w:hAnsi="Candara" w:cs="Verdana"/>
                      <w:b/>
                      <w:bCs/>
                      <w:caps/>
                      <w:color w:val="6D1D6A" w:themeColor="accent1" w:themeShade="BF"/>
                      <w:kern w:val="24"/>
                      <w:sz w:val="16"/>
                      <w:szCs w:val="52"/>
                    </w:rPr>
                  </w:pPr>
                  <w:r w:rsidRPr="001A6C18">
                    <w:rPr>
                      <w:rFonts w:ascii="Candara" w:hAnsi="Candara"/>
                      <w:noProof/>
                      <w:sz w:val="12"/>
                    </w:rPr>
                    <w:drawing>
                      <wp:inline distT="0" distB="0" distL="0" distR="0">
                        <wp:extent cx="1440000" cy="792000"/>
                        <wp:effectExtent l="0" t="0" r="8255" b="8255"/>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08" w:type="dxa"/>
                </w:tcPr>
                <w:p w:rsidR="007D09BA" w:rsidP="00BB2095" w14:paraId="5C9E0188" w14:textId="77777777">
                  <w:pPr>
                    <w:pStyle w:val="NormalWeb"/>
                    <w:kinsoku w:val="0"/>
                    <w:overflowPunct w:val="0"/>
                    <w:spacing w:before="0" w:beforeAutospacing="0" w:after="0" w:afterAutospacing="0"/>
                    <w:ind w:left="-122"/>
                    <w:jc w:val="center"/>
                    <w:textAlignment w:val="baseline"/>
                    <w:rPr>
                      <w:rFonts w:ascii="Candara" w:eastAsia="Verdana" w:hAnsi="Candara" w:cs="Verdana"/>
                      <w:b/>
                      <w:bCs/>
                      <w:caps/>
                      <w:color w:val="6D1D6A" w:themeColor="accent1" w:themeShade="BF"/>
                      <w:kern w:val="24"/>
                      <w:sz w:val="16"/>
                      <w:szCs w:val="52"/>
                    </w:rPr>
                  </w:pPr>
                  <w:r w:rsidRPr="001A6C18">
                    <w:rPr>
                      <w:rFonts w:ascii="Candara" w:hAnsi="Candara"/>
                      <w:noProof/>
                      <w:sz w:val="12"/>
                    </w:rPr>
                    <w:drawing>
                      <wp:inline distT="0" distB="0" distL="0" distR="0">
                        <wp:extent cx="1440000" cy="792000"/>
                        <wp:effectExtent l="0" t="0" r="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14:paraId="5F8661B6" w14:textId="77777777" w:rsidTr="00BB2095">
              <w:tblPrEx>
                <w:tblW w:w="0" w:type="auto"/>
                <w:tblLook w:val="04A0"/>
              </w:tblPrEx>
              <w:tc>
                <w:tcPr>
                  <w:tcW w:w="2308" w:type="dxa"/>
                </w:tcPr>
                <w:p w:rsidR="007D09BA" w:rsidRPr="008A2493" w:rsidP="00BB2095" w14:paraId="030F968E"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10"/>
                      <w:szCs w:val="10"/>
                    </w:rPr>
                  </w:pPr>
                  <w:r w:rsidRPr="008A2493">
                    <w:rPr>
                      <w:rFonts w:ascii="Candara" w:hAnsi="Candara" w:cs="Arial"/>
                      <w:b/>
                      <w:bCs/>
                      <w:color w:val="000000" w:themeColor="text1"/>
                      <w:kern w:val="24"/>
                      <w:sz w:val="10"/>
                      <w:szCs w:val="10"/>
                    </w:rPr>
                    <w:t>Investīcijas intelektuālā īpašuma produktos</w:t>
                  </w:r>
                </w:p>
                <w:p w:rsidR="007D09BA" w:rsidRPr="008A2493" w:rsidP="00BB2095" w14:paraId="080F6BF4" w14:textId="77777777">
                  <w:pPr>
                    <w:pStyle w:val="NormalWeb"/>
                    <w:kinsoku w:val="0"/>
                    <w:overflowPunct w:val="0"/>
                    <w:spacing w:before="0" w:beforeAutospacing="0" w:after="0" w:afterAutospacing="0"/>
                    <w:jc w:val="center"/>
                    <w:textAlignment w:val="baseline"/>
                    <w:rPr>
                      <w:rFonts w:ascii="Candara" w:eastAsia="Verdana" w:hAnsi="Candara" w:cs="Verdana"/>
                      <w:b/>
                      <w:bCs/>
                      <w:caps/>
                      <w:color w:val="6D1D6A" w:themeColor="accent1" w:themeShade="BF"/>
                      <w:kern w:val="24"/>
                      <w:sz w:val="10"/>
                      <w:szCs w:val="10"/>
                    </w:rPr>
                  </w:pPr>
                  <w:r w:rsidRPr="008A2493">
                    <w:rPr>
                      <w:rFonts w:ascii="Candara" w:hAnsi="Candara" w:cs="Arial"/>
                      <w:color w:val="000000" w:themeColor="text1"/>
                      <w:kern w:val="24"/>
                      <w:sz w:val="10"/>
                      <w:szCs w:val="10"/>
                    </w:rPr>
                    <w:t>% no kopējām investīcijām</w:t>
                  </w:r>
                </w:p>
              </w:tc>
              <w:tc>
                <w:tcPr>
                  <w:tcW w:w="2308" w:type="dxa"/>
                </w:tcPr>
                <w:p w:rsidR="007D09BA" w:rsidRPr="008A2493" w:rsidP="00BB2095" w14:paraId="52AD231E" w14:textId="77777777">
                  <w:pPr>
                    <w:pStyle w:val="NormalWeb"/>
                    <w:kinsoku w:val="0"/>
                    <w:overflowPunct w:val="0"/>
                    <w:spacing w:before="0" w:beforeAutospacing="0" w:after="0" w:afterAutospacing="0"/>
                    <w:jc w:val="center"/>
                    <w:textAlignment w:val="baseline"/>
                    <w:rPr>
                      <w:rFonts w:ascii="Candara" w:hAnsi="Candara" w:cs="Arial"/>
                      <w:b/>
                      <w:bCs/>
                      <w:color w:val="000000" w:themeColor="text1"/>
                      <w:kern w:val="24"/>
                      <w:sz w:val="10"/>
                      <w:szCs w:val="10"/>
                    </w:rPr>
                  </w:pPr>
                  <w:r w:rsidRPr="008A2493">
                    <w:rPr>
                      <w:rFonts w:ascii="Candara" w:hAnsi="Candara" w:cs="Arial"/>
                      <w:b/>
                      <w:bCs/>
                      <w:color w:val="000000" w:themeColor="text1"/>
                      <w:kern w:val="24"/>
                      <w:sz w:val="10"/>
                      <w:szCs w:val="10"/>
                    </w:rPr>
                    <w:t>Izdevumi pētniecībai un attīstībai</w:t>
                  </w:r>
                </w:p>
                <w:p w:rsidR="007D09BA" w:rsidRPr="008A2493" w:rsidP="00BB2095" w14:paraId="57291E90" w14:textId="77777777">
                  <w:pPr>
                    <w:pStyle w:val="NormalWeb"/>
                    <w:kinsoku w:val="0"/>
                    <w:overflowPunct w:val="0"/>
                    <w:spacing w:before="0" w:beforeAutospacing="0" w:after="0" w:afterAutospacing="0"/>
                    <w:jc w:val="center"/>
                    <w:textAlignment w:val="baseline"/>
                    <w:rPr>
                      <w:rFonts w:ascii="Candara" w:eastAsia="Verdana" w:hAnsi="Candara" w:cs="Verdana"/>
                      <w:b/>
                      <w:bCs/>
                      <w:caps/>
                      <w:color w:val="6D1D6A" w:themeColor="accent1" w:themeShade="BF"/>
                      <w:kern w:val="24"/>
                      <w:sz w:val="10"/>
                      <w:szCs w:val="10"/>
                    </w:rPr>
                  </w:pPr>
                  <w:r w:rsidRPr="008A2493">
                    <w:rPr>
                      <w:rFonts w:ascii="Candara" w:hAnsi="Candara" w:cs="Arial"/>
                      <w:color w:val="000000" w:themeColor="text1"/>
                      <w:kern w:val="24"/>
                      <w:sz w:val="10"/>
                      <w:szCs w:val="10"/>
                    </w:rPr>
                    <w:t>% no IKP</w:t>
                  </w:r>
                </w:p>
              </w:tc>
            </w:tr>
            <w:tr w14:paraId="2AA50D10" w14:textId="77777777" w:rsidTr="00BB2095">
              <w:tblPrEx>
                <w:tblW w:w="0" w:type="auto"/>
                <w:tblLook w:val="04A0"/>
              </w:tblPrEx>
              <w:tc>
                <w:tcPr>
                  <w:tcW w:w="2308" w:type="dxa"/>
                </w:tcPr>
                <w:p w:rsidR="007D09BA" w:rsidP="00BB2095" w14:paraId="415F766F" w14:textId="77777777">
                  <w:pPr>
                    <w:pStyle w:val="NormalWeb"/>
                    <w:kinsoku w:val="0"/>
                    <w:overflowPunct w:val="0"/>
                    <w:spacing w:before="0" w:beforeAutospacing="0" w:after="0" w:afterAutospacing="0"/>
                    <w:ind w:left="-80"/>
                    <w:jc w:val="center"/>
                    <w:textAlignment w:val="baseline"/>
                    <w:rPr>
                      <w:rFonts w:ascii="Candara" w:eastAsia="Verdana" w:hAnsi="Candara" w:cs="Verdana"/>
                      <w:b/>
                      <w:bCs/>
                      <w:caps/>
                      <w:color w:val="6D1D6A" w:themeColor="accent1" w:themeShade="BF"/>
                      <w:kern w:val="24"/>
                      <w:sz w:val="16"/>
                      <w:szCs w:val="52"/>
                    </w:rPr>
                  </w:pPr>
                  <w:r w:rsidRPr="001A6C18">
                    <w:rPr>
                      <w:rFonts w:ascii="Candara" w:hAnsi="Candara"/>
                      <w:noProof/>
                      <w:sz w:val="12"/>
                    </w:rPr>
                    <w:drawing>
                      <wp:inline distT="0" distB="0" distL="0" distR="0">
                        <wp:extent cx="1440000" cy="756000"/>
                        <wp:effectExtent l="0" t="0" r="0" b="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308" w:type="dxa"/>
                </w:tcPr>
                <w:p w:rsidR="007D09BA" w:rsidP="00BB2095" w14:paraId="064F48B5" w14:textId="77777777">
                  <w:pPr>
                    <w:pStyle w:val="NormalWeb"/>
                    <w:kinsoku w:val="0"/>
                    <w:overflowPunct w:val="0"/>
                    <w:spacing w:before="0" w:beforeAutospacing="0" w:after="0" w:afterAutospacing="0"/>
                    <w:ind w:left="-122"/>
                    <w:jc w:val="center"/>
                    <w:textAlignment w:val="baseline"/>
                    <w:rPr>
                      <w:rFonts w:ascii="Candara" w:eastAsia="Verdana" w:hAnsi="Candara" w:cs="Verdana"/>
                      <w:b/>
                      <w:bCs/>
                      <w:caps/>
                      <w:color w:val="6D1D6A" w:themeColor="accent1" w:themeShade="BF"/>
                      <w:kern w:val="24"/>
                      <w:sz w:val="16"/>
                      <w:szCs w:val="52"/>
                    </w:rPr>
                  </w:pPr>
                  <w:r w:rsidRPr="001A6C18">
                    <w:rPr>
                      <w:rFonts w:ascii="Candara" w:hAnsi="Candara"/>
                      <w:noProof/>
                      <w:sz w:val="12"/>
                    </w:rPr>
                    <w:drawing>
                      <wp:inline distT="0" distB="0" distL="0" distR="0">
                        <wp:extent cx="1440000" cy="756000"/>
                        <wp:effectExtent l="0" t="0" r="0" b="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7D09BA" w:rsidRPr="008A2493" w:rsidP="00BB2095" w14:paraId="18F2F954" w14:textId="77777777">
            <w:pPr>
              <w:pStyle w:val="NormalWeb"/>
              <w:tabs>
                <w:tab w:val="center" w:pos="1991"/>
                <w:tab w:val="center" w:pos="5416"/>
              </w:tabs>
              <w:kinsoku w:val="0"/>
              <w:overflowPunct w:val="0"/>
              <w:spacing w:before="0" w:beforeAutospacing="0" w:after="0" w:afterAutospacing="0"/>
              <w:textAlignment w:val="baseline"/>
              <w:rPr>
                <w:rFonts w:ascii="Candara" w:hAnsi="Candara" w:cs="Arial"/>
                <w:color w:val="000000" w:themeColor="text1"/>
                <w:kern w:val="24"/>
                <w:sz w:val="6"/>
              </w:rPr>
            </w:pPr>
            <w:r w:rsidRPr="001A6C18">
              <w:rPr>
                <w:rFonts w:ascii="Candara" w:hAnsi="Candara"/>
                <w:noProof/>
                <w:sz w:val="6"/>
              </w:rPr>
              <mc:AlternateContent>
                <mc:Choice Requires="wps">
                  <w:drawing>
                    <wp:inline distT="0" distB="0" distL="0" distR="0">
                      <wp:extent cx="2913163" cy="461665"/>
                      <wp:effectExtent l="0" t="0" r="1905" b="8255"/>
                      <wp:docPr id="224"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13163" cy="461665"/>
                              </a:xfrm>
                              <a:prstGeom prst="rect">
                                <a:avLst/>
                              </a:prstGeom>
                              <a:solidFill>
                                <a:schemeClr val="accent1">
                                  <a:lumMod val="75000"/>
                                </a:schemeClr>
                              </a:solidFill>
                            </wps:spPr>
                            <wps:txbx>
                              <w:txbxContent>
                                <w:p w:rsidR="00B55C40" w:rsidRPr="00BD13CC" w:rsidP="007D09BA"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sidRPr="00BD13CC">
                                    <w:rPr>
                                      <w:rFonts w:ascii="Candara" w:eastAsia="Verdana" w:hAnsi="Candara" w:cs="Verdana"/>
                                      <w:b/>
                                      <w:bCs/>
                                      <w:color w:val="FFFFFF" w:themeColor="background1"/>
                                      <w:kern w:val="24"/>
                                      <w:sz w:val="14"/>
                                      <w:shd w:val="clear" w:color="auto" w:fill="6D1D6A" w:themeFill="accent1" w:themeFillShade="BF"/>
                                    </w:rPr>
                                    <w:t xml:space="preserve">Nepieciešamas </w:t>
                                  </w:r>
                                  <w:r>
                                    <w:rPr>
                                      <w:rFonts w:ascii="Candara" w:eastAsia="Verdana" w:hAnsi="Candara" w:cs="Verdana"/>
                                      <w:b/>
                                      <w:bCs/>
                                      <w:color w:val="FFFFFF" w:themeColor="background1"/>
                                      <w:kern w:val="24"/>
                                      <w:sz w:val="14"/>
                                      <w:shd w:val="clear" w:color="auto" w:fill="6D1D6A" w:themeFill="accent1" w:themeFillShade="BF"/>
                                    </w:rPr>
                                    <w:t>stimulēt investīciju pieaugumu Latvijas ekonomikas transformācijai un ilgtermiņa attīstībai nozīmīgās jomās</w:t>
                                  </w:r>
                                </w:p>
                              </w:txbxContent>
                            </wps:txbx>
                            <wps:bodyPr wrap="square" rtlCol="0">
                              <a:spAutoFit/>
                            </wps:bodyPr>
                          </wps:wsp>
                        </a:graphicData>
                      </a:graphic>
                    </wp:inline>
                  </w:drawing>
                </mc:Choice>
                <mc:Fallback>
                  <w:pict>
                    <v:shape id="_x0000_i1116" type="#_x0000_t202" style="width:229.4pt;height:36.35pt;mso-left-percent:-10001;mso-position-horizontal-relative:char;mso-position-vertical-relative:line;mso-top-percent:-10001;mso-wrap-style:square;visibility:visible;v-text-anchor:top" fillcolor="#6d1d6a" stroked="f">
                      <v:textbox style="mso-fit-shape-to-text:t">
                        <w:txbxContent>
                          <w:p w:rsidR="00B55C40" w:rsidRPr="00BD13CC" w:rsidP="007D09BA" w14:paraId="070AC66A"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sidRPr="00BD13CC">
                              <w:rPr>
                                <w:rFonts w:ascii="Candara" w:eastAsia="Verdana" w:hAnsi="Candara" w:cs="Verdana"/>
                                <w:b/>
                                <w:bCs/>
                                <w:color w:val="FFFFFF" w:themeColor="background1"/>
                                <w:kern w:val="24"/>
                                <w:sz w:val="14"/>
                                <w:shd w:val="clear" w:color="auto" w:fill="6D1D6A" w:themeFill="accent1" w:themeFillShade="BF"/>
                              </w:rPr>
                              <w:t xml:space="preserve">Nepieciešamas </w:t>
                            </w:r>
                            <w:r>
                              <w:rPr>
                                <w:rFonts w:ascii="Candara" w:eastAsia="Verdana" w:hAnsi="Candara" w:cs="Verdana"/>
                                <w:b/>
                                <w:bCs/>
                                <w:color w:val="FFFFFF" w:themeColor="background1"/>
                                <w:kern w:val="24"/>
                                <w:sz w:val="14"/>
                                <w:shd w:val="clear" w:color="auto" w:fill="6D1D6A" w:themeFill="accent1" w:themeFillShade="BF"/>
                              </w:rPr>
                              <w:t>stimulēt investīciju pieaugumu Latvijas ekonomikas transformācijai un ilgtermiņa attīstībai nozīmīgās jomās</w:t>
                            </w:r>
                          </w:p>
                        </w:txbxContent>
                      </v:textbox>
                      <w10:wrap type="none"/>
                      <w10:anchorlock/>
                    </v:shape>
                  </w:pict>
                </mc:Fallback>
              </mc:AlternateContent>
            </w:r>
          </w:p>
        </w:tc>
        <w:tc>
          <w:tcPr>
            <w:tcW w:w="2361" w:type="pct"/>
          </w:tcPr>
          <w:p w:rsidR="007D09BA" w:rsidRPr="0088582E" w:rsidP="00BB2095" w14:paraId="3C53CF2D"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16"/>
                <w:szCs w:val="52"/>
                <w14:props3d w14:prstMaterial="matte"/>
              </w:rPr>
            </w:pPr>
            <w:r>
              <w:rPr>
                <w:rFonts w:ascii="Candara" w:eastAsia="Verdana" w:hAnsi="Candara" w:cs="Verdana"/>
                <w:b/>
                <w:bCs/>
                <w:caps/>
                <w:color w:val="C00000"/>
                <w:kern w:val="24"/>
                <w:sz w:val="16"/>
                <w:szCs w:val="52"/>
                <w14:props3d w14:prstMaterial="matte"/>
              </w:rPr>
              <w:t>Latvijas inovāciju sistēma ir vāja</w:t>
            </w:r>
          </w:p>
          <w:p w:rsidR="007D09BA" w:rsidP="00BB2095" w14:paraId="763FCC02" w14:textId="77777777">
            <w:pPr>
              <w:pStyle w:val="NormalWeb"/>
              <w:tabs>
                <w:tab w:val="center" w:pos="1404"/>
              </w:tabs>
              <w:kinsoku w:val="0"/>
              <w:overflowPunct w:val="0"/>
              <w:spacing w:before="0" w:beforeAutospacing="0" w:after="0" w:afterAutospacing="0"/>
              <w:textAlignment w:val="baseline"/>
              <w:rPr>
                <w:rFonts w:ascii="Candara" w:eastAsia="Verdana" w:hAnsi="Candara" w:cs="Verdana"/>
                <w:b/>
                <w:bCs/>
                <w:caps/>
                <w:color w:val="6D1D6A" w:themeColor="accent1" w:themeShade="BF"/>
                <w:kern w:val="24"/>
                <w:sz w:val="10"/>
                <w:szCs w:val="10"/>
              </w:rPr>
            </w:pPr>
          </w:p>
          <w:p w:rsidR="007D09BA" w:rsidP="00BB2095" w14:paraId="088260B1" w14:textId="77777777">
            <w:pPr>
              <w:pStyle w:val="NormalWeb"/>
              <w:tabs>
                <w:tab w:val="center" w:pos="1404"/>
              </w:tabs>
              <w:kinsoku w:val="0"/>
              <w:overflowPunct w:val="0"/>
              <w:spacing w:before="0" w:beforeAutospacing="0" w:after="0" w:afterAutospacing="0"/>
              <w:textAlignment w:val="baseline"/>
              <w:rPr>
                <w:rFonts w:ascii="Candara" w:eastAsia="Verdana" w:hAnsi="Candara" w:cs="Verdana"/>
                <w:b/>
                <w:bCs/>
                <w:caps/>
                <w:color w:val="6D1D6A" w:themeColor="accent1" w:themeShade="BF"/>
                <w:kern w:val="24"/>
                <w:sz w:val="10"/>
                <w:szCs w:val="10"/>
              </w:rPr>
            </w:pPr>
            <w:r>
              <w:rPr>
                <w:noProof/>
              </w:rPr>
              <w:drawing>
                <wp:inline distT="0" distB="0" distL="0" distR="0">
                  <wp:extent cx="2952000" cy="1712181"/>
                  <wp:effectExtent l="0" t="0" r="127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70155" name=""/>
                          <pic:cNvPicPr/>
                        </pic:nvPicPr>
                        <pic:blipFill>
                          <a:blip xmlns:r="http://schemas.openxmlformats.org/officeDocument/2006/relationships" r:embed="rId26"/>
                          <a:srcRect l="19565" t="29680" r="21517" b="9442"/>
                          <a:stretch>
                            <a:fillRect/>
                          </a:stretch>
                        </pic:blipFill>
                        <pic:spPr bwMode="auto">
                          <a:xfrm>
                            <a:off x="0" y="0"/>
                            <a:ext cx="2952000" cy="17121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09BA" w:rsidRPr="008451B3" w:rsidP="00BB2095" w14:paraId="0CC41270" w14:textId="77777777">
            <w:pPr>
              <w:pStyle w:val="NormalWeb"/>
              <w:tabs>
                <w:tab w:val="center" w:pos="1404"/>
              </w:tabs>
              <w:kinsoku w:val="0"/>
              <w:overflowPunct w:val="0"/>
              <w:spacing w:before="0" w:beforeAutospacing="0" w:after="0" w:afterAutospacing="0"/>
              <w:textAlignment w:val="baseline"/>
              <w:rPr>
                <w:rFonts w:ascii="Candara" w:eastAsia="Verdana" w:hAnsi="Candara" w:cs="Verdana"/>
                <w:b/>
                <w:bCs/>
                <w:caps/>
                <w:color w:val="6D1D6A" w:themeColor="accent1" w:themeShade="BF"/>
                <w:kern w:val="24"/>
                <w:sz w:val="12"/>
                <w:szCs w:val="10"/>
              </w:rPr>
            </w:pPr>
          </w:p>
          <w:p w:rsidR="007D09BA" w:rsidRPr="004B476F" w:rsidP="00BB2095" w14:paraId="590405A3" w14:textId="77777777">
            <w:pPr>
              <w:pStyle w:val="NormalWeb"/>
              <w:kinsoku w:val="0"/>
              <w:overflowPunct w:val="0"/>
              <w:spacing w:before="0" w:beforeAutospacing="0" w:after="0" w:afterAutospacing="0"/>
              <w:ind w:left="-113"/>
              <w:jc w:val="center"/>
              <w:textAlignment w:val="baseline"/>
              <w:rPr>
                <w:rFonts w:ascii="Candara" w:hAnsi="Candara"/>
                <w:noProof/>
                <w:sz w:val="2"/>
                <w:szCs w:val="2"/>
              </w:rPr>
            </w:pPr>
          </w:p>
          <w:p w:rsidR="007D09BA" w:rsidP="00BB2095" w14:paraId="0A592BD7" w14:textId="77777777">
            <w:pPr>
              <w:pStyle w:val="NormalWeb"/>
              <w:kinsoku w:val="0"/>
              <w:overflowPunct w:val="0"/>
              <w:spacing w:before="0" w:beforeAutospacing="0" w:after="0" w:afterAutospacing="0"/>
              <w:ind w:left="-113"/>
              <w:jc w:val="center"/>
              <w:textAlignment w:val="baseline"/>
              <w:rPr>
                <w:rFonts w:ascii="Candara" w:hAnsi="Candara"/>
                <w:noProof/>
                <w:sz w:val="12"/>
              </w:rPr>
            </w:pPr>
            <w:r w:rsidRPr="001A6C18">
              <w:rPr>
                <w:rFonts w:ascii="Candara" w:hAnsi="Candara"/>
                <w:noProof/>
                <w:sz w:val="6"/>
              </w:rPr>
              <mc:AlternateContent>
                <mc:Choice Requires="wps">
                  <w:drawing>
                    <wp:inline distT="0" distB="0" distL="0" distR="0">
                      <wp:extent cx="2913163" cy="461665"/>
                      <wp:effectExtent l="0" t="0" r="1905" b="8255"/>
                      <wp:docPr id="294"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13163" cy="461665"/>
                              </a:xfrm>
                              <a:prstGeom prst="rect">
                                <a:avLst/>
                              </a:prstGeom>
                              <a:solidFill>
                                <a:schemeClr val="accent1">
                                  <a:lumMod val="75000"/>
                                </a:schemeClr>
                              </a:solidFill>
                            </wps:spPr>
                            <wps:txbx>
                              <w:txbxContent>
                                <w:p w:rsidR="00B55C40" w:rsidRPr="00BD13CC" w:rsidP="007D09BA"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sidRPr="00BD13CC">
                                    <w:rPr>
                                      <w:rFonts w:ascii="Candara" w:eastAsia="Verdana" w:hAnsi="Candara" w:cs="Verdana"/>
                                      <w:b/>
                                      <w:bCs/>
                                      <w:color w:val="FFFFFF" w:themeColor="background1"/>
                                      <w:kern w:val="24"/>
                                      <w:sz w:val="14"/>
                                      <w:shd w:val="clear" w:color="auto" w:fill="6D1D6A" w:themeFill="accent1" w:themeFillShade="BF"/>
                                    </w:rPr>
                                    <w:t xml:space="preserve">Nepieciešamas </w:t>
                                  </w:r>
                                  <w:r>
                                    <w:rPr>
                                      <w:rFonts w:ascii="Candara" w:eastAsia="Verdana" w:hAnsi="Candara" w:cs="Verdana"/>
                                      <w:b/>
                                      <w:bCs/>
                                      <w:color w:val="FFFFFF" w:themeColor="background1"/>
                                      <w:kern w:val="24"/>
                                      <w:sz w:val="14"/>
                                      <w:shd w:val="clear" w:color="auto" w:fill="6D1D6A" w:themeFill="accent1" w:themeFillShade="BF"/>
                                    </w:rPr>
                                    <w:t>rast kompleksus risinājumus Latvijas inovāciju sistēmas vājo vietu novēršanai, uzlabojot Latvijas vietu starptautiskos reitingos</w:t>
                                  </w:r>
                                </w:p>
                              </w:txbxContent>
                            </wps:txbx>
                            <wps:bodyPr wrap="square" rtlCol="0">
                              <a:spAutoFit/>
                            </wps:bodyPr>
                          </wps:wsp>
                        </a:graphicData>
                      </a:graphic>
                    </wp:inline>
                  </w:drawing>
                </mc:Choice>
                <mc:Fallback>
                  <w:pict>
                    <v:shape id="_x0000_i1117" type="#_x0000_t202" style="width:229.4pt;height:36.35pt;mso-left-percent:-10001;mso-position-horizontal-relative:char;mso-position-vertical-relative:line;mso-top-percent:-10001;mso-wrap-style:square;visibility:visible;v-text-anchor:top" fillcolor="#6d1d6a" stroked="f">
                      <v:textbox style="mso-fit-shape-to-text:t">
                        <w:txbxContent>
                          <w:p w:rsidR="00B55C40" w:rsidRPr="00BD13CC" w:rsidP="007D09BA" w14:paraId="65FD673F"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sidRPr="00BD13CC">
                              <w:rPr>
                                <w:rFonts w:ascii="Candara" w:eastAsia="Verdana" w:hAnsi="Candara" w:cs="Verdana"/>
                                <w:b/>
                                <w:bCs/>
                                <w:color w:val="FFFFFF" w:themeColor="background1"/>
                                <w:kern w:val="24"/>
                                <w:sz w:val="14"/>
                                <w:shd w:val="clear" w:color="auto" w:fill="6D1D6A" w:themeFill="accent1" w:themeFillShade="BF"/>
                              </w:rPr>
                              <w:t xml:space="preserve">Nepieciešamas </w:t>
                            </w:r>
                            <w:r>
                              <w:rPr>
                                <w:rFonts w:ascii="Candara" w:eastAsia="Verdana" w:hAnsi="Candara" w:cs="Verdana"/>
                                <w:b/>
                                <w:bCs/>
                                <w:color w:val="FFFFFF" w:themeColor="background1"/>
                                <w:kern w:val="24"/>
                                <w:sz w:val="14"/>
                                <w:shd w:val="clear" w:color="auto" w:fill="6D1D6A" w:themeFill="accent1" w:themeFillShade="BF"/>
                              </w:rPr>
                              <w:t>rast kompleksus risinājumus Latvijas inovāciju sistēmas vājo vietu novēršanai, uzlabojot Latvijas vietu starptautiskos reitingos</w:t>
                            </w:r>
                          </w:p>
                        </w:txbxContent>
                      </v:textbox>
                      <w10:wrap type="none"/>
                      <w10:anchorlock/>
                    </v:shape>
                  </w:pict>
                </mc:Fallback>
              </mc:AlternateContent>
            </w:r>
          </w:p>
          <w:p w:rsidR="007D09BA" w:rsidP="00BB2095" w14:paraId="19F3809E" w14:textId="77777777">
            <w:pPr>
              <w:pStyle w:val="NormalWeb"/>
              <w:kinsoku w:val="0"/>
              <w:overflowPunct w:val="0"/>
              <w:spacing w:before="0" w:beforeAutospacing="0" w:after="0" w:afterAutospacing="0"/>
              <w:ind w:left="-113"/>
              <w:jc w:val="center"/>
              <w:textAlignment w:val="baseline"/>
              <w:rPr>
                <w:rFonts w:ascii="Candara" w:hAnsi="Candara"/>
                <w:noProof/>
                <w:sz w:val="12"/>
              </w:rPr>
            </w:pPr>
          </w:p>
          <w:p w:rsidR="00CF3F47" w:rsidP="00BB2095" w14:paraId="2D99F901" w14:textId="77777777">
            <w:pPr>
              <w:pStyle w:val="NormalWeb"/>
              <w:kinsoku w:val="0"/>
              <w:overflowPunct w:val="0"/>
              <w:spacing w:before="0" w:beforeAutospacing="0" w:after="0" w:afterAutospacing="0"/>
              <w:ind w:left="-113"/>
              <w:jc w:val="center"/>
              <w:textAlignment w:val="baseline"/>
              <w:rPr>
                <w:rFonts w:ascii="Candara" w:hAnsi="Candara"/>
                <w:noProof/>
                <w:sz w:val="12"/>
              </w:rPr>
            </w:pPr>
          </w:p>
          <w:p w:rsidR="00CF3F47" w:rsidP="00BB2095" w14:paraId="06F25968" w14:textId="77777777">
            <w:pPr>
              <w:pStyle w:val="NormalWeb"/>
              <w:kinsoku w:val="0"/>
              <w:overflowPunct w:val="0"/>
              <w:spacing w:before="0" w:beforeAutospacing="0" w:after="0" w:afterAutospacing="0"/>
              <w:ind w:left="-113"/>
              <w:jc w:val="center"/>
              <w:textAlignment w:val="baseline"/>
              <w:rPr>
                <w:rFonts w:ascii="Candara" w:hAnsi="Candara"/>
                <w:noProof/>
                <w:sz w:val="12"/>
              </w:rPr>
            </w:pPr>
          </w:p>
          <w:p w:rsidR="007D09BA" w:rsidRPr="001A6C18" w:rsidP="00BB2095" w14:paraId="1A5CAD8C" w14:textId="77777777">
            <w:pPr>
              <w:pStyle w:val="NormalWeb"/>
              <w:kinsoku w:val="0"/>
              <w:overflowPunct w:val="0"/>
              <w:spacing w:before="0" w:beforeAutospacing="0" w:after="0" w:afterAutospacing="0"/>
              <w:ind w:left="-113"/>
              <w:jc w:val="center"/>
              <w:textAlignment w:val="baseline"/>
              <w:rPr>
                <w:rFonts w:ascii="Candara" w:hAnsi="Candara"/>
                <w:noProof/>
                <w:sz w:val="12"/>
              </w:rPr>
            </w:pPr>
          </w:p>
        </w:tc>
      </w:tr>
      <w:tr w14:paraId="667D0DD2" w14:textId="77777777" w:rsidTr="000B395A">
        <w:tblPrEx>
          <w:tblW w:w="5313" w:type="pct"/>
          <w:tblInd w:w="-567" w:type="dxa"/>
          <w:tblLook w:val="04A0"/>
        </w:tblPrEx>
        <w:trPr>
          <w:trHeight w:val="57"/>
        </w:trPr>
        <w:tc>
          <w:tcPr>
            <w:tcW w:w="2639" w:type="pct"/>
          </w:tcPr>
          <w:p w:rsidR="007D09BA" w:rsidRPr="0088582E" w:rsidP="00BB2095" w14:paraId="26BDEA64"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16"/>
                <w:szCs w:val="52"/>
              </w:rPr>
            </w:pPr>
            <w:r>
              <w:rPr>
                <w:rFonts w:ascii="Candara" w:eastAsia="Verdana" w:hAnsi="Candara" w:cs="Verdana"/>
                <w:b/>
                <w:bCs/>
                <w:caps/>
                <w:color w:val="C00000"/>
                <w:kern w:val="24"/>
                <w:sz w:val="16"/>
                <w:szCs w:val="52"/>
              </w:rPr>
              <w:t>BI</w:t>
            </w:r>
            <w:r w:rsidRPr="0088582E">
              <w:rPr>
                <w:rFonts w:ascii="Candara" w:eastAsia="Verdana" w:hAnsi="Candara" w:cs="Verdana"/>
                <w:b/>
                <w:bCs/>
                <w:caps/>
                <w:color w:val="C00000"/>
                <w:kern w:val="24"/>
                <w:sz w:val="16"/>
                <w:szCs w:val="52"/>
              </w:rPr>
              <w:t>znesa stratēģijas nav vērstas un inovāciju attīstību</w:t>
            </w:r>
          </w:p>
          <w:p w:rsidR="007D09BA" w:rsidRPr="0088582E" w:rsidP="00BB2095" w14:paraId="5ED5CC54" w14:textId="77777777">
            <w:pPr>
              <w:kinsoku w:val="0"/>
              <w:overflowPunct w:val="0"/>
              <w:textAlignment w:val="baseline"/>
              <w:rPr>
                <w:rFonts w:ascii="Candara" w:eastAsia="Verdana" w:hAnsi="Candara" w:cs="Verdana"/>
                <w:b/>
                <w:color w:val="000000" w:themeColor="text1"/>
                <w:kern w:val="24"/>
                <w:sz w:val="2"/>
                <w:szCs w:val="16"/>
              </w:rPr>
            </w:pPr>
          </w:p>
          <w:p w:rsidR="007D09BA" w:rsidRPr="00924993" w:rsidP="00BB2095" w14:paraId="4B0C8FBA" w14:textId="77777777">
            <w:pPr>
              <w:kinsoku w:val="0"/>
              <w:overflowPunct w:val="0"/>
              <w:textAlignment w:val="baseline"/>
              <w:rPr>
                <w:rFonts w:ascii="Candara" w:hAnsi="Candara"/>
                <w:b/>
                <w:color w:val="000000"/>
                <w:sz w:val="14"/>
                <w:szCs w:val="16"/>
              </w:rPr>
            </w:pPr>
            <w:r>
              <w:rPr>
                <w:rFonts w:ascii="Candara" w:eastAsia="Verdana" w:hAnsi="Candara" w:cs="Verdana"/>
                <w:b/>
                <w:color w:val="000000" w:themeColor="text1"/>
                <w:kern w:val="24"/>
                <w:sz w:val="14"/>
                <w:szCs w:val="16"/>
              </w:rPr>
              <w:t>N</w:t>
            </w:r>
            <w:r w:rsidRPr="00924993">
              <w:rPr>
                <w:rFonts w:ascii="Candara" w:eastAsia="Verdana" w:hAnsi="Candara" w:cs="Verdana"/>
                <w:b/>
                <w:color w:val="000000" w:themeColor="text1"/>
                <w:kern w:val="24"/>
                <w:sz w:val="14"/>
                <w:szCs w:val="16"/>
              </w:rPr>
              <w:t>epieciešama biznesa stratēģijas maiņa:</w:t>
            </w:r>
          </w:p>
          <w:p w:rsidR="007D09BA" w:rsidRPr="0088582E" w:rsidP="00BB2095" w14:paraId="3BF2AAE9" w14:textId="77777777">
            <w:pPr>
              <w:pStyle w:val="NormalWeb"/>
              <w:tabs>
                <w:tab w:val="center" w:pos="1991"/>
                <w:tab w:val="center" w:pos="5416"/>
              </w:tabs>
              <w:kinsoku w:val="0"/>
              <w:overflowPunct w:val="0"/>
              <w:spacing w:before="0" w:beforeAutospacing="0" w:after="0" w:afterAutospacing="0"/>
              <w:textAlignment w:val="baseline"/>
              <w:rPr>
                <w:rFonts w:ascii="Candara" w:hAnsi="Candara" w:cs="Arial"/>
                <w:b/>
                <w:bCs/>
                <w:color w:val="000000" w:themeColor="text1"/>
                <w:kern w:val="24"/>
                <w:sz w:val="2"/>
              </w:rPr>
            </w:pPr>
          </w:p>
          <w:p w:rsidR="007D09BA" w:rsidP="00BB2095" w14:paraId="67938C67" w14:textId="77777777">
            <w:pPr>
              <w:pStyle w:val="NormalWeb"/>
              <w:tabs>
                <w:tab w:val="center" w:pos="1991"/>
                <w:tab w:val="center" w:pos="5416"/>
              </w:tabs>
              <w:kinsoku w:val="0"/>
              <w:overflowPunct w:val="0"/>
              <w:spacing w:before="0" w:beforeAutospacing="0" w:after="0" w:afterAutospacing="0"/>
              <w:textAlignment w:val="baseline"/>
              <w:rPr>
                <w:rFonts w:ascii="Candara" w:hAnsi="Candara" w:cs="Arial"/>
                <w:b/>
                <w:bCs/>
                <w:color w:val="000000" w:themeColor="text1"/>
                <w:kern w:val="24"/>
                <w:sz w:val="6"/>
              </w:rPr>
            </w:pPr>
            <w:r w:rsidRPr="001A6C18">
              <w:rPr>
                <w:rFonts w:ascii="Candara" w:hAnsi="Candara" w:cs="Arial"/>
                <w:b/>
                <w:bCs/>
                <w:noProof/>
                <w:color w:val="000000" w:themeColor="text1"/>
                <w:kern w:val="24"/>
                <w:sz w:val="6"/>
              </w:rPr>
              <mc:AlternateContent>
                <mc:Choice Requires="wpg">
                  <w:drawing>
                    <wp:inline distT="0" distB="0" distL="0" distR="0">
                      <wp:extent cx="2896235" cy="367665"/>
                      <wp:effectExtent l="0" t="0" r="18415" b="13335"/>
                      <wp:docPr id="295"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2896235" cy="367665"/>
                                <a:chOff x="0" y="0"/>
                                <a:chExt cx="2305797" cy="544096"/>
                              </a:xfrm>
                            </wpg:grpSpPr>
                            <wpg:grpSp>
                              <wpg:cNvPr id="296" name="Group 296"/>
                              <wpg:cNvGrpSpPr/>
                              <wpg:grpSpPr>
                                <a:xfrm>
                                  <a:off x="0" y="0"/>
                                  <a:ext cx="2305797" cy="544096"/>
                                  <a:chOff x="0" y="0"/>
                                  <a:chExt cx="2305797" cy="544096"/>
                                </a:xfrm>
                              </wpg:grpSpPr>
                              <wps:wsp xmlns:wps="http://schemas.microsoft.com/office/word/2010/wordprocessingShape">
                                <wps:cNvPr id="297" name="TextBox 1"/>
                                <wps:cNvSpPr txBox="1">
                                  <a:spLocks noChangeArrowheads="1"/>
                                </wps:cNvSpPr>
                                <wps:spPr bwMode="auto">
                                  <a:xfrm>
                                    <a:off x="0" y="193875"/>
                                    <a:ext cx="1492250" cy="31000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924993" w:rsidP="007D09BA"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 xml:space="preserve">(A) PEĻŅA    </w:t>
                                      </w:r>
                                    </w:p>
                                  </w:txbxContent>
                                </wps:txbx>
                                <wps:bodyPr wrap="square"/>
                              </wps:wsp>
                              <wps:wsp xmlns:wps="http://schemas.microsoft.com/office/word/2010/wordprocessingShape">
                                <wps:cNvPr id="298" name="TextBox 17"/>
                                <wps:cNvSpPr txBox="1">
                                  <a:spLocks noChangeArrowheads="1"/>
                                </wps:cNvSpPr>
                                <wps:spPr bwMode="auto">
                                  <a:xfrm>
                                    <a:off x="1133094" y="33202"/>
                                    <a:ext cx="750872" cy="4708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924993" w:rsidP="007D09BA"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IENĀKUMI</w:t>
                                      </w:r>
                                    </w:p>
                                    <w:p w:rsidR="00B55C40" w:rsidRPr="00924993" w:rsidP="007D09BA"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IZMAKSAS</w:t>
                                      </w:r>
                                    </w:p>
                                  </w:txbxContent>
                                </wps:txbx>
                                <wps:bodyPr wrap="square"/>
                              </wps:wsp>
                              <pic:pic xmlns:pic="http://schemas.openxmlformats.org/drawingml/2006/picture">
                                <pic:nvPicPr>
                                  <pic:cNvPr id="299" name="Picture 299" descr="Att&amp;emacr;lu rezult&amp;amacr;ti vaic&amp;amacr;jumam “arrow pn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1915062" y="320181"/>
                                    <a:ext cx="114644" cy="17820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300" name="Rectangle 300"/>
                                <wps:cNvSpPr/>
                                <wps:spPr>
                                  <a:xfrm>
                                    <a:off x="0" y="0"/>
                                    <a:ext cx="2305797" cy="5440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1" name="Picture 301" descr="Att&amp;emacr;lu rezult&amp;amacr;ti vaic&amp;amacr;jumam “arrow pn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1876577" y="114604"/>
                                    <a:ext cx="209422" cy="11464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02" name="Picture 302"/>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884647" y="250371"/>
                                  <a:ext cx="248589" cy="1422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308" descr="Att&amp;emacr;lu rezult&amp;amacr;ti vaic&amp;amacr;jumam “green arrow png”"/>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903633" y="159672"/>
                                  <a:ext cx="229612" cy="8751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6" o:spid="_x0000_i1118" style="width:228.05pt;height:28.95pt;mso-position-horizontal-relative:char;mso-position-vertical-relative:line" coordsize="23057,5440">
                      <v:group id="Group 296" o:spid="_x0000_s1119" style="width:23057;height:5440;position:absolute" coordsize="23057,5440">
                        <v:shape id="TextBox 1" o:spid="_x0000_s1120" type="#_x0000_t202" style="width:14922;height:3100;mso-wrap-style:square;position:absolute;top:1938;visibility:visible;v-text-anchor:top" filled="f" stroked="f">
                          <v:textbox>
                            <w:txbxContent>
                              <w:p w:rsidR="00B55C40" w:rsidRPr="00924993" w:rsidP="007D09BA" w14:paraId="45C53525"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 xml:space="preserve">(A) PEĻŅA    </w:t>
                                </w:r>
                              </w:p>
                            </w:txbxContent>
                          </v:textbox>
                        </v:shape>
                        <v:shape id="TextBox 17" o:spid="_x0000_s1121" type="#_x0000_t202" style="width:7509;height:4708;left:11330;mso-wrap-style:square;position:absolute;top:332;visibility:visible;v-text-anchor:top" filled="f" stroked="f">
                          <v:textbox>
                            <w:txbxContent>
                              <w:p w:rsidR="00B55C40" w:rsidRPr="00924993" w:rsidP="007D09BA" w14:paraId="15B095DC"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IENĀKUMI</w:t>
                                </w:r>
                              </w:p>
                              <w:p w:rsidR="00B55C40" w:rsidRPr="00924993" w:rsidP="007D09BA" w14:paraId="3271CB93"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IZMAKSAS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122" type="#_x0000_t75" alt="Att&amp;emacr;lu rezult&amp;amacr;ti vaic&amp;amacr;jumam “arrow png”" style="width:1147;height:1782;left:19150;mso-wrap-style:square;position:absolute;top:3201;visibility:visible">
                          <v:imagedata r:id="rId27" o:title="Att&amp;emacr;lu rezult&amp;amacr;ti vaic&amp;amacr;jumam “arrow png”"/>
                        </v:shape>
                        <v:rect id="Rectangle 300" o:spid="_x0000_s1123" style="width:23057;height:5440;mso-wrap-style:square;position:absolute;visibility:visible;v-text-anchor:middle" filled="f" strokecolor="#481346" strokeweight="1pt"/>
                        <v:shape id="Picture 301" o:spid="_x0000_s1124" type="#_x0000_t75" alt="Att&amp;emacr;lu rezult&amp;amacr;ti vaic&amp;amacr;jumam “arrow png”" style="width:2094;height:1147;left:18766;mso-wrap-style:square;position:absolute;rotation:-90;top:1145;visibility:visible">
                          <v:imagedata r:id="rId28" o:title="Att&amp;emacr;lu rezult&amp;amacr;ti vaic&amp;amacr;jumam “arrow png”"/>
                        </v:shape>
                      </v:group>
                      <v:shape id="Picture 302" o:spid="_x0000_s1125" type="#_x0000_t75" style="width:2486;height:1423;left:8846;mso-wrap-style:square;position:absolute;top:2503;visibility:visible">
                        <v:imagedata r:id="rId29" o:title=""/>
                        <v:path arrowok="t"/>
                      </v:shape>
                      <v:shape id="Picture 308" o:spid="_x0000_s1126" type="#_x0000_t75" alt="Att&amp;emacr;lu rezult&amp;amacr;ti vaic&amp;amacr;jumam “green arrow png”" style="width:2296;height:875;left:9036;mso-wrap-style:square;position:absolute;top:1596;visibility:visible">
                        <v:imagedata r:id="rId30" o:title="Att&amp;emacr;lu rezult&amp;amacr;ti vaic&amp;amacr;jumam “green arrow png”"/>
                      </v:shape>
                      <w10:wrap type="none"/>
                      <w10:anchorlock/>
                    </v:group>
                  </w:pict>
                </mc:Fallback>
              </mc:AlternateContent>
            </w:r>
          </w:p>
          <w:p w:rsidR="007D09BA" w:rsidP="00BB2095" w14:paraId="227E2A81" w14:textId="77777777">
            <w:pPr>
              <w:pStyle w:val="NormalWeb"/>
              <w:tabs>
                <w:tab w:val="center" w:pos="1991"/>
                <w:tab w:val="center" w:pos="5416"/>
              </w:tabs>
              <w:kinsoku w:val="0"/>
              <w:overflowPunct w:val="0"/>
              <w:spacing w:before="0" w:beforeAutospacing="0" w:after="0" w:afterAutospacing="0"/>
              <w:textAlignment w:val="baseline"/>
              <w:rPr>
                <w:rFonts w:ascii="Candara" w:hAnsi="Candara" w:cs="Arial"/>
                <w:b/>
                <w:bCs/>
                <w:color w:val="000000" w:themeColor="text1"/>
                <w:kern w:val="24"/>
                <w:sz w:val="6"/>
              </w:rPr>
            </w:pPr>
          </w:p>
          <w:p w:rsidR="007D09BA" w:rsidRPr="001A6C18" w:rsidP="00BB2095" w14:paraId="5D315D98" w14:textId="77777777">
            <w:pPr>
              <w:pStyle w:val="NormalWeb"/>
              <w:tabs>
                <w:tab w:val="center" w:pos="1991"/>
                <w:tab w:val="center" w:pos="5416"/>
              </w:tabs>
              <w:kinsoku w:val="0"/>
              <w:overflowPunct w:val="0"/>
              <w:spacing w:before="0" w:beforeAutospacing="0" w:after="0" w:afterAutospacing="0"/>
              <w:textAlignment w:val="baseline"/>
              <w:rPr>
                <w:rFonts w:ascii="Candara" w:hAnsi="Candara" w:cs="Arial"/>
                <w:b/>
                <w:bCs/>
                <w:color w:val="000000" w:themeColor="text1"/>
                <w:kern w:val="24"/>
                <w:sz w:val="6"/>
              </w:rPr>
            </w:pPr>
            <w:r w:rsidRPr="001A6C18">
              <w:rPr>
                <w:rFonts w:ascii="Candara" w:hAnsi="Candara"/>
                <w:noProof/>
                <w:sz w:val="14"/>
              </w:rPr>
              <w:drawing>
                <wp:anchor distT="0" distB="0" distL="114300" distR="114300" simplePos="0" relativeHeight="251767808" behindDoc="0" locked="0" layoutInCell="1" allowOverlap="1">
                  <wp:simplePos x="0" y="0"/>
                  <wp:positionH relativeFrom="column">
                    <wp:posOffset>2418553</wp:posOffset>
                  </wp:positionH>
                  <wp:positionV relativeFrom="paragraph">
                    <wp:posOffset>205133</wp:posOffset>
                  </wp:positionV>
                  <wp:extent cx="143510" cy="143510"/>
                  <wp:effectExtent l="0" t="0" r="8890" b="8890"/>
                  <wp:wrapNone/>
                  <wp:docPr id="342" name="Picture 26" descr="Att&amp;emacr;lu rezult&amp;amacr;ti vaic&amp;amacr;jumam “arrow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1" name="Picture 26" descr="Att&amp;emacr;lu rezult&amp;amacr;ti vaic&amp;amacr;jumam “arrow 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510" cy="14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C18">
              <w:rPr>
                <w:rFonts w:ascii="Candara" w:hAnsi="Candara"/>
                <w:noProof/>
                <w:sz w:val="14"/>
              </w:rPr>
              <w:drawing>
                <wp:anchor distT="0" distB="0" distL="114300" distR="114300" simplePos="0" relativeHeight="251766784" behindDoc="0" locked="0" layoutInCell="1" allowOverlap="1">
                  <wp:simplePos x="0" y="0"/>
                  <wp:positionH relativeFrom="column">
                    <wp:posOffset>2411824</wp:posOffset>
                  </wp:positionH>
                  <wp:positionV relativeFrom="paragraph">
                    <wp:posOffset>24765</wp:posOffset>
                  </wp:positionV>
                  <wp:extent cx="144000" cy="144000"/>
                  <wp:effectExtent l="0" t="0" r="8890" b="8890"/>
                  <wp:wrapNone/>
                  <wp:docPr id="352" name="Picture 26" descr="Att&amp;emacr;lu rezult&amp;amacr;ti vaic&amp;amacr;jumam “arrow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62704" name="Picture 26" descr="Att&amp;emacr;lu rezult&amp;amacr;ti vaic&amp;amacr;jumam “arrow pn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000" cy="1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C18">
              <w:rPr>
                <w:rFonts w:ascii="Candara" w:hAnsi="Candara"/>
                <w:noProof/>
                <w:sz w:val="14"/>
              </w:rPr>
              <w:drawing>
                <wp:anchor distT="0" distB="0" distL="114300" distR="114300" simplePos="0" relativeHeight="251768832" behindDoc="0" locked="0" layoutInCell="1" allowOverlap="1">
                  <wp:simplePos x="0" y="0"/>
                  <wp:positionH relativeFrom="column">
                    <wp:posOffset>1134527</wp:posOffset>
                  </wp:positionH>
                  <wp:positionV relativeFrom="paragraph">
                    <wp:posOffset>86604</wp:posOffset>
                  </wp:positionV>
                  <wp:extent cx="301450" cy="220980"/>
                  <wp:effectExtent l="0" t="0" r="3810" b="7620"/>
                  <wp:wrapNone/>
                  <wp:docPr id="353" name="Picture 28" descr="Att&amp;emacr;lu rezult&amp;amacr;ti vaic&amp;amacr;jumam “PROFI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 name="Picture 28" descr="Att&amp;emacr;lu rezult&amp;amacr;ti vaic&amp;amacr;jumam “PROFIT pn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145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C18">
              <w:rPr>
                <w:rFonts w:ascii="Candara" w:hAnsi="Candara" w:cs="Arial"/>
                <w:b/>
                <w:bCs/>
                <w:noProof/>
                <w:color w:val="000000" w:themeColor="text1"/>
                <w:kern w:val="24"/>
                <w:sz w:val="6"/>
              </w:rPr>
              <mc:AlternateContent>
                <mc:Choice Requires="wpg">
                  <w:drawing>
                    <wp:inline distT="0" distB="0" distL="0" distR="0">
                      <wp:extent cx="2896235" cy="388885"/>
                      <wp:effectExtent l="0" t="0" r="18415" b="11430"/>
                      <wp:docPr id="310" name="Group 310"/>
                      <wp:cNvGraphicFramePr/>
                      <a:graphic xmlns:a="http://schemas.openxmlformats.org/drawingml/2006/main">
                        <a:graphicData uri="http://schemas.microsoft.com/office/word/2010/wordprocessingGroup">
                          <wpg:wgp xmlns:wpg="http://schemas.microsoft.com/office/word/2010/wordprocessingGroup">
                            <wpg:cNvGrpSpPr/>
                            <wpg:grpSpPr>
                              <a:xfrm>
                                <a:off x="0" y="0"/>
                                <a:ext cx="2896235" cy="388885"/>
                                <a:chOff x="0" y="0"/>
                                <a:chExt cx="2305797" cy="544096"/>
                              </a:xfrm>
                            </wpg:grpSpPr>
                            <wps:wsp xmlns:wps="http://schemas.microsoft.com/office/word/2010/wordprocessingShape">
                              <wps:cNvPr id="311" name="TextBox 1"/>
                              <wps:cNvSpPr txBox="1">
                                <a:spLocks noChangeArrowheads="1"/>
                              </wps:cNvSpPr>
                              <wps:spPr bwMode="auto">
                                <a:xfrm>
                                  <a:off x="1" y="193676"/>
                                  <a:ext cx="1041328" cy="31000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924993" w:rsidP="007D09BA"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 xml:space="preserve">(B) PEĻŅA    </w:t>
                                    </w:r>
                                  </w:p>
                                </w:txbxContent>
                              </wps:txbx>
                              <wps:bodyPr wrap="square"/>
                            </wps:wsp>
                            <wps:wsp xmlns:wps="http://schemas.microsoft.com/office/word/2010/wordprocessingShape">
                              <wps:cNvPr id="312" name="TextBox 17"/>
                              <wps:cNvSpPr txBox="1">
                                <a:spLocks noChangeArrowheads="1"/>
                              </wps:cNvSpPr>
                              <wps:spPr bwMode="auto">
                                <a:xfrm>
                                  <a:off x="1133094" y="33202"/>
                                  <a:ext cx="1009469" cy="4708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924993" w:rsidP="007D09BA"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IZMAKSAS</w:t>
                                    </w:r>
                                  </w:p>
                                  <w:p w:rsidR="00B55C40" w:rsidRPr="00924993" w:rsidP="007D09BA"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IENĀKUMI</w:t>
                                    </w:r>
                                  </w:p>
                                </w:txbxContent>
                              </wps:txbx>
                              <wps:bodyPr wrap="square"/>
                            </wps:wsp>
                            <wps:wsp xmlns:wps="http://schemas.microsoft.com/office/word/2010/wordprocessingShape">
                              <wps:cNvPr id="313" name="Rectangle 313"/>
                              <wps:cNvSpPr/>
                              <wps:spPr>
                                <a:xfrm>
                                  <a:off x="0" y="0"/>
                                  <a:ext cx="2305797" cy="54409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10" o:spid="_x0000_i1127" style="width:228.05pt;height:30.6pt;mso-position-horizontal-relative:char;mso-position-vertical-relative:line" coordsize="23057,5440">
                      <v:shape id="TextBox 1" o:spid="_x0000_s1128" type="#_x0000_t202" style="width:10413;height:3100;mso-wrap-style:square;position:absolute;top:1936;visibility:visible;v-text-anchor:top" filled="f" stroked="f">
                        <v:textbox>
                          <w:txbxContent>
                            <w:p w:rsidR="00B55C40" w:rsidRPr="00924993" w:rsidP="007D09BA" w14:paraId="3628CA2A"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 xml:space="preserve">(B) PEĻŅA    </w:t>
                              </w:r>
                            </w:p>
                          </w:txbxContent>
                        </v:textbox>
                      </v:shape>
                      <v:shape id="TextBox 17" o:spid="_x0000_s1129" type="#_x0000_t202" style="width:10095;height:4708;left:11330;mso-wrap-style:square;position:absolute;top:332;visibility:visible;v-text-anchor:top" filled="f" stroked="f">
                        <v:textbox>
                          <w:txbxContent>
                            <w:p w:rsidR="00B55C40" w:rsidRPr="00924993" w:rsidP="007D09BA" w14:paraId="1F4FF6EA"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IZMAKSAS</w:t>
                              </w:r>
                            </w:p>
                            <w:p w:rsidR="00B55C40" w:rsidRPr="00924993" w:rsidP="007D09BA" w14:paraId="59C03776" w14:textId="77777777">
                              <w:pPr>
                                <w:pStyle w:val="NormalWeb"/>
                                <w:kinsoku w:val="0"/>
                                <w:overflowPunct w:val="0"/>
                                <w:spacing w:before="0" w:beforeAutospacing="0" w:after="0" w:afterAutospacing="0"/>
                                <w:textAlignment w:val="baseline"/>
                                <w:rPr>
                                  <w:rFonts w:ascii="Candara" w:hAnsi="Candara"/>
                                  <w:sz w:val="16"/>
                                  <w:szCs w:val="16"/>
                                </w:rPr>
                              </w:pPr>
                              <w:r w:rsidRPr="00924993">
                                <w:rPr>
                                  <w:rFonts w:ascii="Candara" w:hAnsi="Candara" w:cs="Arial"/>
                                  <w:b/>
                                  <w:bCs/>
                                  <w:color w:val="000000" w:themeColor="text1"/>
                                  <w:kern w:val="24"/>
                                  <w:sz w:val="16"/>
                                  <w:szCs w:val="16"/>
                                </w:rPr>
                                <w:t>IENĀKUMI</w:t>
                              </w:r>
                            </w:p>
                          </w:txbxContent>
                        </v:textbox>
                      </v:shape>
                      <v:rect id="Rectangle 313" o:spid="_x0000_s1130" style="width:23057;height:5440;mso-wrap-style:square;position:absolute;visibility:visible;v-text-anchor:middle" filled="f" strokecolor="#481346" strokeweight="1pt"/>
                      <w10:wrap type="none"/>
                      <w10:anchorlock/>
                    </v:group>
                  </w:pict>
                </mc:Fallback>
              </mc:AlternateContent>
            </w:r>
          </w:p>
          <w:p w:rsidR="007D09BA" w:rsidRPr="001A6C18" w:rsidP="00BB2095" w14:paraId="49E07C0A" w14:textId="77777777">
            <w:pPr>
              <w:pStyle w:val="ListParagraph"/>
              <w:kinsoku w:val="0"/>
              <w:overflowPunct w:val="0"/>
              <w:ind w:left="313"/>
              <w:textAlignment w:val="baseline"/>
              <w:rPr>
                <w:rFonts w:ascii="Candara" w:hAnsi="Candara"/>
                <w:b/>
                <w:color w:val="000000"/>
                <w:sz w:val="2"/>
                <w:szCs w:val="16"/>
              </w:rPr>
            </w:pPr>
          </w:p>
          <w:p w:rsidR="007D09BA" w:rsidRPr="001A6C18" w:rsidP="00BB2095" w14:paraId="44037415" w14:textId="77777777">
            <w:pPr>
              <w:kinsoku w:val="0"/>
              <w:overflowPunct w:val="0"/>
              <w:textAlignment w:val="baseline"/>
              <w:rPr>
                <w:rFonts w:ascii="Candara" w:hAnsi="Candara"/>
                <w:noProof/>
                <w:sz w:val="12"/>
                <w:lang w:eastAsia="lv-LV"/>
              </w:rPr>
            </w:pPr>
            <w:r w:rsidRPr="00924993">
              <w:rPr>
                <w:rFonts w:ascii="Candara" w:eastAsia="Verdana" w:hAnsi="Candara" w:cs="Verdana"/>
                <w:b/>
                <w:color w:val="000000" w:themeColor="text1"/>
                <w:kern w:val="24"/>
                <w:sz w:val="12"/>
                <w:szCs w:val="16"/>
              </w:rPr>
              <w:t>Augstā rentabilitāte – kā šķērslis biznesa modeļa maiņai</w:t>
            </w:r>
            <w:r>
              <w:rPr>
                <w:rFonts w:ascii="Candara" w:eastAsia="Verdana" w:hAnsi="Candara" w:cs="Verdana"/>
                <w:b/>
                <w:color w:val="000000" w:themeColor="text1"/>
                <w:kern w:val="24"/>
                <w:sz w:val="12"/>
                <w:szCs w:val="16"/>
              </w:rPr>
              <w:t xml:space="preserve">. </w:t>
            </w:r>
            <w:r w:rsidRPr="001A6C18">
              <w:rPr>
                <w:rFonts w:ascii="Candara" w:hAnsi="Candara"/>
                <w:noProof/>
                <w:sz w:val="12"/>
                <w:lang w:eastAsia="lv-LV"/>
              </w:rPr>
              <w:t>Pārtikas rūpniecības piemērs</w:t>
            </w:r>
          </w:p>
          <w:p w:rsidR="007D09BA" w:rsidP="00BB2095" w14:paraId="53892B69" w14:textId="77777777">
            <w:pPr>
              <w:ind w:left="318" w:hanging="318"/>
              <w:rPr>
                <w:rFonts w:ascii="Candara" w:hAnsi="Candara"/>
                <w:noProof/>
                <w:sz w:val="12"/>
                <w:lang w:eastAsia="lv-LV"/>
              </w:rPr>
            </w:pPr>
            <w:r w:rsidRPr="001A6C18">
              <w:rPr>
                <w:rFonts w:ascii="Candara" w:hAnsi="Candara"/>
                <w:noProof/>
                <w:sz w:val="12"/>
                <w:lang w:eastAsia="lv-LV"/>
              </w:rPr>
              <w:drawing>
                <wp:inline distT="0" distB="0" distL="0" distR="0">
                  <wp:extent cx="2969260" cy="993683"/>
                  <wp:effectExtent l="0" t="0" r="2540" b="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09BA" w:rsidRPr="001A6C18" w:rsidP="00BB2095" w14:paraId="5053368E" w14:textId="77777777">
            <w:pPr>
              <w:ind w:left="318" w:hanging="318"/>
              <w:rPr>
                <w:rFonts w:ascii="Candara" w:hAnsi="Candara"/>
                <w:noProof/>
                <w:sz w:val="12"/>
                <w:lang w:eastAsia="lv-LV"/>
              </w:rPr>
            </w:pPr>
            <w:r w:rsidRPr="001A6C18">
              <w:rPr>
                <w:rFonts w:ascii="Candara" w:hAnsi="Candara"/>
                <w:noProof/>
                <w:sz w:val="6"/>
                <w:lang w:eastAsia="lv-LV"/>
              </w:rPr>
              <mc:AlternateContent>
                <mc:Choice Requires="wps">
                  <w:drawing>
                    <wp:inline distT="0" distB="0" distL="0" distR="0">
                      <wp:extent cx="2913163" cy="461665"/>
                      <wp:effectExtent l="0" t="0" r="1905" b="8255"/>
                      <wp:docPr id="314"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13163" cy="461665"/>
                              </a:xfrm>
                              <a:prstGeom prst="rect">
                                <a:avLst/>
                              </a:prstGeom>
                              <a:solidFill>
                                <a:schemeClr val="accent1">
                                  <a:lumMod val="75000"/>
                                </a:schemeClr>
                              </a:solidFill>
                            </wps:spPr>
                            <wps:txbx>
                              <w:txbxContent>
                                <w:p w:rsidR="00B55C40" w:rsidRPr="00BD13CC" w:rsidP="007D09BA"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sidRPr="0088582E">
                                    <w:rPr>
                                      <w:rFonts w:ascii="Candara" w:eastAsia="Verdana" w:hAnsi="Candara" w:cs="Verdana"/>
                                      <w:b/>
                                      <w:bCs/>
                                      <w:color w:val="FFFFFF" w:themeColor="background1"/>
                                      <w:kern w:val="24"/>
                                      <w:sz w:val="14"/>
                                      <w:shd w:val="clear" w:color="auto" w:fill="6D1D6A" w:themeFill="accent1" w:themeFillShade="BF"/>
                                    </w:rPr>
                                    <w:t>Transformācijas procesa veicējs ir uzņēmējs – viņš pieņem lēmumu modernizēt ražošanu vai pārvietot resursus uz citu nozari/reģionu/</w:t>
                                  </w:r>
                                  <w:r>
                                    <w:rPr>
                                      <w:rFonts w:ascii="Candara" w:eastAsia="Verdana" w:hAnsi="Candara" w:cs="Verdana"/>
                                      <w:b/>
                                      <w:bCs/>
                                      <w:color w:val="FFFFFF" w:themeColor="background1"/>
                                      <w:kern w:val="24"/>
                                      <w:sz w:val="14"/>
                                      <w:shd w:val="clear" w:color="auto" w:fill="6D1D6A" w:themeFill="accent1" w:themeFillShade="BF"/>
                                    </w:rPr>
                                    <w:t xml:space="preserve"> </w:t>
                                  </w:r>
                                  <w:r w:rsidRPr="0088582E">
                                    <w:rPr>
                                      <w:rFonts w:ascii="Candara" w:eastAsia="Verdana" w:hAnsi="Candara" w:cs="Verdana"/>
                                      <w:b/>
                                      <w:bCs/>
                                      <w:color w:val="FFFFFF" w:themeColor="background1"/>
                                      <w:kern w:val="24"/>
                                      <w:sz w:val="14"/>
                                      <w:shd w:val="clear" w:color="auto" w:fill="6D1D6A" w:themeFill="accent1" w:themeFillShade="BF"/>
                                    </w:rPr>
                                    <w:t xml:space="preserve">valsti. </w:t>
                                  </w:r>
                                  <w:r>
                                    <w:rPr>
                                      <w:rFonts w:ascii="Candara" w:eastAsia="Verdana" w:hAnsi="Candara" w:cs="Verdana"/>
                                      <w:b/>
                                      <w:bCs/>
                                      <w:color w:val="FFFFFF" w:themeColor="background1"/>
                                      <w:kern w:val="24"/>
                                      <w:sz w:val="14"/>
                                      <w:shd w:val="clear" w:color="auto" w:fill="6D1D6A" w:themeFill="accent1" w:themeFillShade="BF"/>
                                    </w:rPr>
                                    <w:t>U</w:t>
                                  </w:r>
                                  <w:r w:rsidRPr="0088582E">
                                    <w:rPr>
                                      <w:rFonts w:ascii="Candara" w:eastAsia="Verdana" w:hAnsi="Candara" w:cs="Verdana"/>
                                      <w:b/>
                                      <w:bCs/>
                                      <w:color w:val="FFFFFF" w:themeColor="background1"/>
                                      <w:kern w:val="24"/>
                                      <w:sz w:val="14"/>
                                      <w:shd w:val="clear" w:color="auto" w:fill="6D1D6A" w:themeFill="accent1" w:themeFillShade="BF"/>
                                    </w:rPr>
                                    <w:t>zņēmēju motivācijas veicināšana ir galvenais politikas mērķis.</w:t>
                                  </w:r>
                                </w:p>
                              </w:txbxContent>
                            </wps:txbx>
                            <wps:bodyPr wrap="square" rtlCol="0">
                              <a:spAutoFit/>
                            </wps:bodyPr>
                          </wps:wsp>
                        </a:graphicData>
                      </a:graphic>
                    </wp:inline>
                  </w:drawing>
                </mc:Choice>
                <mc:Fallback>
                  <w:pict>
                    <v:shape id="_x0000_i1131" type="#_x0000_t202" style="width:229.4pt;height:36.35pt;mso-left-percent:-10001;mso-position-horizontal-relative:char;mso-position-vertical-relative:line;mso-top-percent:-10001;mso-wrap-style:square;visibility:visible;v-text-anchor:top" fillcolor="#6d1d6a" stroked="f">
                      <v:textbox style="mso-fit-shape-to-text:t">
                        <w:txbxContent>
                          <w:p w:rsidR="00B55C40" w:rsidRPr="00BD13CC" w:rsidP="007D09BA" w14:paraId="6AACFD9E"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sidRPr="0088582E">
                              <w:rPr>
                                <w:rFonts w:ascii="Candara" w:eastAsia="Verdana" w:hAnsi="Candara" w:cs="Verdana"/>
                                <w:b/>
                                <w:bCs/>
                                <w:color w:val="FFFFFF" w:themeColor="background1"/>
                                <w:kern w:val="24"/>
                                <w:sz w:val="14"/>
                                <w:shd w:val="clear" w:color="auto" w:fill="6D1D6A" w:themeFill="accent1" w:themeFillShade="BF"/>
                              </w:rPr>
                              <w:t>Transformācijas procesa veicējs ir uzņēmējs – viņš pieņem lēmumu modernizēt ražošanu vai pārvietot resursus uz citu nozari/reģionu/</w:t>
                            </w:r>
                            <w:r>
                              <w:rPr>
                                <w:rFonts w:ascii="Candara" w:eastAsia="Verdana" w:hAnsi="Candara" w:cs="Verdana"/>
                                <w:b/>
                                <w:bCs/>
                                <w:color w:val="FFFFFF" w:themeColor="background1"/>
                                <w:kern w:val="24"/>
                                <w:sz w:val="14"/>
                                <w:shd w:val="clear" w:color="auto" w:fill="6D1D6A" w:themeFill="accent1" w:themeFillShade="BF"/>
                              </w:rPr>
                              <w:t xml:space="preserve"> </w:t>
                            </w:r>
                            <w:r w:rsidRPr="0088582E">
                              <w:rPr>
                                <w:rFonts w:ascii="Candara" w:eastAsia="Verdana" w:hAnsi="Candara" w:cs="Verdana"/>
                                <w:b/>
                                <w:bCs/>
                                <w:color w:val="FFFFFF" w:themeColor="background1"/>
                                <w:kern w:val="24"/>
                                <w:sz w:val="14"/>
                                <w:shd w:val="clear" w:color="auto" w:fill="6D1D6A" w:themeFill="accent1" w:themeFillShade="BF"/>
                              </w:rPr>
                              <w:t xml:space="preserve">valsti. </w:t>
                            </w:r>
                            <w:r>
                              <w:rPr>
                                <w:rFonts w:ascii="Candara" w:eastAsia="Verdana" w:hAnsi="Candara" w:cs="Verdana"/>
                                <w:b/>
                                <w:bCs/>
                                <w:color w:val="FFFFFF" w:themeColor="background1"/>
                                <w:kern w:val="24"/>
                                <w:sz w:val="14"/>
                                <w:shd w:val="clear" w:color="auto" w:fill="6D1D6A" w:themeFill="accent1" w:themeFillShade="BF"/>
                              </w:rPr>
                              <w:t>U</w:t>
                            </w:r>
                            <w:r w:rsidRPr="0088582E">
                              <w:rPr>
                                <w:rFonts w:ascii="Candara" w:eastAsia="Verdana" w:hAnsi="Candara" w:cs="Verdana"/>
                                <w:b/>
                                <w:bCs/>
                                <w:color w:val="FFFFFF" w:themeColor="background1"/>
                                <w:kern w:val="24"/>
                                <w:sz w:val="14"/>
                                <w:shd w:val="clear" w:color="auto" w:fill="6D1D6A" w:themeFill="accent1" w:themeFillShade="BF"/>
                              </w:rPr>
                              <w:t>zņēmēju motivācijas veicināšana ir galvenais politikas mērķis.</w:t>
                            </w:r>
                          </w:p>
                        </w:txbxContent>
                      </v:textbox>
                      <w10:wrap type="none"/>
                      <w10:anchorlock/>
                    </v:shape>
                  </w:pict>
                </mc:Fallback>
              </mc:AlternateContent>
            </w:r>
          </w:p>
        </w:tc>
        <w:tc>
          <w:tcPr>
            <w:tcW w:w="2361" w:type="pct"/>
          </w:tcPr>
          <w:p w:rsidR="007D09BA" w:rsidRPr="0088582E" w:rsidP="00BB2095" w14:paraId="2360D681"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16"/>
                <w:szCs w:val="52"/>
                <w14:props3d w14:prstMaterial="matte"/>
              </w:rPr>
            </w:pPr>
            <w:r w:rsidRPr="0088582E">
              <w:rPr>
                <w:rFonts w:ascii="Candara" w:eastAsia="Verdana" w:hAnsi="Candara" w:cs="Verdana"/>
                <w:b/>
                <w:bCs/>
                <w:caps/>
                <w:color w:val="C00000"/>
                <w:kern w:val="24"/>
                <w:sz w:val="16"/>
                <w:szCs w:val="52"/>
                <w14:props3d w14:prstMaterial="matte"/>
              </w:rPr>
              <w:t>dARBASPĒKA IZMAKSAS AUG STRAUJĀK NEKĀ PRODUKTIVITĀTE</w:t>
            </w:r>
          </w:p>
          <w:p w:rsidR="007D09BA" w:rsidRPr="0088582E" w:rsidP="00BB2095" w14:paraId="5511E270"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6"/>
                <w:szCs w:val="14"/>
              </w:rPr>
            </w:pPr>
          </w:p>
          <w:p w:rsidR="007D09BA" w:rsidRPr="00924993" w:rsidP="00BB2095" w14:paraId="2A28B8C8"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14"/>
                <w:szCs w:val="14"/>
              </w:rPr>
            </w:pPr>
            <w:r>
              <w:rPr>
                <w:rFonts w:ascii="Candara" w:hAnsi="Candara" w:cs="Arial"/>
                <w:b/>
                <w:bCs/>
                <w:color w:val="000000" w:themeColor="text1"/>
                <w:kern w:val="24"/>
                <w:sz w:val="14"/>
                <w:szCs w:val="14"/>
              </w:rPr>
              <w:t>APSTRĀDES RŪPNIECĪBA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4"/>
              <w:gridCol w:w="2418"/>
            </w:tblGrid>
            <w:tr w14:paraId="0E9FB82D" w14:textId="77777777" w:rsidTr="00BB209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308" w:type="dxa"/>
                </w:tcPr>
                <w:p w:rsidR="007D09BA" w:rsidRPr="00924993" w:rsidP="00BB2095" w14:paraId="77459F2E"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10"/>
                      <w:szCs w:val="10"/>
                    </w:rPr>
                  </w:pPr>
                  <w:r w:rsidRPr="00924993">
                    <w:rPr>
                      <w:rFonts w:ascii="Candara" w:hAnsi="Candara" w:cs="Arial"/>
                      <w:b/>
                      <w:bCs/>
                      <w:color w:val="000000" w:themeColor="text1"/>
                      <w:kern w:val="24"/>
                      <w:sz w:val="10"/>
                      <w:szCs w:val="10"/>
                    </w:rPr>
                    <w:t>Produktivitātes un darbaspēka</w:t>
                  </w:r>
                  <w:r w:rsidRPr="00924993">
                    <w:rPr>
                      <w:rFonts w:ascii="Candara" w:hAnsi="Candara" w:cs="Arial"/>
                      <w:b/>
                      <w:color w:val="000000" w:themeColor="text1"/>
                      <w:kern w:val="24"/>
                      <w:sz w:val="10"/>
                      <w:szCs w:val="10"/>
                    </w:rPr>
                    <w:t xml:space="preserve"> izmaksu dinamika 2005.-201</w:t>
                  </w:r>
                  <w:r>
                    <w:rPr>
                      <w:rFonts w:ascii="Candara" w:hAnsi="Candara" w:cs="Arial"/>
                      <w:b/>
                      <w:color w:val="000000" w:themeColor="text1"/>
                      <w:kern w:val="24"/>
                      <w:sz w:val="10"/>
                      <w:szCs w:val="10"/>
                    </w:rPr>
                    <w:t>5</w:t>
                  </w:r>
                  <w:r w:rsidRPr="00924993">
                    <w:rPr>
                      <w:rFonts w:ascii="Candara" w:hAnsi="Candara" w:cs="Arial"/>
                      <w:b/>
                      <w:color w:val="000000" w:themeColor="text1"/>
                      <w:kern w:val="24"/>
                      <w:sz w:val="10"/>
                      <w:szCs w:val="10"/>
                    </w:rPr>
                    <w:t>.g.</w:t>
                  </w:r>
                </w:p>
              </w:tc>
              <w:tc>
                <w:tcPr>
                  <w:tcW w:w="2309" w:type="dxa"/>
                </w:tcPr>
                <w:p w:rsidR="007D09BA" w:rsidRPr="00924993" w:rsidP="00BB2095" w14:paraId="44F88F56"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10"/>
                      <w:szCs w:val="10"/>
                    </w:rPr>
                  </w:pPr>
                  <w:r w:rsidRPr="00924993">
                    <w:rPr>
                      <w:rFonts w:ascii="Candara" w:hAnsi="Candara" w:cs="Arial"/>
                      <w:b/>
                      <w:bCs/>
                      <w:color w:val="000000" w:themeColor="text1"/>
                      <w:kern w:val="24"/>
                      <w:sz w:val="10"/>
                      <w:szCs w:val="10"/>
                    </w:rPr>
                    <w:t xml:space="preserve">Produktivitāte s un darbaspēka </w:t>
                  </w:r>
                  <w:r>
                    <w:rPr>
                      <w:rFonts w:ascii="Candara" w:hAnsi="Candara" w:cs="Arial"/>
                      <w:b/>
                      <w:color w:val="000000" w:themeColor="text1"/>
                      <w:kern w:val="24"/>
                      <w:sz w:val="10"/>
                      <w:szCs w:val="10"/>
                    </w:rPr>
                    <w:t>izmaksas ES-28 valstīs 2015</w:t>
                  </w:r>
                  <w:r w:rsidRPr="00924993">
                    <w:rPr>
                      <w:rFonts w:ascii="Candara" w:hAnsi="Candara" w:cs="Arial"/>
                      <w:b/>
                      <w:color w:val="000000" w:themeColor="text1"/>
                      <w:kern w:val="24"/>
                      <w:sz w:val="10"/>
                      <w:szCs w:val="10"/>
                    </w:rPr>
                    <w:t>.g.</w:t>
                  </w:r>
                </w:p>
              </w:tc>
            </w:tr>
            <w:tr w14:paraId="625CE9E8" w14:textId="77777777" w:rsidTr="00BB2095">
              <w:tblPrEx>
                <w:tblW w:w="0" w:type="auto"/>
                <w:tblLook w:val="04A0"/>
              </w:tblPrEx>
              <w:tc>
                <w:tcPr>
                  <w:tcW w:w="2308" w:type="dxa"/>
                </w:tcPr>
                <w:p w:rsidR="007D09BA" w:rsidP="00BB2095" w14:paraId="20695956" w14:textId="77777777">
                  <w:pPr>
                    <w:pStyle w:val="NormalWeb"/>
                    <w:tabs>
                      <w:tab w:val="center" w:pos="1991"/>
                      <w:tab w:val="center" w:pos="5416"/>
                    </w:tabs>
                    <w:kinsoku w:val="0"/>
                    <w:overflowPunct w:val="0"/>
                    <w:spacing w:before="0" w:beforeAutospacing="0" w:after="0" w:afterAutospacing="0"/>
                    <w:ind w:left="-102"/>
                    <w:jc w:val="center"/>
                    <w:textAlignment w:val="baseline"/>
                    <w:rPr>
                      <w:rFonts w:ascii="Candara" w:hAnsi="Candara" w:cs="Arial"/>
                      <w:b/>
                      <w:bCs/>
                      <w:color w:val="000000" w:themeColor="text1"/>
                      <w:kern w:val="24"/>
                      <w:sz w:val="6"/>
                    </w:rPr>
                  </w:pPr>
                  <w:r w:rsidRPr="00B612F1">
                    <w:rPr>
                      <w:rFonts w:ascii="Candara" w:hAnsi="Candara"/>
                      <w:noProof/>
                      <w:sz w:val="18"/>
                      <w:szCs w:val="18"/>
                    </w:rPr>
                    <w:drawing>
                      <wp:inline distT="0" distB="0" distL="0" distR="0">
                        <wp:extent cx="1441450" cy="1710000"/>
                        <wp:effectExtent l="0" t="0" r="6350" b="508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309" w:type="dxa"/>
                </w:tcPr>
                <w:p w:rsidR="007D09BA" w:rsidP="00BB2095" w14:paraId="0494FA8F" w14:textId="77777777">
                  <w:pPr>
                    <w:pStyle w:val="NormalWeb"/>
                    <w:tabs>
                      <w:tab w:val="center" w:pos="1991"/>
                      <w:tab w:val="center" w:pos="5416"/>
                    </w:tabs>
                    <w:kinsoku w:val="0"/>
                    <w:overflowPunct w:val="0"/>
                    <w:spacing w:before="0" w:beforeAutospacing="0" w:after="0" w:afterAutospacing="0"/>
                    <w:ind w:left="-144"/>
                    <w:jc w:val="center"/>
                    <w:textAlignment w:val="baseline"/>
                    <w:rPr>
                      <w:rFonts w:ascii="Candara" w:hAnsi="Candara" w:cs="Arial"/>
                      <w:b/>
                      <w:bCs/>
                      <w:color w:val="000000" w:themeColor="text1"/>
                      <w:kern w:val="24"/>
                      <w:sz w:val="6"/>
                    </w:rPr>
                  </w:pPr>
                  <w:r w:rsidRPr="00B612F1">
                    <w:rPr>
                      <w:rFonts w:ascii="Candara" w:hAnsi="Candara"/>
                      <w:noProof/>
                      <w:sz w:val="18"/>
                      <w:szCs w:val="18"/>
                    </w:rPr>
                    <w:drawing>
                      <wp:inline distT="0" distB="0" distL="0" distR="0">
                        <wp:extent cx="1489710" cy="1710000"/>
                        <wp:effectExtent l="0" t="0" r="0" b="5080"/>
                        <wp:docPr id="357" name="Chart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7D09BA" w:rsidP="00BB2095" w14:paraId="21865EB2"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6"/>
              </w:rPr>
            </w:pPr>
          </w:p>
          <w:p w:rsidR="007D09BA" w:rsidRPr="0088582E" w:rsidP="00BB2095" w14:paraId="3AEB9E58"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4"/>
              </w:rPr>
            </w:pPr>
          </w:p>
          <w:p w:rsidR="007D09BA" w:rsidRPr="0088582E" w:rsidP="00BB2095" w14:paraId="7C265AF9" w14:textId="77777777">
            <w:pPr>
              <w:pStyle w:val="NormalWeb"/>
              <w:tabs>
                <w:tab w:val="center" w:pos="1991"/>
                <w:tab w:val="center" w:pos="5416"/>
              </w:tabs>
              <w:kinsoku w:val="0"/>
              <w:overflowPunct w:val="0"/>
              <w:spacing w:before="0" w:beforeAutospacing="0" w:after="0" w:afterAutospacing="0"/>
              <w:jc w:val="center"/>
              <w:textAlignment w:val="baseline"/>
              <w:rPr>
                <w:rFonts w:ascii="Candara" w:hAnsi="Candara" w:cs="Arial"/>
                <w:b/>
                <w:bCs/>
                <w:color w:val="000000" w:themeColor="text1"/>
                <w:kern w:val="24"/>
                <w:sz w:val="6"/>
              </w:rPr>
            </w:pPr>
            <w:r w:rsidRPr="001A6C18">
              <w:rPr>
                <w:rFonts w:ascii="Candara" w:hAnsi="Candara"/>
                <w:noProof/>
                <w:sz w:val="6"/>
              </w:rPr>
              <mc:AlternateContent>
                <mc:Choice Requires="wps">
                  <w:drawing>
                    <wp:inline distT="0" distB="0" distL="0" distR="0">
                      <wp:extent cx="2913163" cy="461665"/>
                      <wp:effectExtent l="0" t="0" r="1905" b="8255"/>
                      <wp:docPr id="315"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13163" cy="461665"/>
                              </a:xfrm>
                              <a:prstGeom prst="rect">
                                <a:avLst/>
                              </a:prstGeom>
                              <a:solidFill>
                                <a:schemeClr val="accent1">
                                  <a:lumMod val="75000"/>
                                </a:schemeClr>
                              </a:solidFill>
                            </wps:spPr>
                            <wps:txbx>
                              <w:txbxContent>
                                <w:p w:rsidR="00B55C40" w:rsidRPr="00BD13CC" w:rsidP="007D09BA"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Pr>
                                      <w:rFonts w:ascii="Candara" w:eastAsia="Verdana" w:hAnsi="Candara" w:cs="Verdana"/>
                                      <w:b/>
                                      <w:bCs/>
                                      <w:color w:val="FFFFFF" w:themeColor="background1"/>
                                      <w:kern w:val="24"/>
                                      <w:sz w:val="14"/>
                                      <w:shd w:val="clear" w:color="auto" w:fill="6D1D6A" w:themeFill="accent1" w:themeFillShade="BF"/>
                                    </w:rPr>
                                    <w:t>Nepieciešamas  mazināt produktivitātes plaisu ar augsti attīstītām valstīm, lai novērstu iedzīvotāju ienākumu stagnāciju un izvairītos no vidējo ienākumu slazda.</w:t>
                                  </w:r>
                                </w:p>
                              </w:txbxContent>
                            </wps:txbx>
                            <wps:bodyPr wrap="square" rtlCol="0">
                              <a:spAutoFit/>
                            </wps:bodyPr>
                          </wps:wsp>
                        </a:graphicData>
                      </a:graphic>
                    </wp:inline>
                  </w:drawing>
                </mc:Choice>
                <mc:Fallback>
                  <w:pict>
                    <v:shape id="_x0000_i1132" type="#_x0000_t202" style="width:229.4pt;height:36.35pt;mso-left-percent:-10001;mso-position-horizontal-relative:char;mso-position-vertical-relative:line;mso-top-percent:-10001;mso-wrap-style:square;visibility:visible;v-text-anchor:top" fillcolor="#6d1d6a" stroked="f">
                      <v:textbox style="mso-fit-shape-to-text:t">
                        <w:txbxContent>
                          <w:p w:rsidR="00B55C40" w:rsidRPr="00BD13CC" w:rsidP="007D09BA" w14:paraId="217BE941" w14:textId="77777777">
                            <w:pPr>
                              <w:pStyle w:val="NormalWeb"/>
                              <w:kinsoku w:val="0"/>
                              <w:overflowPunct w:val="0"/>
                              <w:spacing w:before="0" w:beforeAutospacing="0" w:after="0" w:afterAutospacing="0"/>
                              <w:textAlignment w:val="baseline"/>
                              <w:rPr>
                                <w:rFonts w:ascii="Candara" w:hAnsi="Candara"/>
                                <w:color w:val="FFFFFF" w:themeColor="background1"/>
                                <w:sz w:val="14"/>
                                <w:shd w:val="clear" w:color="auto" w:fill="6D1D6A" w:themeFill="accent1" w:themeFillShade="BF"/>
                              </w:rPr>
                            </w:pPr>
                            <w:r>
                              <w:rPr>
                                <w:rFonts w:ascii="Candara" w:eastAsia="Verdana" w:hAnsi="Candara" w:cs="Verdana"/>
                                <w:b/>
                                <w:bCs/>
                                <w:color w:val="FFFFFF" w:themeColor="background1"/>
                                <w:kern w:val="24"/>
                                <w:sz w:val="14"/>
                                <w:shd w:val="clear" w:color="auto" w:fill="6D1D6A" w:themeFill="accent1" w:themeFillShade="BF"/>
                              </w:rPr>
                              <w:t>Nepieciešamas  mazināt produktivitātes plaisu ar augsti attīstītām valstīm, lai novērstu iedzīvotāju ienākumu stagnāciju un izvairītos no vidējo ienākumu slazda.</w:t>
                            </w:r>
                          </w:p>
                        </w:txbxContent>
                      </v:textbox>
                      <w10:wrap type="none"/>
                      <w10:anchorlock/>
                    </v:shape>
                  </w:pict>
                </mc:Fallback>
              </mc:AlternateContent>
            </w:r>
            <w:r w:rsidRPr="001A6C18">
              <w:rPr>
                <w:rFonts w:ascii="Candara" w:hAnsi="Candara"/>
                <w:noProof/>
                <w:sz w:val="12"/>
              </w:rPr>
              <w:t xml:space="preserve"> </w:t>
            </w:r>
          </w:p>
        </w:tc>
      </w:tr>
      <w:tr w14:paraId="26DB2617" w14:textId="77777777" w:rsidTr="000B395A">
        <w:tblPrEx>
          <w:tblW w:w="5313" w:type="pct"/>
          <w:tblInd w:w="-567" w:type="dxa"/>
          <w:tblLook w:val="04A0"/>
        </w:tblPrEx>
        <w:trPr>
          <w:trHeight w:val="3392"/>
        </w:trPr>
        <w:tc>
          <w:tcPr>
            <w:tcW w:w="2639" w:type="pct"/>
          </w:tcPr>
          <w:p w:rsidR="007D09BA" w:rsidP="00BB2095" w14:paraId="66882BCB"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16"/>
                <w:szCs w:val="52"/>
                <w14:props3d w14:prstMaterial="matte"/>
              </w:rPr>
            </w:pPr>
            <w:r>
              <w:rPr>
                <w:rFonts w:ascii="Candara" w:eastAsia="Verdana" w:hAnsi="Candara" w:cs="Verdana"/>
                <w:b/>
                <w:bCs/>
                <w:caps/>
                <w:color w:val="C00000"/>
                <w:kern w:val="24"/>
                <w:sz w:val="16"/>
                <w:szCs w:val="52"/>
                <w14:props3d w14:prstMaterial="matte"/>
              </w:rPr>
              <w:t>pastāv DARBA TIRGUS DISPROPORCIJAS</w:t>
            </w:r>
          </w:p>
          <w:p w:rsidR="007D09BA" w:rsidRPr="008451B3" w:rsidP="00BB2095" w14:paraId="11050A47"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8"/>
                <w:szCs w:val="52"/>
                <w14:props3d w14:prstMaterial="matte"/>
              </w:rPr>
            </w:pPr>
          </w:p>
          <w:p w:rsidR="007D09BA" w:rsidP="00BB2095" w14:paraId="0967FF1E"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16"/>
                <w:szCs w:val="52"/>
              </w:rPr>
            </w:pPr>
            <w:r w:rsidRPr="004B476F">
              <w:rPr>
                <w:rFonts w:ascii="Candara" w:hAnsi="Candara"/>
                <w:noProof/>
              </w:rPr>
              <w:drawing>
                <wp:inline distT="0" distB="0" distL="0" distR="0">
                  <wp:extent cx="3103082" cy="1890000"/>
                  <wp:effectExtent l="0" t="0" r="2540" b="0"/>
                  <wp:docPr id="358" name="Picture 358" descr="C:\D\SalminsJ\DARBS\2016\2016.07.08 DTAPP 3 ministri\Darba tirgus disproporcij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59314" name="Picture 2" descr="C:\D\SalminsJ\DARBS\2016\2016.07.08 DTAPP 3 ministri\Darba tirgus disproporcijas.png"/>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3082" cy="1890000"/>
                          </a:xfrm>
                          <a:prstGeom prst="rect">
                            <a:avLst/>
                          </a:prstGeom>
                          <a:noFill/>
                          <a:ln>
                            <a:noFill/>
                          </a:ln>
                        </pic:spPr>
                      </pic:pic>
                    </a:graphicData>
                  </a:graphic>
                </wp:inline>
              </w:drawing>
            </w:r>
          </w:p>
          <w:p w:rsidR="007D09BA" w:rsidRPr="008451B3" w:rsidP="00BB2095" w14:paraId="75B2D3A6"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8"/>
                <w:szCs w:val="4"/>
              </w:rPr>
            </w:pPr>
          </w:p>
          <w:p w:rsidR="007D09BA" w:rsidP="00BB2095" w14:paraId="686E7885"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16"/>
                <w:szCs w:val="52"/>
              </w:rPr>
            </w:pPr>
            <w:r w:rsidRPr="001A6C18">
              <w:rPr>
                <w:rFonts w:ascii="Candara" w:hAnsi="Candara"/>
                <w:noProof/>
                <w:sz w:val="6"/>
              </w:rPr>
              <mc:AlternateContent>
                <mc:Choice Requires="wps">
                  <w:drawing>
                    <wp:inline distT="0" distB="0" distL="0" distR="0">
                      <wp:extent cx="2938145" cy="324000"/>
                      <wp:effectExtent l="0" t="0" r="0" b="0"/>
                      <wp:docPr id="316"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38145" cy="324000"/>
                              </a:xfrm>
                              <a:prstGeom prst="rect">
                                <a:avLst/>
                              </a:prstGeom>
                              <a:solidFill>
                                <a:schemeClr val="accent1">
                                  <a:lumMod val="75000"/>
                                </a:schemeClr>
                              </a:solidFill>
                            </wps:spPr>
                            <wps:txbx>
                              <w:txbxContent>
                                <w:p w:rsidR="00B55C40" w:rsidRPr="00B6537C" w:rsidP="007D09BA" w14:textId="7777777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6D1D6A" w:themeFill="accent1" w:themeFillShade="BF"/>
                                    </w:rPr>
                                  </w:pPr>
                                  <w:r w:rsidRPr="00B6537C">
                                    <w:rPr>
                                      <w:rFonts w:ascii="Candara" w:eastAsia="Verdana" w:hAnsi="Candara" w:cs="Verdana"/>
                                      <w:b/>
                                      <w:bCs/>
                                      <w:color w:val="FFFFFF" w:themeColor="background1"/>
                                      <w:kern w:val="24"/>
                                      <w:sz w:val="14"/>
                                      <w:shd w:val="clear" w:color="auto" w:fill="6D1D6A" w:themeFill="accent1" w:themeFillShade="BF"/>
                                    </w:rPr>
                                    <w:t xml:space="preserve">Nepieciešams strukturālās reformas, kas </w:t>
                                  </w:r>
                                  <w:r>
                                    <w:rPr>
                                      <w:rFonts w:ascii="Candara" w:eastAsia="Verdana" w:hAnsi="Candara" w:cs="Verdana"/>
                                      <w:b/>
                                      <w:bCs/>
                                      <w:color w:val="FFFFFF" w:themeColor="background1"/>
                                      <w:kern w:val="24"/>
                                      <w:sz w:val="14"/>
                                      <w:shd w:val="clear" w:color="auto" w:fill="6D1D6A" w:themeFill="accent1" w:themeFillShade="BF"/>
                                    </w:rPr>
                                    <w:t>mazinātu darbaspēka pieprasījuma un piedāvājuma neatbilstības</w:t>
                                  </w:r>
                                </w:p>
                              </w:txbxContent>
                            </wps:txbx>
                            <wps:bodyPr wrap="square" rtlCol="0">
                              <a:spAutoFit/>
                            </wps:bodyPr>
                          </wps:wsp>
                        </a:graphicData>
                      </a:graphic>
                    </wp:inline>
                  </w:drawing>
                </mc:Choice>
                <mc:Fallback>
                  <w:pict>
                    <v:shape id="_x0000_i1133" type="#_x0000_t202" style="width:231.35pt;height:25.5pt;mso-left-percent:-10001;mso-position-horizontal-relative:char;mso-position-vertical-relative:line;mso-top-percent:-10001;mso-wrap-style:square;visibility:visible;v-text-anchor:top" fillcolor="#6d1d6a" stroked="f">
                      <v:textbox style="mso-fit-shape-to-text:t">
                        <w:txbxContent>
                          <w:p w:rsidR="00B55C40" w:rsidRPr="00B6537C" w:rsidP="007D09BA" w14:paraId="64B9519A" w14:textId="7777777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6D1D6A" w:themeFill="accent1" w:themeFillShade="BF"/>
                              </w:rPr>
                            </w:pPr>
                            <w:r w:rsidRPr="00B6537C">
                              <w:rPr>
                                <w:rFonts w:ascii="Candara" w:eastAsia="Verdana" w:hAnsi="Candara" w:cs="Verdana"/>
                                <w:b/>
                                <w:bCs/>
                                <w:color w:val="FFFFFF" w:themeColor="background1"/>
                                <w:kern w:val="24"/>
                                <w:sz w:val="14"/>
                                <w:shd w:val="clear" w:color="auto" w:fill="6D1D6A" w:themeFill="accent1" w:themeFillShade="BF"/>
                              </w:rPr>
                              <w:t xml:space="preserve">Nepieciešams strukturālās reformas, kas </w:t>
                            </w:r>
                            <w:r>
                              <w:rPr>
                                <w:rFonts w:ascii="Candara" w:eastAsia="Verdana" w:hAnsi="Candara" w:cs="Verdana"/>
                                <w:b/>
                                <w:bCs/>
                                <w:color w:val="FFFFFF" w:themeColor="background1"/>
                                <w:kern w:val="24"/>
                                <w:sz w:val="14"/>
                                <w:shd w:val="clear" w:color="auto" w:fill="6D1D6A" w:themeFill="accent1" w:themeFillShade="BF"/>
                              </w:rPr>
                              <w:t>mazinātu darbaspēka pieprasījuma un piedāvājuma neatbilstības</w:t>
                            </w:r>
                          </w:p>
                        </w:txbxContent>
                      </v:textbox>
                      <w10:wrap type="none"/>
                      <w10:anchorlock/>
                    </v:shape>
                  </w:pict>
                </mc:Fallback>
              </mc:AlternateContent>
            </w:r>
          </w:p>
          <w:p w:rsidR="007D09BA" w:rsidRPr="004B476F" w:rsidP="00BB2095" w14:paraId="711271D6"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4"/>
                <w:szCs w:val="4"/>
              </w:rPr>
            </w:pPr>
          </w:p>
        </w:tc>
        <w:tc>
          <w:tcPr>
            <w:tcW w:w="2361" w:type="pct"/>
          </w:tcPr>
          <w:p w:rsidR="007D09BA" w:rsidP="00BB2095" w14:paraId="6BA611AE" w14:textId="77777777">
            <w:pPr>
              <w:pStyle w:val="NormalWeb"/>
              <w:kinsoku w:val="0"/>
              <w:overflowPunct w:val="0"/>
              <w:spacing w:before="0" w:beforeAutospacing="0" w:after="0" w:afterAutospacing="0"/>
              <w:ind w:left="-115"/>
              <w:jc w:val="center"/>
              <w:textAlignment w:val="baseline"/>
              <w:rPr>
                <w:rFonts w:ascii="Candara" w:eastAsia="Verdana" w:hAnsi="Candara" w:cs="Verdana"/>
                <w:b/>
                <w:bCs/>
                <w:caps/>
                <w:color w:val="6D1D6A" w:themeColor="accent1" w:themeShade="BF"/>
                <w:kern w:val="24"/>
                <w:sz w:val="16"/>
                <w:szCs w:val="52"/>
              </w:rPr>
            </w:pPr>
            <w:r w:rsidRPr="001C31AE">
              <w:rPr>
                <w:rFonts w:ascii="Candara" w:eastAsia="Verdana" w:hAnsi="Candara" w:cs="Verdana"/>
                <w:b/>
                <w:bCs/>
                <w:caps/>
                <w:color w:val="C00000"/>
                <w:kern w:val="24"/>
                <w:sz w:val="16"/>
                <w:szCs w:val="52"/>
                <w14:props3d w14:prstMaterial="matte"/>
              </w:rPr>
              <w:t xml:space="preserve">INSTITUCIONĀLĀS UN UZŅĒMĒJDARBĪBAS VIDES NEPILNĪBAS KAVĒ RESURSU EFEKTĪVU PĀRDALI </w:t>
            </w:r>
            <w:r>
              <w:rPr>
                <w:noProof/>
              </w:rPr>
              <w:drawing>
                <wp:inline distT="0" distB="0" distL="0" distR="0">
                  <wp:extent cx="3060000" cy="1836588"/>
                  <wp:effectExtent l="0" t="0" r="762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45069" name=""/>
                          <pic:cNvPicPr/>
                        </pic:nvPicPr>
                        <pic:blipFill>
                          <a:blip xmlns:r="http://schemas.openxmlformats.org/officeDocument/2006/relationships" r:embed="rId37"/>
                          <a:srcRect l="19823" t="28911" r="20385" b="7155"/>
                          <a:stretch>
                            <a:fillRect/>
                          </a:stretch>
                        </pic:blipFill>
                        <pic:spPr bwMode="auto">
                          <a:xfrm>
                            <a:off x="0" y="0"/>
                            <a:ext cx="3060000" cy="18365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09BA" w:rsidRPr="00840BD1" w:rsidP="00BB2095" w14:paraId="5D0132A0"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6"/>
                <w:szCs w:val="52"/>
                <w14:props3d w14:prstMaterial="matte"/>
              </w:rPr>
            </w:pPr>
          </w:p>
          <w:p w:rsidR="007D09BA" w:rsidRPr="0088582E" w:rsidP="00BB2095" w14:paraId="12000C0E" w14:textId="77777777">
            <w:pPr>
              <w:pStyle w:val="NormalWeb"/>
              <w:kinsoku w:val="0"/>
              <w:overflowPunct w:val="0"/>
              <w:spacing w:before="0" w:beforeAutospacing="0" w:after="0" w:afterAutospacing="0"/>
              <w:ind w:left="-112"/>
              <w:jc w:val="center"/>
              <w:textAlignment w:val="baseline"/>
              <w:rPr>
                <w:rFonts w:ascii="Candara" w:eastAsia="Verdana" w:hAnsi="Candara" w:cs="Verdana"/>
                <w:b/>
                <w:bCs/>
                <w:caps/>
                <w:color w:val="C00000"/>
                <w:kern w:val="24"/>
                <w:sz w:val="16"/>
                <w:szCs w:val="52"/>
                <w14:props3d w14:prstMaterial="matte"/>
              </w:rPr>
            </w:pPr>
            <w:r w:rsidRPr="001A6C18">
              <w:rPr>
                <w:rFonts w:ascii="Candara" w:hAnsi="Candara"/>
                <w:noProof/>
                <w:sz w:val="6"/>
              </w:rPr>
              <mc:AlternateContent>
                <mc:Choice Requires="wps">
                  <w:drawing>
                    <wp:inline distT="0" distB="0" distL="0" distR="0">
                      <wp:extent cx="2938145" cy="324000"/>
                      <wp:effectExtent l="0" t="0" r="0" b="0"/>
                      <wp:docPr id="317" name="Text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38145" cy="324000"/>
                              </a:xfrm>
                              <a:prstGeom prst="rect">
                                <a:avLst/>
                              </a:prstGeom>
                              <a:solidFill>
                                <a:schemeClr val="accent1">
                                  <a:lumMod val="75000"/>
                                </a:schemeClr>
                              </a:solidFill>
                            </wps:spPr>
                            <wps:txbx>
                              <w:txbxContent>
                                <w:p w:rsidR="00B55C40" w:rsidRPr="00B6537C" w:rsidP="007D09BA" w14:textId="7777777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6D1D6A" w:themeFill="accent1" w:themeFillShade="BF"/>
                                    </w:rPr>
                                  </w:pPr>
                                  <w:r w:rsidRPr="00F229D8">
                                    <w:rPr>
                                      <w:rFonts w:ascii="Candara" w:eastAsia="Verdana" w:hAnsi="Candara" w:cs="Verdana"/>
                                      <w:b/>
                                      <w:bCs/>
                                      <w:color w:val="FFFFFF" w:themeColor="background1"/>
                                      <w:kern w:val="24"/>
                                      <w:sz w:val="14"/>
                                      <w:shd w:val="clear" w:color="auto" w:fill="6D1D6A" w:themeFill="accent1" w:themeFillShade="BF"/>
                                    </w:rPr>
                                    <w:t>Nepieciešams pilnveidot institucionālo un uzņēmējdarbības vidi novēršot šķēršļus resursu efektīvākai izmantošanai.</w:t>
                                  </w:r>
                                </w:p>
                              </w:txbxContent>
                            </wps:txbx>
                            <wps:bodyPr wrap="square" rtlCol="0">
                              <a:spAutoFit/>
                            </wps:bodyPr>
                          </wps:wsp>
                        </a:graphicData>
                      </a:graphic>
                    </wp:inline>
                  </w:drawing>
                </mc:Choice>
                <mc:Fallback>
                  <w:pict>
                    <v:shape id="_x0000_i1134" type="#_x0000_t202" style="width:231.35pt;height:25.5pt;mso-left-percent:-10001;mso-position-horizontal-relative:char;mso-position-vertical-relative:line;mso-top-percent:-10001;mso-wrap-style:square;visibility:visible;v-text-anchor:top" fillcolor="#6d1d6a" stroked="f">
                      <v:textbox style="mso-fit-shape-to-text:t">
                        <w:txbxContent>
                          <w:p w:rsidR="00B55C40" w:rsidRPr="00B6537C" w:rsidP="007D09BA" w14:paraId="23B06BCE" w14:textId="77777777">
                            <w:pPr>
                              <w:pStyle w:val="NormalWeb"/>
                              <w:kinsoku w:val="0"/>
                              <w:overflowPunct w:val="0"/>
                              <w:spacing w:before="0" w:beforeAutospacing="0" w:after="0" w:afterAutospacing="0"/>
                              <w:textAlignment w:val="baseline"/>
                              <w:rPr>
                                <w:rFonts w:ascii="Candara" w:eastAsia="Verdana" w:hAnsi="Candara" w:cs="Verdana"/>
                                <w:b/>
                                <w:bCs/>
                                <w:color w:val="FFFFFF" w:themeColor="background1"/>
                                <w:kern w:val="24"/>
                                <w:sz w:val="14"/>
                                <w:shd w:val="clear" w:color="auto" w:fill="6D1D6A" w:themeFill="accent1" w:themeFillShade="BF"/>
                              </w:rPr>
                            </w:pPr>
                            <w:r w:rsidRPr="00F229D8">
                              <w:rPr>
                                <w:rFonts w:ascii="Candara" w:eastAsia="Verdana" w:hAnsi="Candara" w:cs="Verdana"/>
                                <w:b/>
                                <w:bCs/>
                                <w:color w:val="FFFFFF" w:themeColor="background1"/>
                                <w:kern w:val="24"/>
                                <w:sz w:val="14"/>
                                <w:shd w:val="clear" w:color="auto" w:fill="6D1D6A" w:themeFill="accent1" w:themeFillShade="BF"/>
                              </w:rPr>
                              <w:t>Nepieciešams pilnveidot institucionālo un uzņēmējdarbības vidi novēršot šķēršļus resursu efektīvākai izmantošanai.</w:t>
                            </w:r>
                          </w:p>
                        </w:txbxContent>
                      </v:textbox>
                      <w10:wrap type="none"/>
                      <w10:anchorlock/>
                    </v:shape>
                  </w:pict>
                </mc:Fallback>
              </mc:AlternateContent>
            </w:r>
          </w:p>
        </w:tc>
      </w:tr>
    </w:tbl>
    <w:p w:rsidR="00BC38A2" w:rsidRPr="000B395A" w:rsidP="00BC38A2" w14:paraId="40511241" w14:textId="77777777">
      <w:pPr>
        <w:spacing w:after="40" w:line="240" w:lineRule="auto"/>
        <w:jc w:val="both"/>
        <w:rPr>
          <w:rFonts w:ascii="Candara" w:hAnsi="Candara" w:cs="Times New Roman"/>
          <w:sz w:val="4"/>
        </w:rPr>
      </w:pPr>
    </w:p>
    <w:p w:rsidR="00BC38A2" w:rsidRPr="0088582E" w:rsidP="00214364" w14:paraId="01360F8C" w14:textId="77777777">
      <w:pPr>
        <w:spacing w:after="40" w:line="240" w:lineRule="auto"/>
        <w:ind w:firstLine="426"/>
        <w:jc w:val="both"/>
        <w:rPr>
          <w:rFonts w:ascii="Candara" w:hAnsi="Candara" w:cs="Times New Roman"/>
        </w:rPr>
      </w:pPr>
      <w:r w:rsidRPr="0088582E">
        <w:rPr>
          <w:rFonts w:ascii="Candara" w:hAnsi="Candara" w:cs="Times New Roman"/>
        </w:rPr>
        <w:t xml:space="preserve">Tautsaimniecības strukturālās transformācijas process ir lielā mērā atkarīgs no tā, cik kvalitatīvs ir institucionālais ietvars (likumdošana, valsts </w:t>
      </w:r>
      <w:r w:rsidR="000930CF">
        <w:rPr>
          <w:rFonts w:ascii="Candara" w:hAnsi="Candara" w:cs="Times New Roman"/>
        </w:rPr>
        <w:t xml:space="preserve">investīcijas un </w:t>
      </w:r>
      <w:r w:rsidRPr="0088582E">
        <w:rPr>
          <w:rFonts w:ascii="Candara" w:hAnsi="Candara" w:cs="Times New Roman"/>
        </w:rPr>
        <w:t>atbalsts</w:t>
      </w:r>
      <w:r w:rsidR="000930CF">
        <w:rPr>
          <w:rFonts w:ascii="Candara" w:hAnsi="Candara" w:cs="Times New Roman"/>
        </w:rPr>
        <w:t>,</w:t>
      </w:r>
      <w:r w:rsidRPr="0088582E">
        <w:rPr>
          <w:rFonts w:ascii="Candara" w:hAnsi="Candara" w:cs="Times New Roman"/>
        </w:rPr>
        <w:t xml:space="preserve"> un ekonomiskās un politiskās institūcijas), kas nodrošina produktu un resursu tirgus darbības efektivitāti, minimizējot ar pārdales procesu saistītas izmaksas un riskus, tādējādi stiprinot valsts konkurētspēju.</w:t>
      </w:r>
    </w:p>
    <w:p w:rsidR="00BC38A2" w:rsidRPr="0088582E" w:rsidP="00214364" w14:paraId="11FF2FB9" w14:textId="77777777">
      <w:pPr>
        <w:spacing w:after="40" w:line="240" w:lineRule="auto"/>
        <w:ind w:firstLine="426"/>
        <w:jc w:val="both"/>
        <w:rPr>
          <w:rFonts w:ascii="Candara" w:hAnsi="Candara" w:cs="Times New Roman"/>
        </w:rPr>
      </w:pPr>
      <w:r>
        <w:rPr>
          <w:rFonts w:ascii="Candara" w:hAnsi="Candara" w:cs="Times New Roman"/>
        </w:rPr>
        <w:t>Latvijas tautsaimniecība</w:t>
      </w:r>
      <w:r w:rsidRPr="0088582E">
        <w:rPr>
          <w:rFonts w:ascii="Candara" w:hAnsi="Candara" w:cs="Times New Roman"/>
        </w:rPr>
        <w:t xml:space="preserve"> ir cieši integrēta starptautiskajos tirgos. Tāpēc jaunu konkurētspējas priekšrocību veidošanā Latvijai ir jāpielāgojas globāliem izaicinājumiem, kas maina tradicionālo biznesa modeli:</w:t>
      </w:r>
    </w:p>
    <w:p w:rsidR="00BC38A2" w:rsidRPr="0088582E" w:rsidP="00214364" w14:paraId="05D69917" w14:textId="77777777">
      <w:pPr>
        <w:pStyle w:val="ListParagraph"/>
        <w:numPr>
          <w:ilvl w:val="0"/>
          <w:numId w:val="7"/>
        </w:numPr>
        <w:spacing w:before="0" w:after="40"/>
        <w:ind w:left="709" w:hanging="283"/>
        <w:contextualSpacing w:val="0"/>
        <w:rPr>
          <w:rFonts w:ascii="Candara" w:hAnsi="Candara"/>
          <w:sz w:val="22"/>
          <w:szCs w:val="22"/>
        </w:rPr>
      </w:pPr>
      <w:r w:rsidRPr="0088582E">
        <w:rPr>
          <w:rFonts w:ascii="Candara" w:hAnsi="Candara"/>
          <w:sz w:val="22"/>
          <w:szCs w:val="22"/>
        </w:rPr>
        <w:t>ražošanas faktoru un kapitāla starptautiskās mobilitātes palielināšanās. Pašlai</w:t>
      </w:r>
      <w:r w:rsidR="00655436">
        <w:rPr>
          <w:rFonts w:ascii="Candara" w:hAnsi="Candara"/>
          <w:sz w:val="22"/>
          <w:szCs w:val="22"/>
        </w:rPr>
        <w:t>k globālās ekonomikas attīstība</w:t>
      </w:r>
      <w:r w:rsidRPr="0088582E">
        <w:rPr>
          <w:rFonts w:ascii="Candara" w:hAnsi="Candara"/>
          <w:sz w:val="22"/>
          <w:szCs w:val="22"/>
        </w:rPr>
        <w:t xml:space="preserve"> ir ļoti vāja, līdz ar to saasinās konkurence starptautiskajos </w:t>
      </w:r>
      <w:r w:rsidR="007C5614">
        <w:rPr>
          <w:rFonts w:ascii="Candara" w:hAnsi="Candara"/>
          <w:sz w:val="22"/>
          <w:szCs w:val="22"/>
        </w:rPr>
        <w:t xml:space="preserve">talantu, </w:t>
      </w:r>
      <w:r w:rsidRPr="0088582E">
        <w:rPr>
          <w:rFonts w:ascii="Candara" w:hAnsi="Candara"/>
          <w:sz w:val="22"/>
          <w:szCs w:val="22"/>
        </w:rPr>
        <w:t>produktu, darba un kapitāla tirgos;</w:t>
      </w:r>
    </w:p>
    <w:p w:rsidR="00BC38A2" w:rsidRPr="0088582E" w:rsidP="00214364" w14:paraId="14BBADE9" w14:textId="77777777">
      <w:pPr>
        <w:pStyle w:val="ListParagraph"/>
        <w:numPr>
          <w:ilvl w:val="0"/>
          <w:numId w:val="7"/>
        </w:numPr>
        <w:spacing w:before="0" w:after="40"/>
        <w:ind w:left="709" w:hanging="283"/>
        <w:contextualSpacing w:val="0"/>
        <w:rPr>
          <w:rFonts w:ascii="Candara" w:hAnsi="Candara"/>
          <w:sz w:val="22"/>
          <w:szCs w:val="22"/>
        </w:rPr>
      </w:pPr>
      <w:r w:rsidRPr="0088582E">
        <w:rPr>
          <w:rFonts w:ascii="Candara" w:hAnsi="Candara"/>
          <w:sz w:val="22"/>
          <w:szCs w:val="22"/>
        </w:rPr>
        <w:t>ražošanas fragmentācija, veidojas valstu specializācija kādā noteiktā nozarē vai arī produkta pievienotās vērtības radīšanas ķēdē. Latvijai ir jāizmanto iespēja iesaistīties globālajās piegādes un ražošanas ķēdēs, kur gala produkta ražošanai svarīga ir izcilība visos ražošanas posmos un līmeņos, piegādātāju un sadarbības partneru kompetence un inovācijas kā saistītajās nozarēs, tā arī dažādos reģionos. Pašreizējais zemais inovāciju sniegums liecina ne tikai par nepietiekamu valsts</w:t>
      </w:r>
      <w:r w:rsidR="007C5614">
        <w:rPr>
          <w:rFonts w:ascii="Candara" w:hAnsi="Candara"/>
          <w:sz w:val="22"/>
          <w:szCs w:val="22"/>
        </w:rPr>
        <w:t xml:space="preserve"> ieguldījumu zināšanu bāzē un cilvēkkapitālā, un</w:t>
      </w:r>
      <w:r w:rsidRPr="0088582E">
        <w:rPr>
          <w:rFonts w:ascii="Candara" w:hAnsi="Candara"/>
          <w:sz w:val="22"/>
          <w:szCs w:val="22"/>
        </w:rPr>
        <w:t xml:space="preserve"> atbalstu, bet arī (un iespējams pat vairāk) par uzņēmēju zemo pieprasījumu pēc inovācijām;</w:t>
      </w:r>
    </w:p>
    <w:p w:rsidR="00BC38A2" w:rsidRPr="0088582E" w:rsidP="00214364" w14:paraId="7F0B755B" w14:textId="77777777">
      <w:pPr>
        <w:pStyle w:val="ListParagraph"/>
        <w:numPr>
          <w:ilvl w:val="0"/>
          <w:numId w:val="7"/>
        </w:numPr>
        <w:spacing w:before="0" w:after="40"/>
        <w:ind w:left="709" w:hanging="283"/>
        <w:contextualSpacing w:val="0"/>
        <w:rPr>
          <w:rFonts w:ascii="Candara" w:hAnsi="Candara"/>
          <w:sz w:val="22"/>
          <w:szCs w:val="22"/>
        </w:rPr>
      </w:pPr>
      <w:r w:rsidRPr="0088582E">
        <w:rPr>
          <w:rFonts w:ascii="Candara" w:hAnsi="Candara"/>
          <w:sz w:val="22"/>
          <w:szCs w:val="22"/>
        </w:rPr>
        <w:t>strauji augošas jaunās industriālās valstis ar izteikti lētā darbaspēka priekšrocībām. Latvijas ražotāju konkurētspēja joprojām lielā mērā balstās uz lētā darbaspēka priekšrocībām. Bet jāņem vērā, ka darbaspēka izmaksu pieaugums ir neizbēgams atvērta darba tirgus apstākļos. Tādējādi Latvija var zaudēt konkurētspēju zemo izmaksu segmentos ātrāk nekā iegūt priekšrocības produktu ražošanā ar augstu pievienoto vērtību</w:t>
      </w:r>
      <w:r w:rsidR="007C5614">
        <w:rPr>
          <w:rFonts w:ascii="Candara" w:hAnsi="Candara"/>
          <w:sz w:val="22"/>
          <w:szCs w:val="22"/>
        </w:rPr>
        <w:t>. Bez tam, turpinot šādu biznesa modeli pastāv risks zaudēt talantus aizvien pieaugošā apmērā</w:t>
      </w:r>
      <w:r w:rsidRPr="0088582E">
        <w:rPr>
          <w:rFonts w:ascii="Candara" w:hAnsi="Candara"/>
          <w:sz w:val="22"/>
          <w:szCs w:val="22"/>
        </w:rPr>
        <w:t>;</w:t>
      </w:r>
    </w:p>
    <w:p w:rsidR="00FB3AFD" w:rsidP="00214364" w14:paraId="75A224F8" w14:textId="77777777">
      <w:pPr>
        <w:pStyle w:val="ListParagraph"/>
        <w:numPr>
          <w:ilvl w:val="0"/>
          <w:numId w:val="7"/>
        </w:numPr>
        <w:spacing w:before="0" w:after="40"/>
        <w:ind w:left="709" w:hanging="283"/>
        <w:contextualSpacing w:val="0"/>
        <w:rPr>
          <w:rFonts w:ascii="Candara" w:hAnsi="Candara"/>
          <w:sz w:val="22"/>
          <w:szCs w:val="22"/>
        </w:rPr>
      </w:pPr>
      <w:r w:rsidRPr="006D4322">
        <w:rPr>
          <w:rFonts w:ascii="Candara" w:hAnsi="Candara"/>
          <w:sz w:val="22"/>
          <w:szCs w:val="22"/>
        </w:rPr>
        <w:t>privāto investīciju piesaistei lielākas prasības tiek izvirzītas institucionālai videi un infrastruktūrai. Latvijas institucionālai videi ir vairākas nepilnības (kropļojumi). Kā izteiktākie jāmin lielais ēnu</w:t>
      </w:r>
      <w:r w:rsidR="005D6F6D">
        <w:rPr>
          <w:rFonts w:ascii="Candara" w:hAnsi="Candara"/>
          <w:sz w:val="22"/>
          <w:szCs w:val="22"/>
        </w:rPr>
        <w:t xml:space="preserve"> </w:t>
      </w:r>
      <w:r w:rsidRPr="006D4322">
        <w:rPr>
          <w:rFonts w:ascii="Candara" w:hAnsi="Candara"/>
          <w:sz w:val="22"/>
          <w:szCs w:val="22"/>
        </w:rPr>
        <w:t>ekonomikas īpatsvars un nekvalitatīvie publiskie pakalpojumi.</w:t>
      </w:r>
    </w:p>
    <w:p w:rsidR="00FB3AFD" w:rsidP="005D6F6D" w14:paraId="68713EE5" w14:textId="77777777">
      <w:pPr>
        <w:pStyle w:val="ListParagraph"/>
        <w:spacing w:before="0" w:after="40"/>
        <w:ind w:left="284" w:firstLine="0"/>
        <w:contextualSpacing w:val="0"/>
        <w:jc w:val="center"/>
        <w:rPr>
          <w:rFonts w:ascii="Candara" w:hAnsi="Candara"/>
          <w:sz w:val="22"/>
          <w:szCs w:val="22"/>
        </w:rPr>
      </w:pPr>
      <w:r>
        <w:rPr>
          <w:noProof/>
          <w:lang w:eastAsia="lv-LV"/>
        </w:rPr>
        <w:drawing>
          <wp:inline distT="0" distB="0" distL="0" distR="0">
            <wp:extent cx="4702628" cy="189050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92526" name=""/>
                    <pic:cNvPicPr/>
                  </pic:nvPicPr>
                  <pic:blipFill>
                    <a:blip xmlns:r="http://schemas.openxmlformats.org/officeDocument/2006/relationships" r:embed="rId38"/>
                    <a:srcRect l="19035" t="45488" r="43452" b="27144"/>
                    <a:stretch>
                      <a:fillRect/>
                    </a:stretch>
                  </pic:blipFill>
                  <pic:spPr bwMode="auto">
                    <a:xfrm>
                      <a:off x="0" y="0"/>
                      <a:ext cx="4732708" cy="19025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2314B" w:rsidRPr="00FB3AFD" w:rsidP="00214364" w14:paraId="5B86BA52" w14:textId="77777777">
      <w:pPr>
        <w:pStyle w:val="ListParagraph"/>
        <w:numPr>
          <w:ilvl w:val="0"/>
          <w:numId w:val="7"/>
        </w:numPr>
        <w:spacing w:before="0" w:after="40"/>
        <w:ind w:left="709" w:hanging="283"/>
        <w:contextualSpacing w:val="0"/>
        <w:rPr>
          <w:rFonts w:ascii="Candara" w:hAnsi="Candara"/>
          <w:sz w:val="22"/>
          <w:szCs w:val="22"/>
        </w:rPr>
      </w:pPr>
      <w:r w:rsidRPr="00FB3AFD">
        <w:rPr>
          <w:rFonts w:ascii="Candara" w:hAnsi="Candara"/>
          <w:sz w:val="22"/>
          <w:szCs w:val="22"/>
        </w:rPr>
        <w:t xml:space="preserve">Transformācijas procesa veicējs ir uzņēmējs – viņš pieņem lēmumu modernizēt ražošanu vai pārvietot resursus uz citu nozari/reģionu/valsti. Tāpēc uzņēmēju motivācijas veicināšana </w:t>
      </w:r>
      <w:r w:rsidRPr="00FB3AFD">
        <w:rPr>
          <w:rFonts w:ascii="Candara" w:hAnsi="Candara"/>
          <w:b/>
          <w:sz w:val="22"/>
          <w:szCs w:val="22"/>
        </w:rPr>
        <w:t>biznesa modeļa maiņai un jaunu konkurētspējas priekšrocību izzināšanai un veidošanai</w:t>
      </w:r>
      <w:r w:rsidR="00214364">
        <w:rPr>
          <w:rFonts w:ascii="Candara" w:hAnsi="Candara"/>
          <w:b/>
          <w:sz w:val="22"/>
          <w:szCs w:val="22"/>
        </w:rPr>
        <w:t xml:space="preserve"> ir galvenais politikas mērķis.</w:t>
      </w:r>
    </w:p>
    <w:p w:rsidR="00965C0A" w:rsidRPr="00883473" w:rsidP="00965C0A" w14:paraId="5AA6C18A" w14:textId="77777777">
      <w:pPr>
        <w:pStyle w:val="Heading1"/>
        <w:shd w:val="clear" w:color="auto" w:fill="6D1D6A" w:themeFill="accent1" w:themeFillShade="BF"/>
        <w:rPr>
          <w:rFonts w:ascii="Candara" w:eastAsia="Times New Roman" w:hAnsi="Candara"/>
          <w:b/>
          <w:color w:val="FFFFFF" w:themeColor="background1"/>
          <w:lang w:eastAsia="lv-LV"/>
        </w:rPr>
      </w:pPr>
      <w:bookmarkStart w:id="22" w:name="_Toc484445191"/>
      <w:bookmarkStart w:id="23" w:name="_Toc256000007"/>
      <w:bookmarkStart w:id="24" w:name="_Toc256000023"/>
      <w:r>
        <w:rPr>
          <w:rFonts w:ascii="Candara" w:eastAsia="Times New Roman" w:hAnsi="Candara"/>
          <w:b/>
          <w:color w:val="FFFFFF" w:themeColor="background1"/>
          <w:lang w:eastAsia="lv-LV"/>
        </w:rPr>
        <w:t xml:space="preserve">5. </w:t>
      </w:r>
      <w:r>
        <w:rPr>
          <w:rFonts w:ascii="Candara" w:eastAsia="Times New Roman" w:hAnsi="Candara"/>
          <w:b/>
          <w:color w:val="FFFFFF" w:themeColor="background1"/>
          <w:lang w:eastAsia="lv-LV"/>
        </w:rPr>
        <w:t>TAUTSAIMNIECĪBAS STRUKTURĀLĀS TRANSFORMĀCIJAS VIRZIENI</w:t>
      </w:r>
      <w:bookmarkEnd w:id="24"/>
      <w:bookmarkEnd w:id="23"/>
      <w:bookmarkEnd w:id="22"/>
    </w:p>
    <w:p w:rsidR="00965C0A" w:rsidRPr="003401E3" w:rsidP="00A2199B" w14:paraId="4A5BBE99" w14:textId="77777777">
      <w:pPr>
        <w:rPr>
          <w:sz w:val="12"/>
        </w:rPr>
      </w:pPr>
    </w:p>
    <w:p w:rsidR="00BB2095" w:rsidRPr="005A0A8A" w:rsidP="00214364" w14:paraId="3CABC9E6" w14:textId="77777777">
      <w:pPr>
        <w:spacing w:after="0" w:line="240" w:lineRule="auto"/>
        <w:ind w:firstLine="426"/>
        <w:jc w:val="both"/>
        <w:rPr>
          <w:rFonts w:ascii="Candara" w:hAnsi="Candara" w:cs="Times New Roman"/>
        </w:rPr>
      </w:pPr>
      <w:r w:rsidRPr="005A0A8A">
        <w:rPr>
          <w:rFonts w:ascii="Candara" w:hAnsi="Candara" w:cs="Times New Roman"/>
        </w:rPr>
        <w:t xml:space="preserve">Strukturālā transformācija ir process, ko dažkārt dēvē par “kāpšanu </w:t>
      </w:r>
      <w:r>
        <w:rPr>
          <w:rFonts w:ascii="Candara" w:hAnsi="Candara" w:cs="Times New Roman"/>
        </w:rPr>
        <w:t xml:space="preserve">augšup pa tehnoloģijas kāpnēm”, kas </w:t>
      </w:r>
      <w:r w:rsidRPr="005A0A8A">
        <w:rPr>
          <w:rFonts w:ascii="Candara" w:hAnsi="Candara" w:cs="Times New Roman"/>
        </w:rPr>
        <w:t>izpaužas kā augstāka ražošanas produktivitāte</w:t>
      </w:r>
      <w:r>
        <w:rPr>
          <w:rFonts w:ascii="Candara" w:hAnsi="Candara" w:cs="Times New Roman"/>
        </w:rPr>
        <w:t xml:space="preserve">. Tas saistīts ar resursu </w:t>
      </w:r>
      <w:r w:rsidRPr="005A0A8A">
        <w:rPr>
          <w:rFonts w:ascii="Candara" w:hAnsi="Candara" w:cs="Times New Roman"/>
        </w:rPr>
        <w:t>pārdal</w:t>
      </w:r>
      <w:r>
        <w:rPr>
          <w:rFonts w:ascii="Candara" w:hAnsi="Candara" w:cs="Times New Roman"/>
        </w:rPr>
        <w:t xml:space="preserve">i </w:t>
      </w:r>
      <w:r w:rsidRPr="005A0A8A">
        <w:rPr>
          <w:rFonts w:ascii="Candara" w:hAnsi="Candara" w:cs="Times New Roman"/>
        </w:rPr>
        <w:t>uz augstākas produktivitātes nozarēm,</w:t>
      </w:r>
      <w:r>
        <w:rPr>
          <w:rFonts w:ascii="Candara" w:hAnsi="Candara" w:cs="Times New Roman"/>
        </w:rPr>
        <w:t xml:space="preserve"> kā arī </w:t>
      </w:r>
      <w:r w:rsidRPr="005A0A8A">
        <w:rPr>
          <w:rFonts w:ascii="Candara" w:hAnsi="Candara" w:cs="Times New Roman"/>
        </w:rPr>
        <w:t>ražošanas diversifikāciju un tehnoloģisko modernizāciju.</w:t>
      </w:r>
    </w:p>
    <w:p w:rsidR="00BB2095" w:rsidRPr="005A0A8A" w:rsidP="00214364" w14:paraId="256D5FFD" w14:textId="77777777">
      <w:pPr>
        <w:spacing w:after="0" w:line="240" w:lineRule="auto"/>
        <w:ind w:firstLine="426"/>
        <w:jc w:val="both"/>
        <w:rPr>
          <w:rFonts w:ascii="Candara" w:hAnsi="Candara" w:cs="Times New Roman"/>
        </w:rPr>
      </w:pPr>
      <w:r w:rsidRPr="005A0A8A">
        <w:rPr>
          <w:rFonts w:ascii="Candara" w:hAnsi="Candara" w:cs="Times New Roman"/>
        </w:rPr>
        <w:t xml:space="preserve">Valsts tautsaimniecības struktūru lielā mērā nosaka esošās salīdzinošās konkurences priekšrocības, kurām laika gaitā jāmainās, </w:t>
      </w:r>
      <w:r>
        <w:rPr>
          <w:rFonts w:ascii="Candara" w:hAnsi="Candara" w:cs="Times New Roman"/>
        </w:rPr>
        <w:t>tāpēc strukturālās transformācijas pamatā ir jaunu konkurētspējas priekšrocību veidošana</w:t>
      </w:r>
      <w:r w:rsidRPr="005A0A8A">
        <w:rPr>
          <w:rFonts w:ascii="Candara" w:hAnsi="Candara" w:cs="Times New Roman"/>
        </w:rPr>
        <w:t>.</w:t>
      </w:r>
    </w:p>
    <w:p w:rsidR="00BB2095" w:rsidRPr="000E0956" w:rsidP="00214364" w14:paraId="700821CF" w14:textId="77777777">
      <w:pPr>
        <w:spacing w:after="0" w:line="240" w:lineRule="auto"/>
        <w:ind w:firstLine="426"/>
        <w:jc w:val="both"/>
        <w:rPr>
          <w:rFonts w:ascii="Candara" w:hAnsi="Candara" w:cs="Times New Roman"/>
          <w:sz w:val="8"/>
        </w:rPr>
      </w:pPr>
    </w:p>
    <w:p w:rsidR="00BB2095" w:rsidRPr="005A0A8A" w:rsidP="00214364" w14:paraId="0305E52F" w14:textId="77777777">
      <w:pPr>
        <w:spacing w:after="0" w:line="240" w:lineRule="auto"/>
        <w:ind w:firstLine="426"/>
        <w:jc w:val="both"/>
        <w:rPr>
          <w:rFonts w:ascii="Candara" w:hAnsi="Candara" w:cs="Times New Roman"/>
          <w:b/>
        </w:rPr>
      </w:pPr>
      <w:r>
        <w:rPr>
          <w:rFonts w:ascii="Candara" w:hAnsi="Candara" w:cs="Times New Roman"/>
          <w:b/>
        </w:rPr>
        <w:t>S</w:t>
      </w:r>
      <w:r w:rsidRPr="005A0A8A">
        <w:rPr>
          <w:rFonts w:ascii="Candara" w:hAnsi="Candara" w:cs="Times New Roman"/>
          <w:b/>
        </w:rPr>
        <w:t>trukturālās transformācijas process ir zināmā mērā iepriekš noteikts. Tas balstās esošā tautsaimniecības struktūrā, ko nosacīti var iedalīt 4 nozaru attīstības grupās:</w:t>
      </w:r>
    </w:p>
    <w:p w:rsidR="00BB2095" w:rsidRPr="005A0A8A" w:rsidP="00214364" w14:paraId="1435ED9B" w14:textId="77777777">
      <w:pPr>
        <w:pStyle w:val="ListParagraph"/>
        <w:numPr>
          <w:ilvl w:val="0"/>
          <w:numId w:val="4"/>
        </w:numPr>
        <w:ind w:left="709" w:hanging="283"/>
        <w:contextualSpacing w:val="0"/>
        <w:rPr>
          <w:rFonts w:ascii="Candara" w:hAnsi="Candara"/>
          <w:sz w:val="22"/>
        </w:rPr>
      </w:pPr>
      <w:r w:rsidRPr="005A0A8A">
        <w:rPr>
          <w:rFonts w:ascii="Candara" w:hAnsi="Candara"/>
          <w:noProof/>
          <w:lang w:eastAsia="lv-LV"/>
        </w:rPr>
        <w:drawing>
          <wp:anchor distT="0" distB="0" distL="114300" distR="114300" simplePos="0" relativeHeight="251769856" behindDoc="0" locked="0" layoutInCell="1" allowOverlap="1">
            <wp:simplePos x="0" y="0"/>
            <wp:positionH relativeFrom="margin">
              <wp:align>right</wp:align>
            </wp:positionH>
            <wp:positionV relativeFrom="paragraph">
              <wp:posOffset>45720</wp:posOffset>
            </wp:positionV>
            <wp:extent cx="2274570" cy="15195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14615" name=""/>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24203" t="32860" r="24858" b="9554"/>
                    <a:stretch>
                      <a:fillRect/>
                    </a:stretch>
                  </pic:blipFill>
                  <pic:spPr bwMode="auto">
                    <a:xfrm>
                      <a:off x="0" y="0"/>
                      <a:ext cx="2274570" cy="15195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A8A">
        <w:rPr>
          <w:rFonts w:ascii="Candara" w:hAnsi="Candara"/>
          <w:color w:val="FF0000"/>
          <w:sz w:val="22"/>
        </w:rPr>
        <w:t xml:space="preserve">tradicionālās tautsaimniecības nozares </w:t>
      </w:r>
      <w:r w:rsidR="00214364">
        <w:rPr>
          <w:rFonts w:ascii="Candara" w:hAnsi="Candara"/>
          <w:sz w:val="22"/>
        </w:rPr>
        <w:t>(lielākās –</w:t>
      </w:r>
      <w:r w:rsidRPr="005A0A8A">
        <w:rPr>
          <w:rFonts w:ascii="Candara" w:hAnsi="Candara"/>
          <w:sz w:val="22"/>
        </w:rPr>
        <w:t xml:space="preserve"> kokapstrāde, pārtikas rūpniecība, ķīmija un farmācija, tranzītpakalpojumi); </w:t>
      </w:r>
    </w:p>
    <w:p w:rsidR="00BB2095" w:rsidRPr="005A0A8A" w:rsidP="00214364" w14:paraId="73E90942" w14:textId="77777777">
      <w:pPr>
        <w:pStyle w:val="ListParagraph"/>
        <w:numPr>
          <w:ilvl w:val="0"/>
          <w:numId w:val="4"/>
        </w:numPr>
        <w:ind w:left="709" w:hanging="283"/>
        <w:contextualSpacing w:val="0"/>
        <w:rPr>
          <w:rFonts w:ascii="Candara" w:hAnsi="Candara"/>
          <w:sz w:val="22"/>
        </w:rPr>
      </w:pPr>
      <w:r w:rsidRPr="005A0A8A">
        <w:rPr>
          <w:rFonts w:ascii="Candara" w:hAnsi="Candara"/>
          <w:color w:val="FF0000"/>
          <w:sz w:val="22"/>
        </w:rPr>
        <w:t xml:space="preserve">nākotnes izaugsmes nozares </w:t>
      </w:r>
      <w:r w:rsidRPr="005A0A8A">
        <w:rPr>
          <w:rFonts w:ascii="Candara" w:hAnsi="Candara"/>
          <w:sz w:val="22"/>
        </w:rPr>
        <w:t>(tādas kā „Viedie materiāli, tehnoloģijas, un inženiersistēmas” un „Biomedicīna, medicīnas tehnoloģijas, biofarmācija un biotehnoloģijas”);</w:t>
      </w:r>
    </w:p>
    <w:p w:rsidR="00BB2095" w:rsidRPr="005A0A8A" w:rsidP="00214364" w14:paraId="4E15116D" w14:textId="77777777">
      <w:pPr>
        <w:pStyle w:val="ListParagraph"/>
        <w:numPr>
          <w:ilvl w:val="0"/>
          <w:numId w:val="4"/>
        </w:numPr>
        <w:ind w:left="709" w:hanging="283"/>
        <w:contextualSpacing w:val="0"/>
        <w:rPr>
          <w:rFonts w:ascii="Candara" w:hAnsi="Candara"/>
          <w:sz w:val="22"/>
        </w:rPr>
      </w:pPr>
      <w:r w:rsidRPr="005A0A8A">
        <w:rPr>
          <w:rFonts w:ascii="Candara" w:hAnsi="Candara"/>
          <w:color w:val="FF0000"/>
          <w:sz w:val="22"/>
        </w:rPr>
        <w:t>nozares ar nozīmīgu horizontālo ietekmi</w:t>
      </w:r>
      <w:r w:rsidRPr="005A0A8A">
        <w:rPr>
          <w:rFonts w:ascii="Candara" w:hAnsi="Candara"/>
          <w:sz w:val="22"/>
        </w:rPr>
        <w:t xml:space="preserve"> (</w:t>
      </w:r>
      <w:r w:rsidR="00912218">
        <w:rPr>
          <w:rFonts w:ascii="Candara" w:hAnsi="Candara"/>
          <w:sz w:val="22"/>
        </w:rPr>
        <w:t>i</w:t>
      </w:r>
      <w:r w:rsidRPr="005A0A8A">
        <w:rPr>
          <w:rFonts w:ascii="Candara" w:hAnsi="Candara"/>
          <w:sz w:val="22"/>
        </w:rPr>
        <w:t xml:space="preserve">nformācijas un komunikācijas tehnoloģijas, </w:t>
      </w:r>
      <w:r w:rsidR="00912218">
        <w:rPr>
          <w:rFonts w:ascii="Candara" w:hAnsi="Candara"/>
          <w:sz w:val="22"/>
        </w:rPr>
        <w:t>e</w:t>
      </w:r>
      <w:r w:rsidRPr="005A0A8A" w:rsidR="00912218">
        <w:rPr>
          <w:rFonts w:ascii="Candara" w:hAnsi="Candara"/>
          <w:sz w:val="22"/>
        </w:rPr>
        <w:t xml:space="preserve">nergoefektivitātes </w:t>
      </w:r>
      <w:r w:rsidRPr="005A0A8A">
        <w:rPr>
          <w:rFonts w:ascii="Candara" w:hAnsi="Candara"/>
          <w:sz w:val="22"/>
        </w:rPr>
        <w:t>risinājumi, tehnoloģijas;</w:t>
      </w:r>
    </w:p>
    <w:p w:rsidR="00BB2095" w:rsidRPr="005A0A8A" w:rsidP="00214364" w14:paraId="194A6488" w14:textId="77777777">
      <w:pPr>
        <w:pStyle w:val="ListParagraph"/>
        <w:numPr>
          <w:ilvl w:val="0"/>
          <w:numId w:val="4"/>
        </w:numPr>
        <w:ind w:left="709" w:hanging="283"/>
        <w:contextualSpacing w:val="0"/>
        <w:rPr>
          <w:rFonts w:ascii="Candara" w:hAnsi="Candara"/>
          <w:sz w:val="22"/>
        </w:rPr>
      </w:pPr>
      <w:r w:rsidRPr="005A0A8A">
        <w:rPr>
          <w:rFonts w:ascii="Candara" w:hAnsi="Candara"/>
          <w:color w:val="FF0000"/>
          <w:sz w:val="22"/>
        </w:rPr>
        <w:t>biznesa pakalpojumi</w:t>
      </w:r>
      <w:r w:rsidRPr="005A0A8A">
        <w:rPr>
          <w:rFonts w:ascii="Candara" w:hAnsi="Candara"/>
          <w:sz w:val="22"/>
        </w:rPr>
        <w:t>.</w:t>
      </w:r>
    </w:p>
    <w:p w:rsidR="00BB2095" w:rsidRPr="005A0A8A" w:rsidP="00BB2095" w14:paraId="55FF7864" w14:textId="77777777">
      <w:pPr>
        <w:spacing w:after="0" w:line="240" w:lineRule="auto"/>
        <w:jc w:val="both"/>
        <w:rPr>
          <w:rFonts w:ascii="Candara" w:hAnsi="Candara" w:cs="Times New Roman"/>
        </w:rPr>
      </w:pPr>
    </w:p>
    <w:p w:rsidR="00BB2095" w:rsidRPr="005A0A8A" w:rsidP="00214364" w14:paraId="44BA7D01" w14:textId="77777777">
      <w:pPr>
        <w:spacing w:after="0" w:line="240" w:lineRule="auto"/>
        <w:ind w:firstLine="426"/>
        <w:jc w:val="both"/>
        <w:rPr>
          <w:rFonts w:ascii="Candara" w:hAnsi="Candara" w:cs="Times New Roman"/>
        </w:rPr>
      </w:pPr>
      <w:r w:rsidRPr="005A0A8A">
        <w:rPr>
          <w:rFonts w:ascii="Candara" w:hAnsi="Candara" w:cs="Times New Roman"/>
        </w:rPr>
        <w:t>Transformācijas procesā liela nozīme valsts struktūrpolitikai jeb industriāl</w:t>
      </w:r>
      <w:r w:rsidR="00E33F68">
        <w:rPr>
          <w:rFonts w:ascii="Candara" w:hAnsi="Candara" w:cs="Times New Roman"/>
        </w:rPr>
        <w:t>aj</w:t>
      </w:r>
      <w:r w:rsidRPr="005A0A8A">
        <w:rPr>
          <w:rFonts w:ascii="Candara" w:hAnsi="Candara" w:cs="Times New Roman"/>
        </w:rPr>
        <w:t xml:space="preserve">ai politikai. Katrā no nozaru grupām ir savi specifiski </w:t>
      </w:r>
      <w:r w:rsidRPr="005A0A8A">
        <w:rPr>
          <w:rFonts w:ascii="Candara" w:hAnsi="Candara" w:cs="Times New Roman"/>
          <w:b/>
          <w:i/>
        </w:rPr>
        <w:t>transformācijas stimuli</w:t>
      </w:r>
      <w:r w:rsidRPr="005A0A8A">
        <w:rPr>
          <w:rFonts w:ascii="Candara" w:hAnsi="Candara" w:cs="Times New Roman"/>
        </w:rPr>
        <w:t>, kam jābūt ierosināto diskusiju pamatmērķim.</w:t>
      </w:r>
    </w:p>
    <w:p w:rsidR="00BB2095" w:rsidRPr="005A0A8A" w:rsidP="00214364" w14:paraId="415A5FB0" w14:textId="77777777">
      <w:pPr>
        <w:spacing w:after="0" w:line="240" w:lineRule="auto"/>
        <w:ind w:firstLine="426"/>
        <w:jc w:val="both"/>
        <w:rPr>
          <w:rFonts w:ascii="Candara" w:hAnsi="Candara" w:cs="Times New Roman"/>
        </w:rPr>
      </w:pPr>
      <w:r w:rsidRPr="005A0A8A">
        <w:rPr>
          <w:rFonts w:ascii="Candara" w:hAnsi="Candara" w:cs="Times New Roman"/>
        </w:rPr>
        <w:t xml:space="preserve">Vairāki no transformācijas pamatelementiem jau ir iezīmēti </w:t>
      </w:r>
      <w:r w:rsidRPr="005A0A8A">
        <w:rPr>
          <w:rFonts w:ascii="Candara" w:hAnsi="Candara" w:cs="Times New Roman"/>
          <w:i/>
        </w:rPr>
        <w:t>Nacionālās industriālās politikas pamatnostādnēs 2014.</w:t>
      </w:r>
      <w:r w:rsidR="00912218">
        <w:rPr>
          <w:rFonts w:ascii="Candara" w:hAnsi="Candara" w:cs="Times New Roman"/>
          <w:i/>
        </w:rPr>
        <w:t xml:space="preserve"> – </w:t>
      </w:r>
      <w:r w:rsidRPr="005A0A8A">
        <w:rPr>
          <w:rFonts w:ascii="Candara" w:hAnsi="Candara" w:cs="Times New Roman"/>
          <w:i/>
        </w:rPr>
        <w:t>2020.gadam</w:t>
      </w:r>
      <w:r w:rsidRPr="005A0A8A">
        <w:rPr>
          <w:rFonts w:ascii="Candara" w:hAnsi="Candara" w:cs="Times New Roman"/>
        </w:rPr>
        <w:t xml:space="preserve">. </w:t>
      </w:r>
    </w:p>
    <w:p w:rsidR="00BB2095" w:rsidRPr="005A0A8A" w:rsidP="00214364" w14:paraId="4315B1FD" w14:textId="77777777">
      <w:pPr>
        <w:pStyle w:val="ListParagraph"/>
        <w:numPr>
          <w:ilvl w:val="0"/>
          <w:numId w:val="5"/>
        </w:numPr>
        <w:spacing w:before="0"/>
        <w:ind w:left="709" w:hanging="283"/>
        <w:contextualSpacing w:val="0"/>
        <w:rPr>
          <w:rFonts w:ascii="Candara" w:hAnsi="Candara"/>
          <w:sz w:val="22"/>
        </w:rPr>
      </w:pPr>
      <w:r w:rsidRPr="005A0A8A">
        <w:rPr>
          <w:rFonts w:ascii="Candara" w:hAnsi="Candara"/>
          <w:color w:val="C00000"/>
          <w:sz w:val="22"/>
        </w:rPr>
        <w:t>Klasteru attīstība</w:t>
      </w:r>
      <w:r w:rsidRPr="005A0A8A">
        <w:rPr>
          <w:rFonts w:ascii="Candara" w:hAnsi="Candara"/>
          <w:sz w:val="22"/>
        </w:rPr>
        <w:t>. Attīstītu klasteru esamība ir būtisks strukturālās transformācijas priekšnosacījums. Tas īpaši attiecas uz tradicionālām nozarēm. Klasteri rada labumu, izmantojot pieeju specializētiem piegādātājiem, pakalpojumu sniedzējiem, resursu izlietojumam, idejām, zinātniskiem pētījumiem un citiem ārējiem efektiem.</w:t>
      </w:r>
    </w:p>
    <w:p w:rsidR="00BB2095" w:rsidRPr="005A0A8A" w:rsidP="00214364" w14:paraId="325A0297" w14:textId="77777777">
      <w:pPr>
        <w:pStyle w:val="ListParagraph"/>
        <w:numPr>
          <w:ilvl w:val="0"/>
          <w:numId w:val="5"/>
        </w:numPr>
        <w:spacing w:before="0"/>
        <w:ind w:left="709" w:hanging="283"/>
        <w:contextualSpacing w:val="0"/>
        <w:rPr>
          <w:rFonts w:ascii="Candara" w:hAnsi="Candara"/>
          <w:sz w:val="22"/>
        </w:rPr>
      </w:pPr>
      <w:r w:rsidRPr="005A0A8A">
        <w:rPr>
          <w:rFonts w:ascii="Candara" w:hAnsi="Candara"/>
          <w:color w:val="C00000"/>
          <w:sz w:val="22"/>
        </w:rPr>
        <w:t xml:space="preserve">Iekļaušanās globālajās vērtību ķēdēs </w:t>
      </w:r>
      <w:r w:rsidRPr="005A0A8A">
        <w:rPr>
          <w:rFonts w:ascii="Candara" w:hAnsi="Candara"/>
          <w:sz w:val="22"/>
        </w:rPr>
        <w:t xml:space="preserve">nodrošina eksporta izaugsmi un augstāku produktivitāti. Tā, piemēram, augstāku produktivitāti var iegūt Latvijas uzņēmums, kurš darbojas autoražotāja tiešajā </w:t>
      </w:r>
      <w:r w:rsidRPr="005A0A8A">
        <w:rPr>
          <w:rFonts w:ascii="Candara" w:hAnsi="Candara"/>
          <w:sz w:val="22"/>
        </w:rPr>
        <w:t>piegādes ķēdē, nevis tiek uztverts, kā viens no piegādātājiem vērtību ķēdē esošam uzņēmumam. Šādu efektu vēlas panākt viens no Latvijas kokrūpniecības sektora uzņēmumiem, kurš veic izejvielu piegādi autorūpniecības sektoram, izmantojot piegādes ķēdē esošu starpnieku.</w:t>
      </w:r>
    </w:p>
    <w:p w:rsidR="00BB2095" w:rsidRPr="005A0A8A" w:rsidP="00214364" w14:paraId="42221FDD" w14:textId="77777777">
      <w:pPr>
        <w:pStyle w:val="ListParagraph"/>
        <w:numPr>
          <w:ilvl w:val="0"/>
          <w:numId w:val="5"/>
        </w:numPr>
        <w:spacing w:before="0"/>
        <w:ind w:left="709" w:hanging="283"/>
        <w:contextualSpacing w:val="0"/>
        <w:rPr>
          <w:rFonts w:ascii="Candara" w:hAnsi="Candara"/>
          <w:sz w:val="22"/>
        </w:rPr>
      </w:pPr>
      <w:r w:rsidRPr="005A0A8A">
        <w:rPr>
          <w:rFonts w:ascii="Candara" w:hAnsi="Candara"/>
          <w:color w:val="C00000"/>
          <w:sz w:val="22"/>
        </w:rPr>
        <w:t xml:space="preserve">Nišas produktu attīstība. </w:t>
      </w:r>
      <w:r w:rsidRPr="005A0A8A">
        <w:rPr>
          <w:rFonts w:ascii="Candara" w:hAnsi="Candara"/>
          <w:sz w:val="22"/>
        </w:rPr>
        <w:t xml:space="preserve">Latvijas rūpniecības uzņēmumi nevar konkurēt masu produkcijas ražošanā. Latvijas ekonomikas mērogam ir raksturīgas nelielas kompānijas. Tās </w:t>
      </w:r>
      <w:r w:rsidRPr="005A0A8A">
        <w:rPr>
          <w:rFonts w:ascii="Candara" w:hAnsi="Candara"/>
          <w:sz w:val="22"/>
          <w:u w:val="single"/>
        </w:rPr>
        <w:t>specifika ir nišas produkti</w:t>
      </w:r>
      <w:r w:rsidRPr="005A0A8A">
        <w:rPr>
          <w:rFonts w:ascii="Candara" w:hAnsi="Candara"/>
          <w:sz w:val="22"/>
        </w:rPr>
        <w:t>. Nišas produkts – unikāls produkts (ar specifikām lietošanas īpašībām, kas atbilst noteiktai patērētāju grupai), kam nav liels pieprasījums (tā nav masu produkcija), bet to iespējams ražot un realizēt pietiekošā daudzumā, lai gūtu peļņu. Nišas produktu gadījumā konkurences priekšrocības saistītas ar to, ka lielās kompānijas nav ieinteresētas ražot šādus produktus ierobežotā pieprasījuma dēļ.</w:t>
      </w:r>
    </w:p>
    <w:p w:rsidR="00BB2095" w:rsidRPr="005A0A8A" w:rsidP="00214364" w14:paraId="322D464A" w14:textId="77777777">
      <w:pPr>
        <w:spacing w:after="0" w:line="240" w:lineRule="auto"/>
        <w:ind w:firstLine="426"/>
        <w:jc w:val="both"/>
        <w:rPr>
          <w:rFonts w:ascii="Candara" w:hAnsi="Candara" w:cs="Times New Roman"/>
          <w:b/>
        </w:rPr>
      </w:pPr>
    </w:p>
    <w:p w:rsidR="00BB2095" w:rsidRPr="005A0A8A" w:rsidP="00214364" w14:paraId="0DEE5908" w14:textId="77777777">
      <w:pPr>
        <w:spacing w:after="0" w:line="240" w:lineRule="auto"/>
        <w:ind w:firstLine="426"/>
        <w:jc w:val="both"/>
        <w:rPr>
          <w:rFonts w:ascii="Candara" w:hAnsi="Candara" w:cs="Times New Roman"/>
        </w:rPr>
      </w:pPr>
      <w:r>
        <w:rPr>
          <w:rFonts w:ascii="Candara" w:hAnsi="Candara" w:cs="Times New Roman"/>
        </w:rPr>
        <w:t>V</w:t>
      </w:r>
      <w:r w:rsidRPr="005A0A8A">
        <w:rPr>
          <w:rFonts w:ascii="Candara" w:hAnsi="Candara" w:cs="Times New Roman"/>
        </w:rPr>
        <w:t xml:space="preserve">alsts </w:t>
      </w:r>
      <w:r w:rsidR="00E33F68">
        <w:rPr>
          <w:rFonts w:ascii="Candara" w:hAnsi="Candara" w:cs="Times New Roman"/>
        </w:rPr>
        <w:t xml:space="preserve">investīciju un </w:t>
      </w:r>
      <w:r w:rsidRPr="005A0A8A">
        <w:rPr>
          <w:rFonts w:ascii="Candara" w:hAnsi="Candara" w:cs="Times New Roman"/>
        </w:rPr>
        <w:t>atbalsta uzdevums ir mazināt transformācijas izdevumus pārsvarā ar kvalitatīviem sabiedriskiem pakalpojumiem un nodrošināt veicinošu biznesa vidi.</w:t>
      </w:r>
    </w:p>
    <w:p w:rsidR="00BB2095" w:rsidP="00214364" w14:paraId="0BDA3AB6" w14:textId="77777777">
      <w:pPr>
        <w:spacing w:after="0" w:line="240" w:lineRule="auto"/>
        <w:ind w:firstLine="426"/>
        <w:jc w:val="both"/>
        <w:rPr>
          <w:rFonts w:ascii="Candara" w:hAnsi="Candara" w:cs="Times New Roman"/>
        </w:rPr>
      </w:pPr>
      <w:r w:rsidRPr="005A0A8A">
        <w:rPr>
          <w:rFonts w:ascii="Candara" w:hAnsi="Candara" w:cs="Times New Roman"/>
        </w:rPr>
        <w:t>Transformācijas izaicinājumi maina tradicionālo biznesa modeli, kā pamatā jābūt vismaz vidēja termiņa biznesa stratēģijai un tam jābalstās ekselentā biznesa vidē, kur galvenais elements ir savstarpēja uzticēšanās starp ekonomikas subjektiem (starp uzņēmējiem, starp valsts institūcijām un uzņēmējiem, darba devējiem un ņēmējiem). To veido likumdošana un atbilstošās va</w:t>
      </w:r>
      <w:r>
        <w:rPr>
          <w:rFonts w:ascii="Candara" w:hAnsi="Candara" w:cs="Times New Roman"/>
        </w:rPr>
        <w:t>lsts un pašvaldību institūcijas.</w:t>
      </w:r>
    </w:p>
    <w:p w:rsidR="00133F91" w:rsidRPr="00A525F5" w:rsidP="00BB2095" w14:paraId="4E0B1170" w14:textId="77777777">
      <w:pPr>
        <w:rPr>
          <w:rFonts w:ascii="Candara" w:hAnsi="Candara" w:cs="Times New Roman"/>
        </w:rPr>
        <w:sectPr w:rsidSect="00FB3AFD">
          <w:type w:val="continuous"/>
          <w:pgSz w:w="11906" w:h="16838"/>
          <w:pgMar w:top="1134" w:right="849" w:bottom="1134" w:left="1134" w:header="425" w:footer="193" w:gutter="0"/>
          <w:cols w:space="708"/>
          <w:titlePg/>
          <w:docGrid w:linePitch="360"/>
        </w:sectPr>
      </w:pPr>
    </w:p>
    <w:p w:rsidR="00DF2882" w:rsidP="00DF2882" w14:paraId="19A8CDCE" w14:textId="77777777">
      <w:pPr>
        <w:pStyle w:val="Heading1"/>
        <w:shd w:val="clear" w:color="auto" w:fill="6D1D6A" w:themeFill="accent1" w:themeFillShade="BF"/>
        <w:spacing w:before="0" w:line="240" w:lineRule="auto"/>
        <w:rPr>
          <w:rFonts w:ascii="Candara" w:eastAsia="Times New Roman" w:hAnsi="Candara"/>
          <w:b/>
          <w:color w:val="FFFFFF" w:themeColor="background1"/>
          <w:lang w:eastAsia="lv-LV"/>
        </w:rPr>
      </w:pPr>
      <w:bookmarkStart w:id="25" w:name="_Toc483604193"/>
      <w:bookmarkStart w:id="26" w:name="_Toc480993956"/>
      <w:bookmarkStart w:id="27" w:name="_Toc483926348"/>
      <w:bookmarkStart w:id="28" w:name="_Toc483926372"/>
      <w:bookmarkStart w:id="29" w:name="_Toc483926449"/>
      <w:bookmarkStart w:id="30" w:name="_Toc483926563"/>
      <w:bookmarkStart w:id="31" w:name="_Toc483927852"/>
      <w:bookmarkStart w:id="32" w:name="_Toc483928367"/>
      <w:bookmarkStart w:id="33" w:name="_Toc484445192"/>
      <w:bookmarkStart w:id="34" w:name="_Toc256000008"/>
      <w:bookmarkStart w:id="35" w:name="_Toc256000024"/>
      <w:r>
        <w:rPr>
          <w:rFonts w:ascii="Candara" w:eastAsia="Times New Roman" w:hAnsi="Candara"/>
          <w:b/>
          <w:color w:val="FFFFFF" w:themeColor="background1"/>
          <w:lang w:eastAsia="lv-LV"/>
        </w:rPr>
        <w:t xml:space="preserve">6. </w:t>
      </w:r>
      <w:r>
        <w:rPr>
          <w:rFonts w:ascii="Candara" w:eastAsia="Times New Roman" w:hAnsi="Candara"/>
          <w:b/>
          <w:color w:val="FFFFFF" w:themeColor="background1"/>
          <w:lang w:eastAsia="lv-LV"/>
        </w:rPr>
        <w:t>RIS3 MONITORINGA IETVARS</w:t>
      </w:r>
      <w:bookmarkEnd w:id="35"/>
      <w:bookmarkEnd w:id="34"/>
      <w:bookmarkEnd w:id="25"/>
      <w:bookmarkEnd w:id="26"/>
      <w:bookmarkEnd w:id="27"/>
      <w:bookmarkEnd w:id="28"/>
      <w:bookmarkEnd w:id="29"/>
      <w:bookmarkEnd w:id="30"/>
      <w:bookmarkEnd w:id="31"/>
      <w:bookmarkEnd w:id="32"/>
      <w:bookmarkEnd w:id="33"/>
    </w:p>
    <w:p w:rsidR="00DF2882" w:rsidP="00DF2882" w14:paraId="7BEC22B0" w14:textId="77777777">
      <w:pPr>
        <w:rPr>
          <w:rFonts w:ascii="Times New Roman" w:eastAsia="Times New Roman" w:hAnsi="Times New Roman" w:cs="Times New Roman"/>
          <w:b/>
          <w:bCs/>
          <w:sz w:val="24"/>
          <w:szCs w:val="24"/>
          <w:lang w:eastAsia="lv-LV"/>
        </w:rPr>
      </w:pPr>
      <w:r>
        <w:rPr>
          <w:noProof/>
          <w:lang w:eastAsia="lv-LV"/>
        </w:rPr>
        <w:drawing>
          <wp:anchor distT="0" distB="0" distL="114300" distR="114300" simplePos="0" relativeHeight="251774976" behindDoc="0" locked="0" layoutInCell="1" allowOverlap="1">
            <wp:simplePos x="0" y="0"/>
            <wp:positionH relativeFrom="column">
              <wp:posOffset>394335</wp:posOffset>
            </wp:positionH>
            <wp:positionV relativeFrom="paragraph">
              <wp:posOffset>343535</wp:posOffset>
            </wp:positionV>
            <wp:extent cx="2115820" cy="192405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81584" name="Picture 2"/>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5820" cy="19240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lv-LV"/>
        </w:rPr>
        <mc:AlternateContent>
          <mc:Choice Requires="wpg">
            <w:drawing>
              <wp:anchor distT="0" distB="0" distL="114300" distR="114300" simplePos="0" relativeHeight="251777024" behindDoc="0" locked="0" layoutInCell="1" allowOverlap="1">
                <wp:simplePos x="0" y="0"/>
                <wp:positionH relativeFrom="column">
                  <wp:posOffset>454660</wp:posOffset>
                </wp:positionH>
                <wp:positionV relativeFrom="paragraph">
                  <wp:posOffset>126365</wp:posOffset>
                </wp:positionV>
                <wp:extent cx="8256905" cy="6271895"/>
                <wp:effectExtent l="209550" t="38100" r="0" b="128905"/>
                <wp:wrapNone/>
                <wp:docPr id="413" name="Group 413"/>
                <wp:cNvGraphicFramePr/>
                <a:graphic xmlns:a="http://schemas.openxmlformats.org/drawingml/2006/main">
                  <a:graphicData uri="http://schemas.microsoft.com/office/word/2010/wordprocessingGroup">
                    <wpg:wgp xmlns:wpg="http://schemas.microsoft.com/office/word/2010/wordprocessingGroup">
                      <wpg:cNvGrpSpPr/>
                      <wpg:grpSpPr>
                        <a:xfrm>
                          <a:off x="0" y="0"/>
                          <a:ext cx="8256905" cy="6271895"/>
                          <a:chOff x="0" y="0"/>
                          <a:chExt cx="8256678" cy="6272029"/>
                        </a:xfrm>
                      </wpg:grpSpPr>
                      <wps:wsp xmlns:wps="http://schemas.microsoft.com/office/word/2010/wordprocessingShape">
                        <wps:cNvPr id="425" name="Oval 425"/>
                        <wps:cNvSpPr/>
                        <wps:spPr>
                          <a:xfrm>
                            <a:off x="177421" y="0"/>
                            <a:ext cx="8079257" cy="6272029"/>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426" name="Oval 426"/>
                        <wps:cNvSpPr/>
                        <wps:spPr>
                          <a:xfrm>
                            <a:off x="627797" y="423080"/>
                            <a:ext cx="7083188" cy="540451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427" name="L-Shape 427"/>
                        <wps:cNvSpPr/>
                        <wps:spPr>
                          <a:xfrm rot="12124331">
                            <a:off x="1801505" y="204716"/>
                            <a:ext cx="839566" cy="956058"/>
                          </a:xfrm>
                          <a:prstGeom prst="corner">
                            <a:avLst>
                              <a:gd name="adj1" fmla="val 35046"/>
                              <a:gd name="adj2" fmla="val 3504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428" name="L-Shape 428"/>
                        <wps:cNvSpPr/>
                        <wps:spPr>
                          <a:xfrm rot="15518276">
                            <a:off x="5343099" y="-6824"/>
                            <a:ext cx="839566" cy="956058"/>
                          </a:xfrm>
                          <a:prstGeom prst="corner">
                            <a:avLst>
                              <a:gd name="adj1" fmla="val 35046"/>
                              <a:gd name="adj2" fmla="val 3504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429" name="L-Shape 429"/>
                        <wps:cNvSpPr/>
                        <wps:spPr>
                          <a:xfrm rot="21202911">
                            <a:off x="7014949" y="3998794"/>
                            <a:ext cx="839470" cy="955675"/>
                          </a:xfrm>
                          <a:prstGeom prst="corner">
                            <a:avLst>
                              <a:gd name="adj1" fmla="val 35046"/>
                              <a:gd name="adj2" fmla="val 3504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430" name="L-Shape 430"/>
                        <wps:cNvSpPr/>
                        <wps:spPr>
                          <a:xfrm rot="1753302">
                            <a:off x="5404514" y="5295331"/>
                            <a:ext cx="839470" cy="955675"/>
                          </a:xfrm>
                          <a:prstGeom prst="corner">
                            <a:avLst>
                              <a:gd name="adj1" fmla="val 35046"/>
                              <a:gd name="adj2" fmla="val 3504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431" name="L-Shape 431"/>
                        <wps:cNvSpPr/>
                        <wps:spPr>
                          <a:xfrm rot="5692669">
                            <a:off x="580030" y="4183039"/>
                            <a:ext cx="839470" cy="955675"/>
                          </a:xfrm>
                          <a:prstGeom prst="corner">
                            <a:avLst>
                              <a:gd name="adj1" fmla="val 35046"/>
                              <a:gd name="adj2" fmla="val 3504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432" name="L-Shape 432"/>
                        <wps:cNvSpPr/>
                        <wps:spPr>
                          <a:xfrm rot="8409932">
                            <a:off x="0" y="2647665"/>
                            <a:ext cx="839470" cy="955675"/>
                          </a:xfrm>
                          <a:prstGeom prst="corner">
                            <a:avLst>
                              <a:gd name="adj1" fmla="val 35046"/>
                              <a:gd name="adj2" fmla="val 35046"/>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413" o:spid="_x0000_s1135" style="width:650.15pt;height:493.85pt;margin-top:9.95pt;margin-left:35.8pt;position:absolute;z-index:251778048" coordsize="82566,62720">
                <v:oval id="Oval 425" o:spid="_x0000_s1136" style="width:80792;height:62720;left:1774;mso-wrap-style:square;position:absolute;visibility:visible;v-text-anchor:middle" fillcolor="#d8d8d8" stroked="f" strokeweight="1pt">
                  <v:stroke joinstyle="miter"/>
                </v:oval>
                <v:oval id="Oval 426" o:spid="_x0000_s1137" style="width:70832;height:54045;left:6277;mso-wrap-style:square;position:absolute;top:4230;visibility:visible;v-text-anchor:middle" fillcolor="white" stroked="f" strokeweight="1pt">
                  <v:stroke joinstyle="miter"/>
                </v:oval>
                <v:shape id="L-Shape 427" o:spid="_x0000_s1138" style="width:8395;height:9560;left:18015;mso-wrap-style:square;position:absolute;rotation:-10349957fd;top:2047;visibility:visible;v-text-anchor:middle" coordsize="839566,956058" path="m,l294234,l294234,661824l839566,661824l839566,956058l,956058,,xe" fillcolor="#d8d8d8" stroked="f" strokeweight="1pt">
                  <v:stroke joinstyle="miter"/>
                  <v:path arrowok="t" o:connecttype="custom" o:connectlocs="0,0;294234,0;294234,661824;839566,661824;839566,956058;0,956058;0,0" o:connectangles="0,0,0,0,0,0,0"/>
                </v:shape>
                <v:shape id="L-Shape 428" o:spid="_x0000_s1139" style="width:8395;height:9561;left:53431;mso-wrap-style:square;position:absolute;rotation:-6642864fd;top:-69;visibility:visible;v-text-anchor:middle" coordsize="839566,956058" path="m,l294234,l294234,661824l839566,661824l839566,956058l,956058,,xe" fillcolor="#d8d8d8" stroked="f" strokeweight="1pt">
                  <v:stroke joinstyle="miter"/>
                  <v:path arrowok="t" o:connecttype="custom" o:connectlocs="0,0;294234,0;294234,661824;839566,661824;839566,956058;0,956058;0,0" o:connectangles="0,0,0,0,0,0,0"/>
                </v:shape>
                <v:shape id="L-Shape 429" o:spid="_x0000_s1140" style="width:8395;height:9557;left:70149;mso-wrap-style:square;position:absolute;rotation:-433727fd;top:39987;visibility:visible;v-text-anchor:middle" coordsize="839470,955675" path="m,l294201,l294201,661474l839470,661474l839470,955675l,955675,,xe" fillcolor="#d8d8d8" stroked="f" strokeweight="1pt">
                  <v:stroke joinstyle="miter"/>
                  <v:path arrowok="t" o:connecttype="custom" o:connectlocs="0,0;294201,0;294201,661474;839470,661474;839470,955675;0,955675;0,0" o:connectangles="0,0,0,0,0,0,0"/>
                </v:shape>
                <v:shape id="L-Shape 430" o:spid="_x0000_s1141" style="width:8394;height:9557;left:54045;mso-wrap-style:square;position:absolute;rotation:1915073fd;top:52953;visibility:visible;v-text-anchor:middle" coordsize="839470,955675" path="m,l294201,l294201,661474l839470,661474l839470,955675l,955675,,xe" fillcolor="#d8d8d8" stroked="f" strokeweight="1pt">
                  <v:stroke joinstyle="miter"/>
                  <v:path arrowok="t" o:connecttype="custom" o:connectlocs="0,0;294201,0;294201,661474;839470,661474;839470,955675;0,955675;0,0" o:connectangles="0,0,0,0,0,0,0"/>
                </v:shape>
                <v:shape id="L-Shape 431" o:spid="_x0000_s1142" style="width:8395;height:9557;left:5800;mso-wrap-style:square;position:absolute;rotation:6217913fd;top:41830;visibility:visible;v-text-anchor:middle" coordsize="839470,955675" path="m,l294201,l294201,661474l839470,661474l839470,955675l,955675,,xe" fillcolor="#d8d8d8" stroked="f" strokeweight="1pt">
                  <v:stroke joinstyle="miter"/>
                  <v:path arrowok="t" o:connecttype="custom" o:connectlocs="0,0;294201,0;294201,661474;839470,661474;839470,955675;0,955675;0,0" o:connectangles="0,0,0,0,0,0,0"/>
                </v:shape>
                <v:shape id="L-Shape 432" o:spid="_x0000_s1143" style="width:8394;height:9557;mso-wrap-style:square;position:absolute;rotation:9185888fd;top:26476;visibility:visible;v-text-anchor:middle" coordsize="839470,955675" path="m,l294201,l294201,661474l839470,661474l839470,955675l,955675,,xe" fillcolor="#d8d8d8" stroked="f" strokeweight="1pt">
                  <v:stroke joinstyle="miter"/>
                  <v:path arrowok="t" o:connecttype="custom" o:connectlocs="0,0;294201,0;294201,661474;839470,661474;839470,955675;0,955675;0,0" o:connectangles="0,0,0,0,0,0,0"/>
                </v:shape>
              </v:group>
            </w:pict>
          </mc:Fallback>
        </mc:AlternateContent>
      </w:r>
      <w:r>
        <w:rPr>
          <w:noProof/>
          <w:lang w:eastAsia="lv-LV"/>
        </w:rPr>
        <mc:AlternateContent>
          <mc:Choice Requires="wpg">
            <w:drawing>
              <wp:anchor distT="0" distB="0" distL="114300" distR="114300" simplePos="0" relativeHeight="251779072" behindDoc="0" locked="0" layoutInCell="1" allowOverlap="1">
                <wp:simplePos x="0" y="0"/>
                <wp:positionH relativeFrom="column">
                  <wp:posOffset>6366510</wp:posOffset>
                </wp:positionH>
                <wp:positionV relativeFrom="paragraph">
                  <wp:posOffset>99060</wp:posOffset>
                </wp:positionV>
                <wp:extent cx="2962275" cy="4284980"/>
                <wp:effectExtent l="0" t="0" r="28575" b="20320"/>
                <wp:wrapNone/>
                <wp:docPr id="412" name="Group 412"/>
                <wp:cNvGraphicFramePr/>
                <a:graphic xmlns:a="http://schemas.openxmlformats.org/drawingml/2006/main">
                  <a:graphicData uri="http://schemas.microsoft.com/office/word/2010/wordprocessingGroup">
                    <wpg:wgp xmlns:wpg="http://schemas.microsoft.com/office/word/2010/wordprocessingGroup">
                      <wpg:cNvGrpSpPr/>
                      <wpg:grpSpPr>
                        <a:xfrm>
                          <a:off x="0" y="0"/>
                          <a:ext cx="2962275" cy="4284980"/>
                          <a:chOff x="0" y="0"/>
                          <a:chExt cx="29626" cy="42859"/>
                        </a:xfrm>
                      </wpg:grpSpPr>
                      <wps:wsp xmlns:wps="http://schemas.microsoft.com/office/word/2010/wordprocessingShape">
                        <wps:cNvPr id="421" name="Text Box 307"/>
                        <wps:cNvSpPr txBox="1">
                          <a:spLocks noChangeArrowheads="1"/>
                        </wps:cNvSpPr>
                        <wps:spPr bwMode="auto">
                          <a:xfrm>
                            <a:off x="0" y="0"/>
                            <a:ext cx="29626" cy="7534"/>
                          </a:xfrm>
                          <a:prstGeom prst="rect">
                            <a:avLst/>
                          </a:prstGeom>
                          <a:solidFill>
                            <a:srgbClr val="FFFFFF"/>
                          </a:solidFill>
                          <a:ln w="12700">
                            <a:solidFill>
                              <a:schemeClr val="accent3">
                                <a:lumMod val="75000"/>
                                <a:lumOff val="0"/>
                              </a:schemeClr>
                            </a:solidFill>
                            <a:prstDash val="sysDash"/>
                            <a:miter lim="800000"/>
                            <a:headEnd/>
                            <a:tailEnd/>
                          </a:ln>
                        </wps:spPr>
                        <wps:txbx>
                          <w:txbxContent>
                            <w:p w:rsidR="00B55C40" w:rsidP="00DF2882" w14:textId="77777777">
                              <w:pPr>
                                <w:spacing w:after="0" w:line="240" w:lineRule="auto"/>
                                <w:rPr>
                                  <w:rFonts w:ascii="Arial Narrow" w:hAnsi="Arial Narrow"/>
                                  <w:sz w:val="12"/>
                                  <w:szCs w:val="12"/>
                                </w:rPr>
                              </w:pPr>
                              <w:r>
                                <w:rPr>
                                  <w:rFonts w:ascii="Arial Narrow" w:hAnsi="Arial Narrow"/>
                                  <w:b/>
                                  <w:sz w:val="14"/>
                                  <w:szCs w:val="12"/>
                                </w:rPr>
                                <w:t>RIS3 virsmērķi</w:t>
                              </w:r>
                              <w:r>
                                <w:rPr>
                                  <w:rFonts w:ascii="Arial Narrow" w:hAnsi="Arial Narrow"/>
                                  <w:sz w:val="14"/>
                                  <w:szCs w:val="12"/>
                                </w:rPr>
                                <w:t xml:space="preserve"> </w:t>
                              </w:r>
                              <w:r>
                                <w:rPr>
                                  <w:rFonts w:ascii="Arial Narrow" w:hAnsi="Arial Narrow"/>
                                  <w:sz w:val="12"/>
                                  <w:szCs w:val="12"/>
                                </w:rPr>
                                <w:t>(vērtē īstenoto programmu ietekmi uz rādītāju izmaiņām programmu ex-post izvērtējumu ietvaros):</w:t>
                              </w:r>
                            </w:p>
                            <w:tbl>
                              <w:tblPr>
                                <w:tblStyle w:val="TableGrid"/>
                                <w:tblW w:w="5000" w:type="pct"/>
                                <w:tblLook w:val="04A0"/>
                              </w:tblPr>
                              <w:tblGrid>
                                <w:gridCol w:w="2195"/>
                                <w:gridCol w:w="906"/>
                                <w:gridCol w:w="570"/>
                                <w:gridCol w:w="676"/>
                              </w:tblGrid>
                              <w:tr w14:paraId="1BF5570D" w14:textId="77777777">
                                <w:tblPrEx>
                                  <w:tblW w:w="5000" w:type="pct"/>
                                  <w:tblLook w:val="04A0"/>
                                </w:tblPrEx>
                                <w:tc>
                                  <w:tcPr>
                                    <w:tcW w:w="2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55C40" w14:textId="77777777">
                                    <w:pPr>
                                      <w:rPr>
                                        <w:rFonts w:ascii="Arial Narrow" w:hAnsi="Arial Narrow"/>
                                        <w:sz w:val="12"/>
                                        <w:szCs w:val="12"/>
                                      </w:rPr>
                                    </w:pPr>
                                  </w:p>
                                </w:tc>
                                <w:tc>
                                  <w:tcPr>
                                    <w:tcW w:w="104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5C40" w14:textId="77777777">
                                    <w:pPr>
                                      <w:ind w:left="-154" w:right="-112"/>
                                      <w:jc w:val="center"/>
                                      <w:rPr>
                                        <w:rFonts w:ascii="Arial Narrow" w:hAnsi="Arial Narrow"/>
                                        <w:b/>
                                        <w:sz w:val="12"/>
                                        <w:szCs w:val="12"/>
                                      </w:rPr>
                                    </w:pPr>
                                    <w:r>
                                      <w:rPr>
                                        <w:rFonts w:ascii="Arial Narrow" w:hAnsi="Arial Narrow"/>
                                        <w:b/>
                                        <w:sz w:val="12"/>
                                        <w:szCs w:val="12"/>
                                      </w:rPr>
                                      <w:t>Bāze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5C40" w14:textId="77777777">
                                    <w:pPr>
                                      <w:ind w:left="-154" w:right="-112"/>
                                      <w:jc w:val="center"/>
                                      <w:rPr>
                                        <w:rFonts w:ascii="Arial Narrow" w:hAnsi="Arial Narrow"/>
                                        <w:b/>
                                        <w:sz w:val="12"/>
                                        <w:szCs w:val="12"/>
                                      </w:rPr>
                                    </w:pPr>
                                    <w:r>
                                      <w:rPr>
                                        <w:rFonts w:ascii="Arial Narrow" w:hAnsi="Arial Narrow"/>
                                        <w:b/>
                                        <w:sz w:val="12"/>
                                        <w:szCs w:val="12"/>
                                      </w:rPr>
                                      <w:t>2017</w:t>
                                    </w:r>
                                  </w:p>
                                </w:tc>
                                <w:tc>
                                  <w:tcPr>
                                    <w:tcW w:w="77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5C40" w14:textId="77777777">
                                    <w:pPr>
                                      <w:ind w:left="-154" w:right="-112"/>
                                      <w:jc w:val="center"/>
                                      <w:rPr>
                                        <w:rFonts w:ascii="Arial Narrow" w:hAnsi="Arial Narrow"/>
                                        <w:b/>
                                        <w:sz w:val="12"/>
                                        <w:szCs w:val="12"/>
                                      </w:rPr>
                                    </w:pPr>
                                    <w:r>
                                      <w:rPr>
                                        <w:rFonts w:ascii="Arial Narrow" w:hAnsi="Arial Narrow"/>
                                        <w:b/>
                                        <w:sz w:val="12"/>
                                        <w:szCs w:val="12"/>
                                      </w:rPr>
                                      <w:t>2020</w:t>
                                    </w:r>
                                  </w:p>
                                </w:tc>
                              </w:tr>
                              <w:tr w14:paraId="6E72C2C9" w14:textId="77777777">
                                <w:tblPrEx>
                                  <w:tblW w:w="5000" w:type="pct"/>
                                  <w:tblLook w:val="04A0"/>
                                </w:tblPrEx>
                                <w:tc>
                                  <w:tcPr>
                                    <w:tcW w:w="2524"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sz w:val="12"/>
                                        <w:szCs w:val="12"/>
                                      </w:rPr>
                                      <w:t>Ieguldījumi R&amp;D (%  no IKP)</w:t>
                                    </w:r>
                                  </w:p>
                                </w:tc>
                                <w:tc>
                                  <w:tcPr>
                                    <w:tcW w:w="1042"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sz w:val="12"/>
                                        <w:szCs w:val="12"/>
                                      </w:rPr>
                                      <w:t>0,6 (2013)</w:t>
                                    </w:r>
                                  </w:p>
                                </w:tc>
                                <w:tc>
                                  <w:tcPr>
                                    <w:tcW w:w="656"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sz w:val="12"/>
                                        <w:szCs w:val="12"/>
                                      </w:rPr>
                                      <w:t>1,2</w:t>
                                    </w:r>
                                  </w:p>
                                </w:tc>
                                <w:tc>
                                  <w:tcPr>
                                    <w:tcW w:w="777"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sz w:val="12"/>
                                        <w:szCs w:val="12"/>
                                      </w:rPr>
                                      <w:t>1,5</w:t>
                                    </w:r>
                                  </w:p>
                                </w:tc>
                              </w:tr>
                              <w:tr w14:paraId="283DBC8F" w14:textId="77777777">
                                <w:tblPrEx>
                                  <w:tblW w:w="5000" w:type="pct"/>
                                  <w:tblLook w:val="04A0"/>
                                </w:tblPrEx>
                                <w:tc>
                                  <w:tcPr>
                                    <w:tcW w:w="2524"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cs="Times New Roman"/>
                                        <w:sz w:val="12"/>
                                        <w:szCs w:val="12"/>
                                      </w:rPr>
                                      <w:t>Pozīcija Eiropas inovāciju rādītāju grupā</w:t>
                                    </w:r>
                                  </w:p>
                                </w:tc>
                                <w:tc>
                                  <w:tcPr>
                                    <w:tcW w:w="1042"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cs="Times New Roman"/>
                                        <w:sz w:val="12"/>
                                        <w:szCs w:val="12"/>
                                        <w:lang w:val="en-GB"/>
                                      </w:rPr>
                                      <w:t>Modest (2013)</w:t>
                                    </w:r>
                                  </w:p>
                                </w:tc>
                                <w:tc>
                                  <w:tcPr>
                                    <w:tcW w:w="656"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cs="Times New Roman"/>
                                        <w:sz w:val="12"/>
                                        <w:szCs w:val="12"/>
                                        <w:lang w:val="en-GB"/>
                                      </w:rPr>
                                      <w:t>modest</w:t>
                                    </w:r>
                                  </w:p>
                                </w:tc>
                                <w:tc>
                                  <w:tcPr>
                                    <w:tcW w:w="777"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cs="Times New Roman"/>
                                        <w:sz w:val="12"/>
                                        <w:szCs w:val="12"/>
                                        <w:lang w:val="en-GB"/>
                                      </w:rPr>
                                      <w:t>moderate</w:t>
                                    </w:r>
                                  </w:p>
                                </w:tc>
                              </w:tr>
                              <w:tr w14:paraId="3ECB85C1" w14:textId="77777777">
                                <w:tblPrEx>
                                  <w:tblW w:w="5000" w:type="pct"/>
                                  <w:tblLook w:val="04A0"/>
                                </w:tblPrEx>
                                <w:tc>
                                  <w:tcPr>
                                    <w:tcW w:w="2524"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sz w:val="12"/>
                                        <w:szCs w:val="12"/>
                                      </w:rPr>
                                      <w:t>Produktivit</w:t>
                                    </w:r>
                                    <w:r>
                                      <w:rPr>
                                        <w:rFonts w:ascii="Arial Narrow" w:hAnsi="Arial Narrow" w:cs="Times New Roman"/>
                                        <w:sz w:val="12"/>
                                        <w:szCs w:val="12"/>
                                      </w:rPr>
                                      <w:t>ā</w:t>
                                    </w:r>
                                    <w:r>
                                      <w:rPr>
                                        <w:rFonts w:ascii="Arial Narrow" w:hAnsi="Arial Narrow"/>
                                        <w:sz w:val="12"/>
                                        <w:szCs w:val="12"/>
                                      </w:rPr>
                                      <w:t>te apstr</w:t>
                                    </w:r>
                                    <w:r>
                                      <w:rPr>
                                        <w:rFonts w:ascii="Arial Narrow" w:hAnsi="Arial Narrow" w:cs="Times New Roman"/>
                                        <w:sz w:val="12"/>
                                        <w:szCs w:val="12"/>
                                      </w:rPr>
                                      <w:t>ā</w:t>
                                    </w:r>
                                    <w:r>
                                      <w:rPr>
                                        <w:rFonts w:ascii="Arial Narrow" w:hAnsi="Arial Narrow"/>
                                        <w:sz w:val="12"/>
                                        <w:szCs w:val="12"/>
                                      </w:rPr>
                                      <w:t>des r</w:t>
                                    </w:r>
                                    <w:r>
                                      <w:rPr>
                                        <w:rFonts w:ascii="Arial Narrow" w:hAnsi="Arial Narrow" w:cs="Times New Roman"/>
                                        <w:sz w:val="12"/>
                                        <w:szCs w:val="12"/>
                                      </w:rPr>
                                      <w:t>ū</w:t>
                                    </w:r>
                                    <w:r>
                                      <w:rPr>
                                        <w:rFonts w:ascii="Arial Narrow" w:hAnsi="Arial Narrow"/>
                                        <w:sz w:val="12"/>
                                        <w:szCs w:val="12"/>
                                      </w:rPr>
                                      <w:t>pniec</w:t>
                                    </w:r>
                                    <w:r>
                                      <w:rPr>
                                        <w:rFonts w:ascii="Arial Narrow" w:hAnsi="Arial Narrow" w:cs="Times New Roman"/>
                                        <w:sz w:val="12"/>
                                        <w:szCs w:val="12"/>
                                      </w:rPr>
                                      <w:t>ī</w:t>
                                    </w:r>
                                    <w:r>
                                      <w:rPr>
                                        <w:rFonts w:ascii="Arial Narrow" w:hAnsi="Arial Narrow"/>
                                        <w:sz w:val="12"/>
                                        <w:szCs w:val="12"/>
                                      </w:rPr>
                                      <w:t>b</w:t>
                                    </w:r>
                                    <w:r>
                                      <w:rPr>
                                        <w:rFonts w:ascii="Arial Narrow" w:hAnsi="Arial Narrow" w:cs="Times New Roman"/>
                                        <w:sz w:val="12"/>
                                        <w:szCs w:val="12"/>
                                      </w:rPr>
                                      <w:t>ā</w:t>
                                    </w:r>
                                    <w:r>
                                      <w:rPr>
                                        <w:rFonts w:ascii="Arial Narrow" w:hAnsi="Arial Narrow"/>
                                        <w:sz w:val="12"/>
                                        <w:szCs w:val="12"/>
                                      </w:rPr>
                                      <w:t xml:space="preserve"> </w:t>
                                    </w:r>
                                  </w:p>
                                </w:tc>
                                <w:tc>
                                  <w:tcPr>
                                    <w:tcW w:w="1042"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sz w:val="12"/>
                                        <w:szCs w:val="12"/>
                                      </w:rPr>
                                      <w:t>20 126 (2013)</w:t>
                                    </w:r>
                                  </w:p>
                                </w:tc>
                                <w:tc>
                                  <w:tcPr>
                                    <w:tcW w:w="656"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sz w:val="12"/>
                                        <w:szCs w:val="12"/>
                                      </w:rPr>
                                      <w:t>24 500</w:t>
                                    </w:r>
                                  </w:p>
                                </w:tc>
                                <w:tc>
                                  <w:tcPr>
                                    <w:tcW w:w="777" w:type="pct"/>
                                    <w:tcBorders>
                                      <w:top w:val="single" w:sz="4" w:space="0" w:color="auto"/>
                                      <w:left w:val="single" w:sz="4" w:space="0" w:color="auto"/>
                                      <w:bottom w:val="single" w:sz="4" w:space="0" w:color="auto"/>
                                      <w:right w:val="single" w:sz="4" w:space="0" w:color="auto"/>
                                    </w:tcBorders>
                                    <w:vAlign w:val="center"/>
                                    <w:hideMark/>
                                  </w:tcPr>
                                  <w:p w:rsidR="00B55C40" w14:textId="77777777">
                                    <w:pPr>
                                      <w:ind w:left="-154" w:right="-112"/>
                                      <w:jc w:val="center"/>
                                      <w:rPr>
                                        <w:rFonts w:ascii="Arial Narrow" w:hAnsi="Arial Narrow"/>
                                        <w:sz w:val="12"/>
                                        <w:szCs w:val="12"/>
                                      </w:rPr>
                                    </w:pPr>
                                    <w:r>
                                      <w:rPr>
                                        <w:rFonts w:ascii="Arial Narrow" w:hAnsi="Arial Narrow"/>
                                        <w:sz w:val="12"/>
                                        <w:szCs w:val="12"/>
                                      </w:rPr>
                                      <w:t>29 000</w:t>
                                    </w:r>
                                  </w:p>
                                </w:tc>
                              </w:tr>
                            </w:tbl>
                            <w:p w:rsidR="00B55C40" w:rsidP="00DF2882" w14:textId="77777777">
                              <w:pPr>
                                <w:rPr>
                                  <w:rFonts w:ascii="Arial Narrow" w:hAnsi="Arial Narrow"/>
                                  <w:sz w:val="12"/>
                                  <w:szCs w:val="12"/>
                                </w:rPr>
                              </w:pPr>
                            </w:p>
                          </w:txbxContent>
                        </wps:txbx>
                        <wps:bodyPr rot="0" vert="horz" wrap="square" anchor="t" anchorCtr="0" upright="1"/>
                      </wps:wsp>
                      <wps:wsp xmlns:wps="http://schemas.microsoft.com/office/word/2010/wordprocessingShape">
                        <wps:cNvPr id="422" name="Text Box 28"/>
                        <wps:cNvSpPr txBox="1">
                          <a:spLocks noChangeArrowheads="1"/>
                        </wps:cNvSpPr>
                        <wps:spPr bwMode="auto">
                          <a:xfrm>
                            <a:off x="0" y="7314"/>
                            <a:ext cx="29622" cy="14041"/>
                          </a:xfrm>
                          <a:prstGeom prst="rect">
                            <a:avLst/>
                          </a:prstGeom>
                          <a:solidFill>
                            <a:srgbClr val="FFFFFF"/>
                          </a:solidFill>
                          <a:ln w="12700">
                            <a:solidFill>
                              <a:schemeClr val="accent3">
                                <a:lumMod val="75000"/>
                                <a:lumOff val="0"/>
                              </a:schemeClr>
                            </a:solidFill>
                            <a:prstDash val="sysDash"/>
                            <a:miter lim="800000"/>
                            <a:headEnd/>
                            <a:tailEnd/>
                          </a:ln>
                        </wps:spPr>
                        <wps:txbx>
                          <w:txbxContent>
                            <w:p w:rsidR="00B55C40" w:rsidP="00DF2882" w14:textId="77777777">
                              <w:pPr>
                                <w:spacing w:after="0" w:line="240" w:lineRule="auto"/>
                                <w:rPr>
                                  <w:rFonts w:ascii="Arial Narrow" w:hAnsi="Arial Narrow" w:cs="Arial"/>
                                  <w:sz w:val="12"/>
                                  <w:szCs w:val="12"/>
                                </w:rPr>
                              </w:pPr>
                              <w:r>
                                <w:rPr>
                                  <w:rFonts w:ascii="Arial Narrow" w:hAnsi="Arial Narrow" w:cs="Arial"/>
                                  <w:b/>
                                  <w:sz w:val="14"/>
                                  <w:szCs w:val="12"/>
                                </w:rPr>
                                <w:t>Makro līmeņa rādītāji</w:t>
                              </w:r>
                              <w:r>
                                <w:rPr>
                                  <w:rFonts w:ascii="Arial Narrow" w:hAnsi="Arial Narrow" w:cs="Arial"/>
                                  <w:sz w:val="14"/>
                                  <w:szCs w:val="12"/>
                                </w:rPr>
                                <w:t xml:space="preserve"> </w:t>
                              </w:r>
                              <w:r>
                                <w:rPr>
                                  <w:rFonts w:ascii="Arial Narrow" w:hAnsi="Arial Narrow" w:cs="Arial"/>
                                  <w:sz w:val="12"/>
                                  <w:szCs w:val="12"/>
                                </w:rPr>
                                <w:t xml:space="preserve">(vērtē programmu ietekmi uz rādītāju izmaiņām </w:t>
                              </w:r>
                              <w:r>
                                <w:rPr>
                                  <w:rFonts w:ascii="Arial Narrow" w:hAnsi="Arial Narrow"/>
                                  <w:sz w:val="12"/>
                                  <w:szCs w:val="12"/>
                                </w:rPr>
                                <w:t>programmu</w:t>
                              </w:r>
                              <w:r>
                                <w:rPr>
                                  <w:rFonts w:ascii="Arial Narrow" w:hAnsi="Arial Narrow" w:cs="Arial"/>
                                  <w:sz w:val="12"/>
                                  <w:szCs w:val="12"/>
                                </w:rPr>
                                <w:t xml:space="preserve"> ex-post izvērtējumu ietvaros):</w:t>
                              </w:r>
                            </w:p>
                            <w:tbl>
                              <w:tblPr>
                                <w:tblStyle w:val="TableGrid"/>
                                <w:tblW w:w="4983" w:type="pct"/>
                                <w:tblLook w:val="04A0"/>
                              </w:tblPr>
                              <w:tblGrid>
                                <w:gridCol w:w="2455"/>
                                <w:gridCol w:w="810"/>
                                <w:gridCol w:w="521"/>
                                <w:gridCol w:w="114"/>
                                <w:gridCol w:w="431"/>
                              </w:tblGrid>
                              <w:tr w14:paraId="7112BB0F"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55C40" w14:textId="77777777">
                                    <w:pPr>
                                      <w:jc w:val="center"/>
                                      <w:rPr>
                                        <w:rFonts w:ascii="Arial Narrow" w:hAnsi="Arial Narrow" w:cs="Arial"/>
                                        <w:sz w:val="12"/>
                                        <w:szCs w:val="12"/>
                                      </w:rPr>
                                    </w:pPr>
                                  </w:p>
                                </w:tc>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5C40" w14:textId="77777777">
                                    <w:pPr>
                                      <w:ind w:left="-6" w:right="-83"/>
                                      <w:jc w:val="center"/>
                                      <w:rPr>
                                        <w:rFonts w:ascii="Arial Narrow" w:hAnsi="Arial Narrow" w:cs="Arial"/>
                                        <w:b/>
                                        <w:sz w:val="12"/>
                                        <w:szCs w:val="12"/>
                                      </w:rPr>
                                    </w:pPr>
                                    <w:r>
                                      <w:rPr>
                                        <w:rFonts w:ascii="Arial Narrow" w:hAnsi="Arial Narrow" w:cs="Arial"/>
                                        <w:b/>
                                        <w:sz w:val="12"/>
                                        <w:szCs w:val="12"/>
                                      </w:rPr>
                                      <w:t>Bāze</w:t>
                                    </w:r>
                                  </w:p>
                                </w:tc>
                                <w:tc>
                                  <w:tcPr>
                                    <w:tcW w:w="6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5C40" w14:textId="77777777">
                                    <w:pPr>
                                      <w:ind w:left="-6" w:right="-83"/>
                                      <w:jc w:val="center"/>
                                      <w:rPr>
                                        <w:rFonts w:ascii="Arial Narrow" w:hAnsi="Arial Narrow" w:cs="Arial"/>
                                        <w:b/>
                                        <w:sz w:val="12"/>
                                        <w:szCs w:val="12"/>
                                      </w:rPr>
                                    </w:pPr>
                                    <w:r>
                                      <w:rPr>
                                        <w:rFonts w:ascii="Arial Narrow" w:hAnsi="Arial Narrow" w:cs="Arial"/>
                                        <w:b/>
                                        <w:sz w:val="12"/>
                                        <w:szCs w:val="12"/>
                                      </w:rPr>
                                      <w:t>2017</w:t>
                                    </w:r>
                                  </w:p>
                                </w:tc>
                                <w:tc>
                                  <w:tcPr>
                                    <w:tcW w:w="62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5C40" w14:textId="77777777">
                                    <w:pPr>
                                      <w:ind w:left="-6" w:right="-83"/>
                                      <w:jc w:val="center"/>
                                      <w:rPr>
                                        <w:rFonts w:ascii="Arial Narrow" w:hAnsi="Arial Narrow" w:cs="Arial"/>
                                        <w:b/>
                                        <w:sz w:val="12"/>
                                        <w:szCs w:val="12"/>
                                      </w:rPr>
                                    </w:pPr>
                                    <w:r>
                                      <w:rPr>
                                        <w:rFonts w:ascii="Arial Narrow" w:hAnsi="Arial Narrow" w:cs="Arial"/>
                                        <w:b/>
                                        <w:sz w:val="12"/>
                                        <w:szCs w:val="12"/>
                                      </w:rPr>
                                      <w:t>2020</w:t>
                                    </w:r>
                                  </w:p>
                                </w:tc>
                              </w:tr>
                              <w:tr w14:paraId="4B7C9469" w14:textId="77777777">
                                <w:tblPrEx>
                                  <w:tblW w:w="4983" w:type="pct"/>
                                  <w:tblLook w:val="04A0"/>
                                </w:tblPrEx>
                                <w:trPr>
                                  <w:trHeight w:val="118"/>
                                </w:trPr>
                                <w:tc>
                                  <w:tcPr>
                                    <w:tcW w:w="2835"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cs="Times New Roman"/>
                                        <w:sz w:val="11"/>
                                        <w:szCs w:val="11"/>
                                      </w:rPr>
                                    </w:pPr>
                                    <w:r>
                                      <w:rPr>
                                        <w:rFonts w:ascii="Arial Narrow" w:hAnsi="Arial Narrow" w:cs="Times New Roman"/>
                                        <w:sz w:val="11"/>
                                        <w:szCs w:val="11"/>
                                      </w:rPr>
                                      <w:t>Privātā sektora investīcijas R&amp;D (%  no kopējiem ieguldījumiem)</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textId="77777777">
                                    <w:pPr>
                                      <w:pStyle w:val="TableText"/>
                                      <w:jc w:val="center"/>
                                      <w:rPr>
                                        <w:rFonts w:ascii="Arial Narrow" w:hAnsi="Arial Narrow"/>
                                        <w:sz w:val="11"/>
                                        <w:szCs w:val="11"/>
                                        <w:lang w:eastAsia="en-US"/>
                                      </w:rPr>
                                    </w:pPr>
                                    <w:r>
                                      <w:rPr>
                                        <w:rFonts w:ascii="Arial Narrow" w:hAnsi="Arial Narrow"/>
                                        <w:sz w:val="11"/>
                                        <w:szCs w:val="11"/>
                                        <w:lang w:eastAsia="en-US"/>
                                      </w:rPr>
                                      <w:t xml:space="preserve">21,8 </w:t>
                                    </w:r>
                                  </w:p>
                                  <w:p w:rsidR="00B55C40" w14:textId="77777777">
                                    <w:pPr>
                                      <w:pStyle w:val="TableText"/>
                                      <w:jc w:val="center"/>
                                      <w:rPr>
                                        <w:rFonts w:ascii="Arial Narrow" w:hAnsi="Arial Narrow"/>
                                        <w:sz w:val="11"/>
                                        <w:szCs w:val="11"/>
                                        <w:lang w:eastAsia="en-US"/>
                                      </w:rPr>
                                    </w:pPr>
                                    <w:r>
                                      <w:rPr>
                                        <w:rFonts w:ascii="Arial Narrow" w:hAnsi="Arial Narrow"/>
                                        <w:sz w:val="11"/>
                                        <w:szCs w:val="11"/>
                                        <w:lang w:eastAsia="en-US"/>
                                      </w:rPr>
                                      <w:t>(2013)</w:t>
                                    </w:r>
                                  </w:p>
                                </w:tc>
                                <w:tc>
                                  <w:tcPr>
                                    <w:tcW w:w="601" w:type="pct"/>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46</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48</w:t>
                                    </w:r>
                                  </w:p>
                                </w:tc>
                              </w:tr>
                              <w:tr w14:paraId="3F598DE6"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textId="77777777">
                                    <w:pPr>
                                      <w:pStyle w:val="TableText"/>
                                      <w:jc w:val="left"/>
                                      <w:rPr>
                                        <w:rFonts w:ascii="Arial Narrow" w:hAnsi="Arial Narrow"/>
                                        <w:sz w:val="11"/>
                                        <w:szCs w:val="11"/>
                                        <w:lang w:eastAsia="en-US"/>
                                      </w:rPr>
                                    </w:pPr>
                                    <w:r>
                                      <w:rPr>
                                        <w:rFonts w:ascii="Arial Narrow" w:hAnsi="Arial Narrow"/>
                                        <w:sz w:val="11"/>
                                        <w:szCs w:val="11"/>
                                        <w:lang w:eastAsia="en-US"/>
                                      </w:rPr>
                                      <w:t>Inovatīvo uzņēmumu īpatsvars (% no visiem uzņēmumiem)</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textId="77777777">
                                    <w:pPr>
                                      <w:pStyle w:val="TableText"/>
                                      <w:jc w:val="center"/>
                                      <w:rPr>
                                        <w:rFonts w:ascii="Arial Narrow" w:hAnsi="Arial Narrow"/>
                                        <w:sz w:val="11"/>
                                        <w:szCs w:val="11"/>
                                        <w:lang w:eastAsia="en-US"/>
                                      </w:rPr>
                                    </w:pPr>
                                    <w:r>
                                      <w:rPr>
                                        <w:rFonts w:ascii="Arial Narrow" w:hAnsi="Arial Narrow"/>
                                        <w:sz w:val="11"/>
                                        <w:szCs w:val="11"/>
                                        <w:lang w:eastAsia="en-US"/>
                                      </w:rPr>
                                      <w:t xml:space="preserve">30,4 </w:t>
                                    </w:r>
                                  </w:p>
                                  <w:p w:rsidR="00B55C40" w14:textId="77777777">
                                    <w:pPr>
                                      <w:pStyle w:val="TableText"/>
                                      <w:jc w:val="center"/>
                                      <w:rPr>
                                        <w:rFonts w:ascii="Arial Narrow" w:hAnsi="Arial Narrow"/>
                                        <w:sz w:val="11"/>
                                        <w:szCs w:val="11"/>
                                        <w:lang w:eastAsia="en-US"/>
                                      </w:rPr>
                                    </w:pPr>
                                    <w:r>
                                      <w:rPr>
                                        <w:rFonts w:ascii="Arial Narrow" w:hAnsi="Arial Narrow"/>
                                        <w:sz w:val="11"/>
                                        <w:szCs w:val="11"/>
                                        <w:lang w:eastAsia="en-US"/>
                                      </w:rPr>
                                      <w:t>(2012)</w:t>
                                    </w:r>
                                  </w:p>
                                </w:tc>
                                <w:tc>
                                  <w:tcPr>
                                    <w:tcW w:w="601" w:type="pct"/>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35</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40</w:t>
                                    </w:r>
                                  </w:p>
                                </w:tc>
                              </w:tr>
                              <w:tr w14:paraId="2A373B48"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cs="Times New Roman"/>
                                        <w:sz w:val="11"/>
                                        <w:szCs w:val="11"/>
                                      </w:rPr>
                                    </w:pPr>
                                    <w:r>
                                      <w:rPr>
                                        <w:rFonts w:ascii="Arial Narrow" w:hAnsi="Arial Narrow" w:cs="Times New Roman"/>
                                        <w:sz w:val="11"/>
                                        <w:szCs w:val="11"/>
                                      </w:rPr>
                                      <w:t>Augsto un vidēji augsto tehnoloģiju nozaru īpatsvars Latvijas preču eksportā (%)</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 xml:space="preserve">23,8 </w:t>
                                    </w:r>
                                  </w:p>
                                  <w:p w:rsidR="00B55C40" w14:textId="77777777">
                                    <w:pPr>
                                      <w:jc w:val="center"/>
                                      <w:rPr>
                                        <w:rFonts w:ascii="Arial Narrow" w:hAnsi="Arial Narrow" w:cs="Times New Roman"/>
                                        <w:sz w:val="11"/>
                                        <w:szCs w:val="11"/>
                                      </w:rPr>
                                    </w:pPr>
                                    <w:r>
                                      <w:rPr>
                                        <w:rFonts w:ascii="Arial Narrow" w:hAnsi="Arial Narrow" w:cs="Times New Roman"/>
                                        <w:sz w:val="11"/>
                                        <w:szCs w:val="11"/>
                                      </w:rPr>
                                      <w:t>(2012)</w:t>
                                    </w:r>
                                  </w:p>
                                </w:tc>
                                <w:tc>
                                  <w:tcPr>
                                    <w:tcW w:w="601" w:type="pct"/>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27</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31</w:t>
                                    </w:r>
                                  </w:p>
                                </w:tc>
                              </w:tr>
                              <w:tr w14:paraId="251CFE84"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cs="Times New Roman"/>
                                        <w:sz w:val="11"/>
                                        <w:szCs w:val="11"/>
                                      </w:rPr>
                                    </w:pPr>
                                    <w:r>
                                      <w:rPr>
                                        <w:rFonts w:ascii="Arial Narrow" w:hAnsi="Arial Narrow" w:cs="Times New Roman"/>
                                        <w:sz w:val="11"/>
                                        <w:szCs w:val="11"/>
                                      </w:rPr>
                                      <w:t>Zinātnisko darbinieku skaits pētniecībā un attīstībā (publiskajā, privātajā sektorā)</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 xml:space="preserve">5593 </w:t>
                                    </w:r>
                                  </w:p>
                                  <w:p w:rsidR="00B55C40" w14:textId="77777777">
                                    <w:pPr>
                                      <w:jc w:val="center"/>
                                      <w:rPr>
                                        <w:rFonts w:ascii="Arial Narrow" w:hAnsi="Arial Narrow" w:cs="Times New Roman"/>
                                        <w:sz w:val="11"/>
                                        <w:szCs w:val="11"/>
                                      </w:rPr>
                                    </w:pPr>
                                    <w:r>
                                      <w:rPr>
                                        <w:rFonts w:ascii="Arial Narrow" w:hAnsi="Arial Narrow" w:cs="Times New Roman"/>
                                        <w:sz w:val="11"/>
                                        <w:szCs w:val="11"/>
                                      </w:rPr>
                                      <w:t>(2013)</w:t>
                                    </w:r>
                                  </w:p>
                                </w:tc>
                                <w:tc>
                                  <w:tcPr>
                                    <w:tcW w:w="601" w:type="pct"/>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6300</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7000</w:t>
                                    </w:r>
                                  </w:p>
                                </w:tc>
                              </w:tr>
                              <w:tr w14:paraId="64B0505C"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textId="77777777">
                                    <w:pPr>
                                      <w:pStyle w:val="TableText"/>
                                      <w:jc w:val="left"/>
                                      <w:rPr>
                                        <w:rFonts w:ascii="Arial Narrow" w:hAnsi="Arial Narrow"/>
                                        <w:sz w:val="11"/>
                                        <w:szCs w:val="11"/>
                                        <w:lang w:eastAsia="en-US"/>
                                      </w:rPr>
                                    </w:pPr>
                                    <w:r>
                                      <w:rPr>
                                        <w:rFonts w:ascii="Arial Narrow" w:hAnsi="Arial Narrow"/>
                                        <w:sz w:val="11"/>
                                        <w:szCs w:val="11"/>
                                        <w:lang w:eastAsia="en-US"/>
                                      </w:rPr>
                                      <w:t>Mazāks skaits spēcīgāku valsts finansētu zinātnisko institūciju</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textId="77777777">
                                    <w:pPr>
                                      <w:pStyle w:val="TableText"/>
                                      <w:jc w:val="center"/>
                                      <w:rPr>
                                        <w:rFonts w:ascii="Arial Narrow" w:hAnsi="Arial Narrow"/>
                                        <w:sz w:val="11"/>
                                        <w:szCs w:val="11"/>
                                        <w:lang w:eastAsia="en-US"/>
                                      </w:rPr>
                                    </w:pPr>
                                    <w:r>
                                      <w:rPr>
                                        <w:rFonts w:ascii="Arial Narrow" w:hAnsi="Arial Narrow"/>
                                        <w:sz w:val="11"/>
                                        <w:szCs w:val="11"/>
                                        <w:lang w:eastAsia="en-US"/>
                                      </w:rPr>
                                      <w:t xml:space="preserve">42 </w:t>
                                    </w:r>
                                  </w:p>
                                  <w:p w:rsidR="00B55C40" w14:textId="77777777">
                                    <w:pPr>
                                      <w:pStyle w:val="TableText"/>
                                      <w:jc w:val="center"/>
                                      <w:rPr>
                                        <w:rFonts w:ascii="Arial Narrow" w:hAnsi="Arial Narrow"/>
                                        <w:sz w:val="11"/>
                                        <w:szCs w:val="11"/>
                                        <w:lang w:eastAsia="en-US"/>
                                      </w:rPr>
                                    </w:pPr>
                                    <w:r>
                                      <w:rPr>
                                        <w:rFonts w:ascii="Arial Narrow" w:hAnsi="Arial Narrow"/>
                                        <w:sz w:val="11"/>
                                        <w:szCs w:val="11"/>
                                        <w:lang w:eastAsia="en-US"/>
                                      </w:rPr>
                                      <w:t>(2013)</w:t>
                                    </w:r>
                                  </w:p>
                                </w:tc>
                                <w:tc>
                                  <w:tcPr>
                                    <w:tcW w:w="1230" w:type="pct"/>
                                    <w:gridSpan w:val="3"/>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30</w:t>
                                    </w:r>
                                  </w:p>
                                </w:tc>
                              </w:tr>
                              <w:tr w14:paraId="47D4AE4E"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textId="77777777">
                                    <w:pPr>
                                      <w:pStyle w:val="TableText"/>
                                      <w:jc w:val="left"/>
                                      <w:rPr>
                                        <w:rFonts w:ascii="Arial Narrow" w:hAnsi="Arial Narrow"/>
                                        <w:sz w:val="11"/>
                                        <w:szCs w:val="11"/>
                                        <w:lang w:eastAsia="en-US"/>
                                      </w:rPr>
                                    </w:pPr>
                                    <w:r>
                                      <w:rPr>
                                        <w:rFonts w:ascii="Arial Narrow" w:hAnsi="Arial Narrow"/>
                                        <w:sz w:val="11"/>
                                        <w:szCs w:val="11"/>
                                        <w:lang w:eastAsia="en-US"/>
                                      </w:rPr>
                                      <w:t xml:space="preserve">Absolventu (ISCED 5. un 6.) īpatsvars STEM jomās no kopējā absolventu skaita, % </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textId="77777777">
                                    <w:pPr>
                                      <w:pStyle w:val="TableText"/>
                                      <w:jc w:val="center"/>
                                      <w:rPr>
                                        <w:rFonts w:ascii="Arial Narrow" w:hAnsi="Arial Narrow"/>
                                        <w:sz w:val="11"/>
                                        <w:szCs w:val="11"/>
                                        <w:lang w:eastAsia="en-US"/>
                                      </w:rPr>
                                    </w:pPr>
                                    <w:r>
                                      <w:rPr>
                                        <w:rFonts w:ascii="Arial Narrow" w:hAnsi="Arial Narrow"/>
                                        <w:sz w:val="11"/>
                                        <w:szCs w:val="11"/>
                                        <w:lang w:eastAsia="en-US"/>
                                      </w:rPr>
                                      <w:t xml:space="preserve">19 </w:t>
                                    </w:r>
                                  </w:p>
                                  <w:p w:rsidR="00B55C40" w14:textId="77777777">
                                    <w:pPr>
                                      <w:pStyle w:val="TableText"/>
                                      <w:jc w:val="center"/>
                                      <w:rPr>
                                        <w:rFonts w:ascii="Arial Narrow" w:hAnsi="Arial Narrow"/>
                                        <w:sz w:val="11"/>
                                        <w:szCs w:val="11"/>
                                        <w:lang w:eastAsia="en-US"/>
                                      </w:rPr>
                                    </w:pPr>
                                    <w:r>
                                      <w:rPr>
                                        <w:rFonts w:ascii="Arial Narrow" w:hAnsi="Arial Narrow"/>
                                        <w:sz w:val="11"/>
                                        <w:szCs w:val="11"/>
                                        <w:lang w:eastAsia="en-US"/>
                                      </w:rPr>
                                      <w:t>(2012)</w:t>
                                    </w:r>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25</w:t>
                                    </w:r>
                                  </w:p>
                                </w:tc>
                                <w:tc>
                                  <w:tcPr>
                                    <w:tcW w:w="497" w:type="pct"/>
                                    <w:tcBorders>
                                      <w:top w:val="single" w:sz="4" w:space="0" w:color="auto"/>
                                      <w:left w:val="single" w:sz="4" w:space="0" w:color="auto"/>
                                      <w:bottom w:val="single" w:sz="4" w:space="0" w:color="auto"/>
                                      <w:right w:val="single" w:sz="4" w:space="0" w:color="auto"/>
                                    </w:tcBorders>
                                    <w:vAlign w:val="center"/>
                                    <w:hideMark/>
                                  </w:tcPr>
                                  <w:p w:rsidR="00B55C40" w14:textId="77777777">
                                    <w:pPr>
                                      <w:jc w:val="center"/>
                                      <w:rPr>
                                        <w:rFonts w:ascii="Arial Narrow" w:hAnsi="Arial Narrow" w:cs="Times New Roman"/>
                                        <w:sz w:val="11"/>
                                        <w:szCs w:val="11"/>
                                      </w:rPr>
                                    </w:pPr>
                                    <w:r>
                                      <w:rPr>
                                        <w:rFonts w:ascii="Arial Narrow" w:hAnsi="Arial Narrow" w:cs="Times New Roman"/>
                                        <w:sz w:val="11"/>
                                        <w:szCs w:val="11"/>
                                      </w:rPr>
                                      <w:t>27</w:t>
                                    </w:r>
                                  </w:p>
                                </w:tc>
                              </w:tr>
                            </w:tbl>
                            <w:p w:rsidR="00B55C40" w:rsidP="00DF2882" w14:textId="77777777">
                              <w:pPr>
                                <w:rPr>
                                  <w:sz w:val="12"/>
                                  <w:szCs w:val="12"/>
                                </w:rPr>
                              </w:pPr>
                            </w:p>
                          </w:txbxContent>
                        </wps:txbx>
                        <wps:bodyPr rot="0" vert="horz" wrap="square" anchor="t" anchorCtr="0" upright="1"/>
                      </wps:wsp>
                      <wps:wsp xmlns:wps="http://schemas.microsoft.com/office/word/2010/wordprocessingShape">
                        <wps:cNvPr id="423" name="Text Box 289"/>
                        <wps:cNvSpPr txBox="1">
                          <a:spLocks noChangeArrowheads="1"/>
                        </wps:cNvSpPr>
                        <wps:spPr bwMode="auto">
                          <a:xfrm>
                            <a:off x="0" y="21357"/>
                            <a:ext cx="29622" cy="21502"/>
                          </a:xfrm>
                          <a:prstGeom prst="rect">
                            <a:avLst/>
                          </a:prstGeom>
                          <a:solidFill>
                            <a:srgbClr val="FFFFFF"/>
                          </a:solidFill>
                          <a:ln w="12700">
                            <a:solidFill>
                              <a:schemeClr val="accent3">
                                <a:lumMod val="75000"/>
                                <a:lumOff val="0"/>
                              </a:schemeClr>
                            </a:solidFill>
                            <a:prstDash val="sysDash"/>
                            <a:miter lim="800000"/>
                            <a:headEnd/>
                            <a:tailEnd/>
                          </a:ln>
                        </wps:spPr>
                        <wps:txbx>
                          <w:txbxContent>
                            <w:p w:rsidR="00B55C40" w:rsidP="00DF2882" w14:textId="77777777">
                              <w:pPr>
                                <w:spacing w:after="0" w:line="240" w:lineRule="auto"/>
                                <w:rPr>
                                  <w:rFonts w:ascii="Arial Narrow" w:hAnsi="Arial Narrow"/>
                                  <w:sz w:val="12"/>
                                  <w:szCs w:val="12"/>
                                </w:rPr>
                              </w:pPr>
                              <w:r>
                                <w:rPr>
                                  <w:rFonts w:ascii="Arial Narrow" w:hAnsi="Arial Narrow"/>
                                  <w:b/>
                                  <w:sz w:val="12"/>
                                  <w:szCs w:val="12"/>
                                </w:rPr>
                                <w:t xml:space="preserve">Monitoringa mikro līmeņa indikatori </w:t>
                              </w:r>
                            </w:p>
                            <w:tbl>
                              <w:tblPr>
                                <w:tblStyle w:val="TableGrid"/>
                                <w:tblW w:w="5000" w:type="pct"/>
                                <w:tblLook w:val="04A0"/>
                              </w:tblPr>
                              <w:tblGrid>
                                <w:gridCol w:w="4346"/>
                              </w:tblGrid>
                              <w:tr w14:paraId="22317B0F"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55C40" w14:textId="77777777">
                                    <w:pPr>
                                      <w:rPr>
                                        <w:rFonts w:ascii="Arial Narrow" w:hAnsi="Arial Narrow"/>
                                        <w:sz w:val="12"/>
                                        <w:szCs w:val="12"/>
                                      </w:rPr>
                                    </w:pPr>
                                    <w:r>
                                      <w:rPr>
                                        <w:rFonts w:ascii="Arial Narrow" w:hAnsi="Arial Narrow"/>
                                        <w:sz w:val="12"/>
                                        <w:szCs w:val="12"/>
                                      </w:rPr>
                                      <w:t>Zin</w:t>
                                    </w:r>
                                    <w:r>
                                      <w:rPr>
                                        <w:rFonts w:ascii="Arial Narrow" w:hAnsi="Arial Narrow" w:cs="Times New Roman"/>
                                        <w:sz w:val="12"/>
                                        <w:szCs w:val="12"/>
                                      </w:rPr>
                                      <w:t>ā</w:t>
                                    </w:r>
                                    <w:r>
                                      <w:rPr>
                                        <w:rFonts w:ascii="Arial Narrow" w:hAnsi="Arial Narrow"/>
                                        <w:sz w:val="12"/>
                                        <w:szCs w:val="12"/>
                                      </w:rPr>
                                      <w:t>tnisko instit</w:t>
                                    </w:r>
                                    <w:r>
                                      <w:rPr>
                                        <w:rFonts w:ascii="Arial Narrow" w:hAnsi="Arial Narrow" w:cs="Times New Roman"/>
                                        <w:sz w:val="12"/>
                                        <w:szCs w:val="12"/>
                                      </w:rPr>
                                      <w:t>ū</w:t>
                                    </w:r>
                                    <w:r>
                                      <w:rPr>
                                        <w:rFonts w:ascii="Arial Narrow" w:hAnsi="Arial Narrow"/>
                                        <w:sz w:val="12"/>
                                        <w:szCs w:val="12"/>
                                      </w:rPr>
                                      <w:t>ciju licen</w:t>
                                    </w:r>
                                    <w:r>
                                      <w:rPr>
                                        <w:rFonts w:ascii="Arial Narrow" w:hAnsi="Arial Narrow" w:cs="Times New Roman"/>
                                        <w:sz w:val="12"/>
                                        <w:szCs w:val="12"/>
                                      </w:rPr>
                                      <w:t>č</w:t>
                                    </w:r>
                                    <w:r>
                                      <w:rPr>
                                        <w:rFonts w:ascii="Arial Narrow" w:hAnsi="Arial Narrow"/>
                                        <w:sz w:val="12"/>
                                        <w:szCs w:val="12"/>
                                      </w:rPr>
                                      <w:t>u/ patentu ie</w:t>
                                    </w:r>
                                    <w:r>
                                      <w:rPr>
                                        <w:rFonts w:ascii="Arial Narrow" w:hAnsi="Arial Narrow" w:cs="Times New Roman"/>
                                        <w:sz w:val="12"/>
                                        <w:szCs w:val="12"/>
                                      </w:rPr>
                                      <w:t>ņē</w:t>
                                    </w:r>
                                    <w:r>
                                      <w:rPr>
                                        <w:rFonts w:ascii="Arial Narrow" w:hAnsi="Arial Narrow"/>
                                        <w:sz w:val="12"/>
                                        <w:szCs w:val="12"/>
                                      </w:rPr>
                                      <w:t>mumi (EUR)</w:t>
                                    </w:r>
                                  </w:p>
                                </w:tc>
                              </w:tr>
                              <w:tr w14:paraId="4F63598D"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cs="Times New Roman"/>
                                        <w:sz w:val="12"/>
                                        <w:szCs w:val="12"/>
                                      </w:rPr>
                                      <w:t>Uzņēmumu līdzfinansējums P&amp;A projektiem (EUR)</w:t>
                                    </w:r>
                                  </w:p>
                                </w:tc>
                              </w:tr>
                              <w:tr w14:paraId="169BA4C5"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sz w:val="12"/>
                                        <w:szCs w:val="12"/>
                                      </w:rPr>
                                    </w:pPr>
                                    <w:r>
                                      <w:rPr>
                                        <w:rFonts w:ascii="Arial Narrow" w:hAnsi="Arial Narrow"/>
                                        <w:sz w:val="12"/>
                                        <w:szCs w:val="12"/>
                                      </w:rPr>
                                      <w:t>Uz</w:t>
                                    </w:r>
                                    <w:r>
                                      <w:rPr>
                                        <w:rFonts w:ascii="Arial Narrow" w:hAnsi="Arial Narrow" w:cs="Times New Roman"/>
                                        <w:sz w:val="12"/>
                                        <w:szCs w:val="12"/>
                                      </w:rPr>
                                      <w:t>ņē</w:t>
                                    </w:r>
                                    <w:r>
                                      <w:rPr>
                                        <w:rFonts w:ascii="Arial Narrow" w:hAnsi="Arial Narrow"/>
                                        <w:sz w:val="12"/>
                                        <w:szCs w:val="12"/>
                                      </w:rPr>
                                      <w:t>mumu skaits, kas sa</w:t>
                                    </w:r>
                                    <w:r>
                                      <w:rPr>
                                        <w:rFonts w:ascii="Arial Narrow" w:hAnsi="Arial Narrow" w:cs="Times New Roman"/>
                                        <w:sz w:val="12"/>
                                        <w:szCs w:val="12"/>
                                      </w:rPr>
                                      <w:t>ņē</w:t>
                                    </w:r>
                                    <w:r>
                                      <w:rPr>
                                        <w:rFonts w:ascii="Arial Narrow" w:hAnsi="Arial Narrow"/>
                                        <w:sz w:val="12"/>
                                        <w:szCs w:val="12"/>
                                      </w:rPr>
                                      <w:t>muši atbalstu, lai laistu t</w:t>
                                    </w:r>
                                    <w:r>
                                      <w:rPr>
                                        <w:rFonts w:ascii="Arial Narrow" w:hAnsi="Arial Narrow" w:cs="Times New Roman"/>
                                        <w:sz w:val="12"/>
                                        <w:szCs w:val="12"/>
                                      </w:rPr>
                                      <w:t>irgū</w:t>
                                    </w:r>
                                    <w:r>
                                      <w:rPr>
                                        <w:rFonts w:ascii="Arial Narrow" w:hAnsi="Arial Narrow"/>
                                        <w:sz w:val="12"/>
                                        <w:szCs w:val="12"/>
                                      </w:rPr>
                                      <w:t xml:space="preserve"> jaunus produktus </w:t>
                                    </w:r>
                                  </w:p>
                                </w:tc>
                              </w:tr>
                              <w:tr w14:paraId="4658E02C"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sz w:val="12"/>
                                        <w:szCs w:val="12"/>
                                      </w:rPr>
                                    </w:pPr>
                                    <w:r>
                                      <w:rPr>
                                        <w:rFonts w:ascii="Arial Narrow" w:hAnsi="Arial Narrow"/>
                                        <w:sz w:val="12"/>
                                        <w:szCs w:val="12"/>
                                      </w:rPr>
                                      <w:t>Komersanta apgrozījums no pētniecības rezultātu ieviešanas saimnieciskajā darbībā vai komercializēšanas</w:t>
                                    </w:r>
                                  </w:p>
                                </w:tc>
                              </w:tr>
                              <w:tr w14:paraId="4B7B30B9"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sz w:val="12"/>
                                        <w:szCs w:val="12"/>
                                      </w:rPr>
                                    </w:pPr>
                                    <w:r>
                                      <w:rPr>
                                        <w:rFonts w:ascii="Arial Narrow" w:hAnsi="Arial Narrow" w:cs="Times New Roman"/>
                                        <w:sz w:val="12"/>
                                        <w:szCs w:val="12"/>
                                      </w:rPr>
                                      <w:t xml:space="preserve">Zinātnisko institūciju izveidotie jaundibinātie uzņēmumi </w:t>
                                    </w:r>
                                    <w:r>
                                      <w:rPr>
                                        <w:rFonts w:ascii="Arial Narrow" w:hAnsi="Arial Narrow" w:cs="Times New Roman"/>
                                        <w:i/>
                                        <w:iCs/>
                                        <w:sz w:val="12"/>
                                        <w:szCs w:val="12"/>
                                      </w:rPr>
                                      <w:t>(spin-off</w:t>
                                    </w:r>
                                    <w:r>
                                      <w:rPr>
                                        <w:rFonts w:ascii="Arial Narrow" w:hAnsi="Arial Narrow" w:cs="Times New Roman"/>
                                        <w:sz w:val="12"/>
                                        <w:szCs w:val="12"/>
                                      </w:rPr>
                                      <w:t>)</w:t>
                                    </w:r>
                                  </w:p>
                                </w:tc>
                              </w:tr>
                              <w:tr w14:paraId="055C2E4F"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sz w:val="12"/>
                                        <w:szCs w:val="12"/>
                                      </w:rPr>
                                      <w:t>Mikro un mazajiem komersantiem izsniegto aizdevumu apjoms (EUR)</w:t>
                                    </w:r>
                                  </w:p>
                                </w:tc>
                              </w:tr>
                              <w:tr w14:paraId="2F1FF561"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sz w:val="12"/>
                                        <w:szCs w:val="12"/>
                                      </w:rPr>
                                      <w:t>Inovat</w:t>
                                    </w:r>
                                    <w:r>
                                      <w:rPr>
                                        <w:rFonts w:ascii="Arial Narrow" w:hAnsi="Arial Narrow" w:cs="Times New Roman"/>
                                        <w:sz w:val="12"/>
                                        <w:szCs w:val="12"/>
                                      </w:rPr>
                                      <w:t>ī</w:t>
                                    </w:r>
                                    <w:r>
                                      <w:rPr>
                                        <w:rFonts w:ascii="Arial Narrow" w:hAnsi="Arial Narrow"/>
                                        <w:sz w:val="12"/>
                                        <w:szCs w:val="12"/>
                                      </w:rPr>
                                      <w:t>vo komersantu skaits, kam to agr</w:t>
                                    </w:r>
                                    <w:r>
                                      <w:rPr>
                                        <w:rFonts w:ascii="Arial Narrow" w:hAnsi="Arial Narrow" w:cs="Times New Roman"/>
                                        <w:sz w:val="12"/>
                                        <w:szCs w:val="12"/>
                                      </w:rPr>
                                      <w:t>ī</w:t>
                                    </w:r>
                                    <w:r>
                                      <w:rPr>
                                        <w:rFonts w:ascii="Arial Narrow" w:hAnsi="Arial Narrow"/>
                                        <w:sz w:val="12"/>
                                        <w:szCs w:val="12"/>
                                      </w:rPr>
                                      <w:t>n</w:t>
                                    </w:r>
                                    <w:r>
                                      <w:rPr>
                                        <w:rFonts w:ascii="Arial Narrow" w:hAnsi="Arial Narrow" w:cs="Times New Roman"/>
                                        <w:sz w:val="12"/>
                                        <w:szCs w:val="12"/>
                                      </w:rPr>
                                      <w:t>ās</w:t>
                                    </w:r>
                                    <w:r>
                                      <w:rPr>
                                        <w:rFonts w:ascii="Arial Narrow" w:hAnsi="Arial Narrow"/>
                                        <w:sz w:val="12"/>
                                        <w:szCs w:val="12"/>
                                      </w:rPr>
                                      <w:t xml:space="preserve"> att</w:t>
                                    </w:r>
                                    <w:r>
                                      <w:rPr>
                                        <w:rFonts w:ascii="Arial Narrow" w:hAnsi="Arial Narrow" w:cs="Times New Roman"/>
                                        <w:sz w:val="12"/>
                                        <w:szCs w:val="12"/>
                                      </w:rPr>
                                      <w:t>ī</w:t>
                                    </w:r>
                                    <w:r>
                                      <w:rPr>
                                        <w:rFonts w:ascii="Arial Narrow" w:hAnsi="Arial Narrow"/>
                                        <w:sz w:val="12"/>
                                        <w:szCs w:val="12"/>
                                      </w:rPr>
                                      <w:t>st</w:t>
                                    </w:r>
                                    <w:r>
                                      <w:rPr>
                                        <w:rFonts w:ascii="Arial Narrow" w:hAnsi="Arial Narrow" w:cs="Times New Roman"/>
                                        <w:sz w:val="12"/>
                                        <w:szCs w:val="12"/>
                                      </w:rPr>
                                      <w:t>ī</w:t>
                                    </w:r>
                                    <w:r>
                                      <w:rPr>
                                        <w:rFonts w:ascii="Arial Narrow" w:hAnsi="Arial Narrow"/>
                                        <w:sz w:val="12"/>
                                        <w:szCs w:val="12"/>
                                      </w:rPr>
                                      <w:t>bas posm</w:t>
                                    </w:r>
                                    <w:r>
                                      <w:rPr>
                                        <w:rFonts w:ascii="Arial Narrow" w:hAnsi="Arial Narrow" w:cs="Times New Roman"/>
                                        <w:sz w:val="12"/>
                                        <w:szCs w:val="12"/>
                                      </w:rPr>
                                      <w:t>ā</w:t>
                                    </w:r>
                                    <w:r>
                                      <w:rPr>
                                        <w:rFonts w:ascii="Arial Narrow" w:hAnsi="Arial Narrow"/>
                                        <w:sz w:val="12"/>
                                        <w:szCs w:val="12"/>
                                      </w:rPr>
                                      <w:t xml:space="preserve"> nodrošin</w:t>
                                    </w:r>
                                    <w:r>
                                      <w:rPr>
                                        <w:rFonts w:ascii="Arial Narrow" w:hAnsi="Arial Narrow" w:cs="Times New Roman"/>
                                        <w:sz w:val="12"/>
                                        <w:szCs w:val="12"/>
                                      </w:rPr>
                                      <w:t>ā</w:t>
                                    </w:r>
                                    <w:r>
                                      <w:rPr>
                                        <w:rFonts w:ascii="Arial Narrow" w:hAnsi="Arial Narrow"/>
                                        <w:sz w:val="12"/>
                                        <w:szCs w:val="12"/>
                                      </w:rPr>
                                      <w:t>ts sagatavošanas un uzs</w:t>
                                    </w:r>
                                    <w:r>
                                      <w:rPr>
                                        <w:rFonts w:ascii="Arial Narrow" w:hAnsi="Arial Narrow" w:cs="Times New Roman"/>
                                        <w:sz w:val="12"/>
                                        <w:szCs w:val="12"/>
                                      </w:rPr>
                                      <w:t>ā</w:t>
                                    </w:r>
                                    <w:r>
                                      <w:rPr>
                                        <w:rFonts w:ascii="Arial Narrow" w:hAnsi="Arial Narrow"/>
                                        <w:sz w:val="12"/>
                                        <w:szCs w:val="12"/>
                                      </w:rPr>
                                      <w:t>kšanas kapit</w:t>
                                    </w:r>
                                    <w:r>
                                      <w:rPr>
                                        <w:rFonts w:ascii="Arial Narrow" w:hAnsi="Arial Narrow" w:cs="Times New Roman"/>
                                        <w:sz w:val="12"/>
                                        <w:szCs w:val="12"/>
                                      </w:rPr>
                                      <w:t>ā</w:t>
                                    </w:r>
                                    <w:r>
                                      <w:rPr>
                                        <w:rFonts w:ascii="Arial Narrow" w:hAnsi="Arial Narrow"/>
                                        <w:sz w:val="12"/>
                                        <w:szCs w:val="12"/>
                                      </w:rPr>
                                      <w:t>la atbalsts</w:t>
                                    </w:r>
                                  </w:p>
                                </w:tc>
                              </w:tr>
                              <w:tr w14:paraId="66DE2E3F"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sz w:val="12"/>
                                        <w:szCs w:val="12"/>
                                      </w:rPr>
                                      <w:t>Komersantu skaits, kam to paplašin</w:t>
                                    </w:r>
                                    <w:r>
                                      <w:rPr>
                                        <w:rFonts w:ascii="Arial Narrow" w:hAnsi="Arial Narrow" w:cs="Times New Roman"/>
                                        <w:sz w:val="12"/>
                                        <w:szCs w:val="12"/>
                                      </w:rPr>
                                      <w:t>ā</w:t>
                                    </w:r>
                                    <w:r>
                                      <w:rPr>
                                        <w:rFonts w:ascii="Arial Narrow" w:hAnsi="Arial Narrow"/>
                                        <w:sz w:val="12"/>
                                        <w:szCs w:val="12"/>
                                      </w:rPr>
                                      <w:t>šan</w:t>
                                    </w:r>
                                    <w:r>
                                      <w:rPr>
                                        <w:rFonts w:ascii="Arial Narrow" w:hAnsi="Arial Narrow" w:cs="Times New Roman"/>
                                        <w:sz w:val="12"/>
                                        <w:szCs w:val="12"/>
                                      </w:rPr>
                                      <w:t>ā</w:t>
                                    </w:r>
                                    <w:r>
                                      <w:rPr>
                                        <w:rFonts w:ascii="Arial Narrow" w:hAnsi="Arial Narrow"/>
                                        <w:sz w:val="12"/>
                                        <w:szCs w:val="12"/>
                                      </w:rPr>
                                      <w:t>s posm</w:t>
                                    </w:r>
                                    <w:r>
                                      <w:rPr>
                                        <w:rFonts w:ascii="Arial Narrow" w:hAnsi="Arial Narrow" w:cs="Times New Roman"/>
                                        <w:sz w:val="12"/>
                                        <w:szCs w:val="12"/>
                                      </w:rPr>
                                      <w:t>ā</w:t>
                                    </w:r>
                                    <w:r>
                                      <w:rPr>
                                        <w:rFonts w:ascii="Arial Narrow" w:hAnsi="Arial Narrow"/>
                                        <w:sz w:val="12"/>
                                        <w:szCs w:val="12"/>
                                      </w:rPr>
                                      <w:t xml:space="preserve"> nodrošin</w:t>
                                    </w:r>
                                    <w:r>
                                      <w:rPr>
                                        <w:rFonts w:ascii="Arial Narrow" w:hAnsi="Arial Narrow" w:cs="Times New Roman"/>
                                        <w:sz w:val="12"/>
                                        <w:szCs w:val="12"/>
                                      </w:rPr>
                                      <w:t>ā</w:t>
                                    </w:r>
                                    <w:r>
                                      <w:rPr>
                                        <w:rFonts w:ascii="Arial Narrow" w:hAnsi="Arial Narrow"/>
                                        <w:sz w:val="12"/>
                                        <w:szCs w:val="12"/>
                                      </w:rPr>
                                      <w:t>ts riska kapit</w:t>
                                    </w:r>
                                    <w:r>
                                      <w:rPr>
                                        <w:rFonts w:ascii="Arial Narrow" w:hAnsi="Arial Narrow" w:cs="Times New Roman"/>
                                        <w:sz w:val="12"/>
                                        <w:szCs w:val="12"/>
                                      </w:rPr>
                                      <w:t>ā</w:t>
                                    </w:r>
                                    <w:r>
                                      <w:rPr>
                                        <w:rFonts w:ascii="Arial Narrow" w:hAnsi="Arial Narrow"/>
                                        <w:sz w:val="12"/>
                                        <w:szCs w:val="12"/>
                                      </w:rPr>
                                      <w:t>la finans</w:t>
                                    </w:r>
                                    <w:r>
                                      <w:rPr>
                                        <w:rFonts w:ascii="Arial Narrow" w:hAnsi="Arial Narrow" w:cs="Times New Roman"/>
                                        <w:sz w:val="12"/>
                                        <w:szCs w:val="12"/>
                                      </w:rPr>
                                      <w:t>ē</w:t>
                                    </w:r>
                                    <w:r>
                                      <w:rPr>
                                        <w:rFonts w:ascii="Arial Narrow" w:hAnsi="Arial Narrow"/>
                                        <w:sz w:val="12"/>
                                        <w:szCs w:val="12"/>
                                      </w:rPr>
                                      <w:t>jums.</w:t>
                                    </w:r>
                                  </w:p>
                                </w:tc>
                              </w:tr>
                              <w:tr w14:paraId="63D30122"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sz w:val="12"/>
                                        <w:szCs w:val="12"/>
                                      </w:rPr>
                                    </w:pPr>
                                    <w:r>
                                      <w:rPr>
                                        <w:rFonts w:ascii="Arial Narrow" w:hAnsi="Arial Narrow" w:cs="Times New Roman"/>
                                        <w:sz w:val="12"/>
                                        <w:szCs w:val="12"/>
                                      </w:rPr>
                                      <w:t>Atbalstīto jauno zinātnieku skaits pēcdoktorantūras pētījumu īstenošanai</w:t>
                                    </w:r>
                                  </w:p>
                                </w:tc>
                              </w:tr>
                              <w:tr w14:paraId="021BDA68"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sz w:val="12"/>
                                        <w:szCs w:val="12"/>
                                      </w:rPr>
                                    </w:pPr>
                                    <w:r>
                                      <w:rPr>
                                        <w:rFonts w:ascii="Arial Narrow" w:hAnsi="Arial Narrow" w:cs="Times New Roman"/>
                                        <w:sz w:val="12"/>
                                        <w:szCs w:val="12"/>
                                      </w:rPr>
                                      <w:t>Jaunradītās darba vietas, kurās nodarbināti zinātniskie darbinieki publiskā sektorā/ uzņēmējdarbības sektorā</w:t>
                                    </w:r>
                                  </w:p>
                                </w:tc>
                              </w:tr>
                              <w:tr w14:paraId="069012CF"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textId="77777777">
                                    <w:pPr>
                                      <w:rPr>
                                        <w:rFonts w:ascii="Arial Narrow" w:hAnsi="Arial Narrow"/>
                                        <w:sz w:val="12"/>
                                        <w:szCs w:val="12"/>
                                      </w:rPr>
                                    </w:pPr>
                                    <w:r>
                                      <w:rPr>
                                        <w:rFonts w:ascii="Arial Narrow" w:hAnsi="Arial Narrow"/>
                                        <w:sz w:val="12"/>
                                        <w:szCs w:val="12"/>
                                      </w:rPr>
                                      <w:t>H2020 apstiprin</w:t>
                                    </w:r>
                                    <w:r>
                                      <w:rPr>
                                        <w:rFonts w:ascii="Arial Narrow" w:hAnsi="Arial Narrow" w:cs="Times New Roman"/>
                                        <w:sz w:val="12"/>
                                        <w:szCs w:val="12"/>
                                      </w:rPr>
                                      <w:t>ā</w:t>
                                    </w:r>
                                    <w:r>
                                      <w:rPr>
                                        <w:rFonts w:ascii="Arial Narrow" w:hAnsi="Arial Narrow"/>
                                        <w:sz w:val="12"/>
                                        <w:szCs w:val="12"/>
                                      </w:rPr>
                                      <w:t>to projektu iesniegumu piesaist</w:t>
                                    </w:r>
                                    <w:r>
                                      <w:rPr>
                                        <w:rFonts w:ascii="Arial Narrow" w:hAnsi="Arial Narrow" w:cs="Times New Roman"/>
                                        <w:sz w:val="12"/>
                                        <w:szCs w:val="12"/>
                                      </w:rPr>
                                      <w:t>ī</w:t>
                                    </w:r>
                                    <w:r>
                                      <w:rPr>
                                        <w:rFonts w:ascii="Arial Narrow" w:hAnsi="Arial Narrow"/>
                                        <w:sz w:val="12"/>
                                        <w:szCs w:val="12"/>
                                      </w:rPr>
                                      <w:t>t</w:t>
                                    </w:r>
                                    <w:r>
                                      <w:rPr>
                                        <w:rFonts w:ascii="Arial Narrow" w:hAnsi="Arial Narrow" w:cs="Times New Roman"/>
                                        <w:sz w:val="12"/>
                                        <w:szCs w:val="12"/>
                                      </w:rPr>
                                      <w:t>ais finansējums (LV daļa; EUR)</w:t>
                                    </w:r>
                                  </w:p>
                                </w:tc>
                              </w:tr>
                              <w:tr w14:paraId="6864AEAD"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sz w:val="12"/>
                                        <w:szCs w:val="12"/>
                                      </w:rPr>
                                      <w:t>Zin</w:t>
                                    </w:r>
                                    <w:r>
                                      <w:rPr>
                                        <w:rFonts w:ascii="Arial Narrow" w:hAnsi="Arial Narrow" w:cs="Times New Roman"/>
                                        <w:sz w:val="12"/>
                                        <w:szCs w:val="12"/>
                                      </w:rPr>
                                      <w:t>ā</w:t>
                                    </w:r>
                                    <w:r>
                                      <w:rPr>
                                        <w:rFonts w:ascii="Arial Narrow" w:hAnsi="Arial Narrow"/>
                                        <w:sz w:val="12"/>
                                        <w:szCs w:val="12"/>
                                      </w:rPr>
                                      <w:t>tniskie raksti, kas public</w:t>
                                    </w:r>
                                    <w:r>
                                      <w:rPr>
                                        <w:rFonts w:ascii="Arial Narrow" w:hAnsi="Arial Narrow" w:cs="Times New Roman"/>
                                        <w:sz w:val="12"/>
                                        <w:szCs w:val="12"/>
                                      </w:rPr>
                                      <w:t>ē</w:t>
                                    </w:r>
                                    <w:r>
                                      <w:rPr>
                                        <w:rFonts w:ascii="Arial Narrow" w:hAnsi="Arial Narrow"/>
                                        <w:sz w:val="12"/>
                                        <w:szCs w:val="12"/>
                                      </w:rPr>
                                      <w:t>ti starptautisk</w:t>
                                    </w:r>
                                    <w:r>
                                      <w:rPr>
                                        <w:rFonts w:ascii="Arial Narrow" w:hAnsi="Arial Narrow" w:cs="Times New Roman"/>
                                        <w:sz w:val="12"/>
                                        <w:szCs w:val="12"/>
                                      </w:rPr>
                                      <w:t>ā</w:t>
                                    </w:r>
                                    <w:r>
                                      <w:rPr>
                                        <w:rFonts w:ascii="Arial Narrow" w:hAnsi="Arial Narrow"/>
                                        <w:sz w:val="12"/>
                                        <w:szCs w:val="12"/>
                                      </w:rPr>
                                      <w:t>s datu b</w:t>
                                    </w:r>
                                    <w:r>
                                      <w:rPr>
                                        <w:rFonts w:ascii="Arial Narrow" w:hAnsi="Arial Narrow" w:cs="Times New Roman"/>
                                        <w:sz w:val="12"/>
                                        <w:szCs w:val="12"/>
                                      </w:rPr>
                                      <w:t>ā</w:t>
                                    </w:r>
                                    <w:r>
                                      <w:rPr>
                                        <w:rFonts w:ascii="Arial Narrow" w:hAnsi="Arial Narrow"/>
                                        <w:sz w:val="12"/>
                                        <w:szCs w:val="12"/>
                                      </w:rPr>
                                      <w:t>z</w:t>
                                    </w:r>
                                    <w:r>
                                      <w:rPr>
                                        <w:rFonts w:ascii="Arial Narrow" w:hAnsi="Arial Narrow" w:cs="Times New Roman"/>
                                        <w:sz w:val="12"/>
                                        <w:szCs w:val="12"/>
                                      </w:rPr>
                                      <w:t>ē</w:t>
                                    </w:r>
                                    <w:r>
                                      <w:rPr>
                                        <w:rFonts w:ascii="Arial Narrow" w:hAnsi="Arial Narrow"/>
                                        <w:sz w:val="12"/>
                                        <w:szCs w:val="12"/>
                                      </w:rPr>
                                      <w:t xml:space="preserve">s </w:t>
                                    </w:r>
                                    <w:r>
                                      <w:rPr>
                                        <w:rFonts w:ascii="Arial Narrow" w:hAnsi="Arial Narrow"/>
                                        <w:i/>
                                        <w:sz w:val="12"/>
                                        <w:szCs w:val="12"/>
                                      </w:rPr>
                                      <w:t>(Scopus, Web of Science)</w:t>
                                    </w:r>
                                  </w:p>
                                </w:tc>
                              </w:tr>
                              <w:tr w14:paraId="5C28A3CD"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sz w:val="12"/>
                                        <w:szCs w:val="12"/>
                                      </w:rPr>
                                      <w:t>Nodarbināto skaits, kas pilnveidojuši kompetenci</w:t>
                                    </w:r>
                                  </w:p>
                                </w:tc>
                              </w:tr>
                              <w:tr w14:paraId="6AAF958B"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cs="Times New Roman"/>
                                        <w:noProof/>
                                        <w:sz w:val="12"/>
                                        <w:szCs w:val="12"/>
                                      </w:rPr>
                                      <w:t xml:space="preserve">STEM maģistra grādu ieguvušo skaits </w:t>
                                    </w:r>
                                  </w:p>
                                </w:tc>
                              </w:tr>
                              <w:tr w14:paraId="08DB4754"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textId="77777777">
                                    <w:pPr>
                                      <w:rPr>
                                        <w:rFonts w:ascii="Arial Narrow" w:hAnsi="Arial Narrow"/>
                                        <w:sz w:val="12"/>
                                        <w:szCs w:val="12"/>
                                      </w:rPr>
                                    </w:pPr>
                                    <w:r>
                                      <w:rPr>
                                        <w:rFonts w:ascii="Arial Narrow" w:hAnsi="Arial Narrow" w:cs="Times New Roman"/>
                                        <w:noProof/>
                                        <w:sz w:val="12"/>
                                        <w:szCs w:val="12"/>
                                      </w:rPr>
                                      <w:t>Nefinanšu investīcijas nemateriālajos ieguldījumos un pamatlīdzekļos ārpus Rīgas</w:t>
                                    </w:r>
                                  </w:p>
                                </w:tc>
                              </w:tr>
                            </w:tbl>
                            <w:p w:rsidR="00B55C40" w:rsidP="00DF2882" w14:textId="77777777">
                              <w:pPr>
                                <w:rPr>
                                  <w:rFonts w:ascii="Arial Narrow" w:hAnsi="Arial Narrow"/>
                                  <w:sz w:val="12"/>
                                  <w:szCs w:val="12"/>
                                </w:rPr>
                              </w:pP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412" o:spid="_x0000_s1144" style="width:233.25pt;height:337.4pt;margin-top:7.8pt;margin-left:501.3pt;position:absolute;z-index:251780096" coordsize="29626,42859">
                <v:shape id="_x0000_s1145" type="#_x0000_t202" style="width:29626;height:7534;mso-wrap-style:square;position:absolute;visibility:visible;v-text-anchor:top" strokecolor="#472cbb" strokeweight="1pt">
                  <v:stroke dashstyle="solid"/>
                  <v:textbox>
                    <w:txbxContent>
                      <w:p w:rsidR="00B55C40" w:rsidP="00DF2882" w14:paraId="0AF67D6B" w14:textId="77777777">
                        <w:pPr>
                          <w:spacing w:after="0" w:line="240" w:lineRule="auto"/>
                          <w:rPr>
                            <w:rFonts w:ascii="Arial Narrow" w:hAnsi="Arial Narrow"/>
                            <w:sz w:val="12"/>
                            <w:szCs w:val="12"/>
                          </w:rPr>
                        </w:pPr>
                        <w:r>
                          <w:rPr>
                            <w:rFonts w:ascii="Arial Narrow" w:hAnsi="Arial Narrow"/>
                            <w:b/>
                            <w:sz w:val="14"/>
                            <w:szCs w:val="12"/>
                          </w:rPr>
                          <w:t>RIS3 virsmērķi</w:t>
                        </w:r>
                        <w:r>
                          <w:rPr>
                            <w:rFonts w:ascii="Arial Narrow" w:hAnsi="Arial Narrow"/>
                            <w:sz w:val="14"/>
                            <w:szCs w:val="12"/>
                          </w:rPr>
                          <w:t xml:space="preserve"> </w:t>
                        </w:r>
                        <w:r>
                          <w:rPr>
                            <w:rFonts w:ascii="Arial Narrow" w:hAnsi="Arial Narrow"/>
                            <w:sz w:val="12"/>
                            <w:szCs w:val="12"/>
                          </w:rPr>
                          <w:t>(vērtē īstenoto programmu ietekmi uz rādītāju izmaiņām programmu ex-post izvērtējumu ietvaros):</w:t>
                        </w:r>
                      </w:p>
                      <w:tbl>
                        <w:tblPr>
                          <w:tblStyle w:val="TableGrid"/>
                          <w:tblW w:w="5000" w:type="pct"/>
                          <w:tblLook w:val="04A0"/>
                        </w:tblPr>
                        <w:tblGrid>
                          <w:gridCol w:w="2195"/>
                          <w:gridCol w:w="906"/>
                          <w:gridCol w:w="570"/>
                          <w:gridCol w:w="676"/>
                        </w:tblGrid>
                        <w:tr w14:paraId="1BF5570D" w14:textId="77777777">
                          <w:tblPrEx>
                            <w:tblW w:w="5000" w:type="pct"/>
                            <w:tblLook w:val="04A0"/>
                          </w:tblPrEx>
                          <w:tc>
                            <w:tcPr>
                              <w:tcW w:w="2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55C40" w14:paraId="2D36341C" w14:textId="77777777">
                              <w:pPr>
                                <w:rPr>
                                  <w:rFonts w:ascii="Arial Narrow" w:hAnsi="Arial Narrow"/>
                                  <w:sz w:val="12"/>
                                  <w:szCs w:val="12"/>
                                </w:rPr>
                              </w:pPr>
                            </w:p>
                          </w:tc>
                          <w:tc>
                            <w:tcPr>
                              <w:tcW w:w="104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5C40" w14:paraId="1379DF88" w14:textId="77777777">
                              <w:pPr>
                                <w:ind w:left="-154" w:right="-112"/>
                                <w:jc w:val="center"/>
                                <w:rPr>
                                  <w:rFonts w:ascii="Arial Narrow" w:hAnsi="Arial Narrow"/>
                                  <w:b/>
                                  <w:sz w:val="12"/>
                                  <w:szCs w:val="12"/>
                                </w:rPr>
                              </w:pPr>
                              <w:r>
                                <w:rPr>
                                  <w:rFonts w:ascii="Arial Narrow" w:hAnsi="Arial Narrow"/>
                                  <w:b/>
                                  <w:sz w:val="12"/>
                                  <w:szCs w:val="12"/>
                                </w:rPr>
                                <w:t>Bāze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5C40" w14:paraId="45811137" w14:textId="77777777">
                              <w:pPr>
                                <w:ind w:left="-154" w:right="-112"/>
                                <w:jc w:val="center"/>
                                <w:rPr>
                                  <w:rFonts w:ascii="Arial Narrow" w:hAnsi="Arial Narrow"/>
                                  <w:b/>
                                  <w:sz w:val="12"/>
                                  <w:szCs w:val="12"/>
                                </w:rPr>
                              </w:pPr>
                              <w:r>
                                <w:rPr>
                                  <w:rFonts w:ascii="Arial Narrow" w:hAnsi="Arial Narrow"/>
                                  <w:b/>
                                  <w:sz w:val="12"/>
                                  <w:szCs w:val="12"/>
                                </w:rPr>
                                <w:t>2017</w:t>
                              </w:r>
                            </w:p>
                          </w:tc>
                          <w:tc>
                            <w:tcPr>
                              <w:tcW w:w="77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55C40" w14:paraId="037E364A" w14:textId="77777777">
                              <w:pPr>
                                <w:ind w:left="-154" w:right="-112"/>
                                <w:jc w:val="center"/>
                                <w:rPr>
                                  <w:rFonts w:ascii="Arial Narrow" w:hAnsi="Arial Narrow"/>
                                  <w:b/>
                                  <w:sz w:val="12"/>
                                  <w:szCs w:val="12"/>
                                </w:rPr>
                              </w:pPr>
                              <w:r>
                                <w:rPr>
                                  <w:rFonts w:ascii="Arial Narrow" w:hAnsi="Arial Narrow"/>
                                  <w:b/>
                                  <w:sz w:val="12"/>
                                  <w:szCs w:val="12"/>
                                </w:rPr>
                                <w:t>2020</w:t>
                              </w:r>
                            </w:p>
                          </w:tc>
                        </w:tr>
                        <w:tr w14:paraId="6E72C2C9" w14:textId="77777777">
                          <w:tblPrEx>
                            <w:tblW w:w="5000" w:type="pct"/>
                            <w:tblLook w:val="04A0"/>
                          </w:tblPrEx>
                          <w:tc>
                            <w:tcPr>
                              <w:tcW w:w="2524" w:type="pct"/>
                              <w:tcBorders>
                                <w:top w:val="single" w:sz="4" w:space="0" w:color="auto"/>
                                <w:left w:val="single" w:sz="4" w:space="0" w:color="auto"/>
                                <w:bottom w:val="single" w:sz="4" w:space="0" w:color="auto"/>
                                <w:right w:val="single" w:sz="4" w:space="0" w:color="auto"/>
                              </w:tcBorders>
                              <w:hideMark/>
                            </w:tcPr>
                            <w:p w:rsidR="00B55C40" w14:paraId="2E1960F8" w14:textId="77777777">
                              <w:pPr>
                                <w:rPr>
                                  <w:rFonts w:ascii="Arial Narrow" w:hAnsi="Arial Narrow"/>
                                  <w:sz w:val="12"/>
                                  <w:szCs w:val="12"/>
                                </w:rPr>
                              </w:pPr>
                              <w:r>
                                <w:rPr>
                                  <w:rFonts w:ascii="Arial Narrow" w:hAnsi="Arial Narrow"/>
                                  <w:sz w:val="12"/>
                                  <w:szCs w:val="12"/>
                                </w:rPr>
                                <w:t>Ieguldījumi R&amp;D (%  no IKP)</w:t>
                              </w:r>
                            </w:p>
                          </w:tc>
                          <w:tc>
                            <w:tcPr>
                              <w:tcW w:w="1042" w:type="pct"/>
                              <w:tcBorders>
                                <w:top w:val="single" w:sz="4" w:space="0" w:color="auto"/>
                                <w:left w:val="single" w:sz="4" w:space="0" w:color="auto"/>
                                <w:bottom w:val="single" w:sz="4" w:space="0" w:color="auto"/>
                                <w:right w:val="single" w:sz="4" w:space="0" w:color="auto"/>
                              </w:tcBorders>
                              <w:vAlign w:val="center"/>
                              <w:hideMark/>
                            </w:tcPr>
                            <w:p w:rsidR="00B55C40" w14:paraId="1EA9DC5E" w14:textId="77777777">
                              <w:pPr>
                                <w:ind w:left="-154" w:right="-112"/>
                                <w:jc w:val="center"/>
                                <w:rPr>
                                  <w:rFonts w:ascii="Arial Narrow" w:hAnsi="Arial Narrow"/>
                                  <w:sz w:val="12"/>
                                  <w:szCs w:val="12"/>
                                </w:rPr>
                              </w:pPr>
                              <w:r>
                                <w:rPr>
                                  <w:rFonts w:ascii="Arial Narrow" w:hAnsi="Arial Narrow"/>
                                  <w:sz w:val="12"/>
                                  <w:szCs w:val="12"/>
                                </w:rPr>
                                <w:t>0,6 (2013)</w:t>
                              </w:r>
                            </w:p>
                          </w:tc>
                          <w:tc>
                            <w:tcPr>
                              <w:tcW w:w="656" w:type="pct"/>
                              <w:tcBorders>
                                <w:top w:val="single" w:sz="4" w:space="0" w:color="auto"/>
                                <w:left w:val="single" w:sz="4" w:space="0" w:color="auto"/>
                                <w:bottom w:val="single" w:sz="4" w:space="0" w:color="auto"/>
                                <w:right w:val="single" w:sz="4" w:space="0" w:color="auto"/>
                              </w:tcBorders>
                              <w:vAlign w:val="center"/>
                              <w:hideMark/>
                            </w:tcPr>
                            <w:p w:rsidR="00B55C40" w14:paraId="7577C68E" w14:textId="77777777">
                              <w:pPr>
                                <w:ind w:left="-154" w:right="-112"/>
                                <w:jc w:val="center"/>
                                <w:rPr>
                                  <w:rFonts w:ascii="Arial Narrow" w:hAnsi="Arial Narrow"/>
                                  <w:sz w:val="12"/>
                                  <w:szCs w:val="12"/>
                                </w:rPr>
                              </w:pPr>
                              <w:r>
                                <w:rPr>
                                  <w:rFonts w:ascii="Arial Narrow" w:hAnsi="Arial Narrow"/>
                                  <w:sz w:val="12"/>
                                  <w:szCs w:val="12"/>
                                </w:rPr>
                                <w:t>1,2</w:t>
                              </w:r>
                            </w:p>
                          </w:tc>
                          <w:tc>
                            <w:tcPr>
                              <w:tcW w:w="777" w:type="pct"/>
                              <w:tcBorders>
                                <w:top w:val="single" w:sz="4" w:space="0" w:color="auto"/>
                                <w:left w:val="single" w:sz="4" w:space="0" w:color="auto"/>
                                <w:bottom w:val="single" w:sz="4" w:space="0" w:color="auto"/>
                                <w:right w:val="single" w:sz="4" w:space="0" w:color="auto"/>
                              </w:tcBorders>
                              <w:vAlign w:val="center"/>
                              <w:hideMark/>
                            </w:tcPr>
                            <w:p w:rsidR="00B55C40" w14:paraId="0F092F93" w14:textId="77777777">
                              <w:pPr>
                                <w:ind w:left="-154" w:right="-112"/>
                                <w:jc w:val="center"/>
                                <w:rPr>
                                  <w:rFonts w:ascii="Arial Narrow" w:hAnsi="Arial Narrow"/>
                                  <w:sz w:val="12"/>
                                  <w:szCs w:val="12"/>
                                </w:rPr>
                              </w:pPr>
                              <w:r>
                                <w:rPr>
                                  <w:rFonts w:ascii="Arial Narrow" w:hAnsi="Arial Narrow"/>
                                  <w:sz w:val="12"/>
                                  <w:szCs w:val="12"/>
                                </w:rPr>
                                <w:t>1,5</w:t>
                              </w:r>
                            </w:p>
                          </w:tc>
                        </w:tr>
                        <w:tr w14:paraId="283DBC8F" w14:textId="77777777">
                          <w:tblPrEx>
                            <w:tblW w:w="5000" w:type="pct"/>
                            <w:tblLook w:val="04A0"/>
                          </w:tblPrEx>
                          <w:tc>
                            <w:tcPr>
                              <w:tcW w:w="2524" w:type="pct"/>
                              <w:tcBorders>
                                <w:top w:val="single" w:sz="4" w:space="0" w:color="auto"/>
                                <w:left w:val="single" w:sz="4" w:space="0" w:color="auto"/>
                                <w:bottom w:val="single" w:sz="4" w:space="0" w:color="auto"/>
                                <w:right w:val="single" w:sz="4" w:space="0" w:color="auto"/>
                              </w:tcBorders>
                              <w:hideMark/>
                            </w:tcPr>
                            <w:p w:rsidR="00B55C40" w14:paraId="43A7958D" w14:textId="77777777">
                              <w:pPr>
                                <w:rPr>
                                  <w:rFonts w:ascii="Arial Narrow" w:hAnsi="Arial Narrow"/>
                                  <w:sz w:val="12"/>
                                  <w:szCs w:val="12"/>
                                </w:rPr>
                              </w:pPr>
                              <w:r>
                                <w:rPr>
                                  <w:rFonts w:ascii="Arial Narrow" w:hAnsi="Arial Narrow" w:cs="Times New Roman"/>
                                  <w:sz w:val="12"/>
                                  <w:szCs w:val="12"/>
                                </w:rPr>
                                <w:t>Pozīcija Eiropas inovāciju rādītāju grupā</w:t>
                              </w:r>
                            </w:p>
                          </w:tc>
                          <w:tc>
                            <w:tcPr>
                              <w:tcW w:w="1042" w:type="pct"/>
                              <w:tcBorders>
                                <w:top w:val="single" w:sz="4" w:space="0" w:color="auto"/>
                                <w:left w:val="single" w:sz="4" w:space="0" w:color="auto"/>
                                <w:bottom w:val="single" w:sz="4" w:space="0" w:color="auto"/>
                                <w:right w:val="single" w:sz="4" w:space="0" w:color="auto"/>
                              </w:tcBorders>
                              <w:vAlign w:val="center"/>
                              <w:hideMark/>
                            </w:tcPr>
                            <w:p w:rsidR="00B55C40" w14:paraId="0F2117DE" w14:textId="77777777">
                              <w:pPr>
                                <w:ind w:left="-154" w:right="-112"/>
                                <w:jc w:val="center"/>
                                <w:rPr>
                                  <w:rFonts w:ascii="Arial Narrow" w:hAnsi="Arial Narrow"/>
                                  <w:sz w:val="12"/>
                                  <w:szCs w:val="12"/>
                                </w:rPr>
                              </w:pPr>
                              <w:r>
                                <w:rPr>
                                  <w:rFonts w:ascii="Arial Narrow" w:hAnsi="Arial Narrow" w:cs="Times New Roman"/>
                                  <w:sz w:val="12"/>
                                  <w:szCs w:val="12"/>
                                  <w:lang w:val="en-GB"/>
                                </w:rPr>
                                <w:t>Modest (2013)</w:t>
                              </w:r>
                            </w:p>
                          </w:tc>
                          <w:tc>
                            <w:tcPr>
                              <w:tcW w:w="656" w:type="pct"/>
                              <w:tcBorders>
                                <w:top w:val="single" w:sz="4" w:space="0" w:color="auto"/>
                                <w:left w:val="single" w:sz="4" w:space="0" w:color="auto"/>
                                <w:bottom w:val="single" w:sz="4" w:space="0" w:color="auto"/>
                                <w:right w:val="single" w:sz="4" w:space="0" w:color="auto"/>
                              </w:tcBorders>
                              <w:vAlign w:val="center"/>
                              <w:hideMark/>
                            </w:tcPr>
                            <w:p w:rsidR="00B55C40" w14:paraId="039D6ABB" w14:textId="77777777">
                              <w:pPr>
                                <w:ind w:left="-154" w:right="-112"/>
                                <w:jc w:val="center"/>
                                <w:rPr>
                                  <w:rFonts w:ascii="Arial Narrow" w:hAnsi="Arial Narrow"/>
                                  <w:sz w:val="12"/>
                                  <w:szCs w:val="12"/>
                                </w:rPr>
                              </w:pPr>
                              <w:r>
                                <w:rPr>
                                  <w:rFonts w:ascii="Arial Narrow" w:hAnsi="Arial Narrow" w:cs="Times New Roman"/>
                                  <w:sz w:val="12"/>
                                  <w:szCs w:val="12"/>
                                  <w:lang w:val="en-GB"/>
                                </w:rPr>
                                <w:t>modest</w:t>
                              </w:r>
                            </w:p>
                          </w:tc>
                          <w:tc>
                            <w:tcPr>
                              <w:tcW w:w="777" w:type="pct"/>
                              <w:tcBorders>
                                <w:top w:val="single" w:sz="4" w:space="0" w:color="auto"/>
                                <w:left w:val="single" w:sz="4" w:space="0" w:color="auto"/>
                                <w:bottom w:val="single" w:sz="4" w:space="0" w:color="auto"/>
                                <w:right w:val="single" w:sz="4" w:space="0" w:color="auto"/>
                              </w:tcBorders>
                              <w:vAlign w:val="center"/>
                              <w:hideMark/>
                            </w:tcPr>
                            <w:p w:rsidR="00B55C40" w14:paraId="49143B8F" w14:textId="77777777">
                              <w:pPr>
                                <w:ind w:left="-154" w:right="-112"/>
                                <w:jc w:val="center"/>
                                <w:rPr>
                                  <w:rFonts w:ascii="Arial Narrow" w:hAnsi="Arial Narrow"/>
                                  <w:sz w:val="12"/>
                                  <w:szCs w:val="12"/>
                                </w:rPr>
                              </w:pPr>
                              <w:r>
                                <w:rPr>
                                  <w:rFonts w:ascii="Arial Narrow" w:hAnsi="Arial Narrow" w:cs="Times New Roman"/>
                                  <w:sz w:val="12"/>
                                  <w:szCs w:val="12"/>
                                  <w:lang w:val="en-GB"/>
                                </w:rPr>
                                <w:t>moderate</w:t>
                              </w:r>
                            </w:p>
                          </w:tc>
                        </w:tr>
                        <w:tr w14:paraId="3ECB85C1" w14:textId="77777777">
                          <w:tblPrEx>
                            <w:tblW w:w="5000" w:type="pct"/>
                            <w:tblLook w:val="04A0"/>
                          </w:tblPrEx>
                          <w:tc>
                            <w:tcPr>
                              <w:tcW w:w="2524" w:type="pct"/>
                              <w:tcBorders>
                                <w:top w:val="single" w:sz="4" w:space="0" w:color="auto"/>
                                <w:left w:val="single" w:sz="4" w:space="0" w:color="auto"/>
                                <w:bottom w:val="single" w:sz="4" w:space="0" w:color="auto"/>
                                <w:right w:val="single" w:sz="4" w:space="0" w:color="auto"/>
                              </w:tcBorders>
                              <w:hideMark/>
                            </w:tcPr>
                            <w:p w:rsidR="00B55C40" w14:paraId="63778B18" w14:textId="77777777">
                              <w:pPr>
                                <w:rPr>
                                  <w:rFonts w:ascii="Arial Narrow" w:hAnsi="Arial Narrow"/>
                                  <w:sz w:val="12"/>
                                  <w:szCs w:val="12"/>
                                </w:rPr>
                              </w:pPr>
                              <w:r>
                                <w:rPr>
                                  <w:rFonts w:ascii="Arial Narrow" w:hAnsi="Arial Narrow"/>
                                  <w:sz w:val="12"/>
                                  <w:szCs w:val="12"/>
                                </w:rPr>
                                <w:t>Produktivit</w:t>
                              </w:r>
                              <w:r>
                                <w:rPr>
                                  <w:rFonts w:ascii="Arial Narrow" w:hAnsi="Arial Narrow" w:cs="Times New Roman"/>
                                  <w:sz w:val="12"/>
                                  <w:szCs w:val="12"/>
                                </w:rPr>
                                <w:t>ā</w:t>
                              </w:r>
                              <w:r>
                                <w:rPr>
                                  <w:rFonts w:ascii="Arial Narrow" w:hAnsi="Arial Narrow"/>
                                  <w:sz w:val="12"/>
                                  <w:szCs w:val="12"/>
                                </w:rPr>
                                <w:t>te apstr</w:t>
                              </w:r>
                              <w:r>
                                <w:rPr>
                                  <w:rFonts w:ascii="Arial Narrow" w:hAnsi="Arial Narrow" w:cs="Times New Roman"/>
                                  <w:sz w:val="12"/>
                                  <w:szCs w:val="12"/>
                                </w:rPr>
                                <w:t>ā</w:t>
                              </w:r>
                              <w:r>
                                <w:rPr>
                                  <w:rFonts w:ascii="Arial Narrow" w:hAnsi="Arial Narrow"/>
                                  <w:sz w:val="12"/>
                                  <w:szCs w:val="12"/>
                                </w:rPr>
                                <w:t>des r</w:t>
                              </w:r>
                              <w:r>
                                <w:rPr>
                                  <w:rFonts w:ascii="Arial Narrow" w:hAnsi="Arial Narrow" w:cs="Times New Roman"/>
                                  <w:sz w:val="12"/>
                                  <w:szCs w:val="12"/>
                                </w:rPr>
                                <w:t>ū</w:t>
                              </w:r>
                              <w:r>
                                <w:rPr>
                                  <w:rFonts w:ascii="Arial Narrow" w:hAnsi="Arial Narrow"/>
                                  <w:sz w:val="12"/>
                                  <w:szCs w:val="12"/>
                                </w:rPr>
                                <w:t>pniec</w:t>
                              </w:r>
                              <w:r>
                                <w:rPr>
                                  <w:rFonts w:ascii="Arial Narrow" w:hAnsi="Arial Narrow" w:cs="Times New Roman"/>
                                  <w:sz w:val="12"/>
                                  <w:szCs w:val="12"/>
                                </w:rPr>
                                <w:t>ī</w:t>
                              </w:r>
                              <w:r>
                                <w:rPr>
                                  <w:rFonts w:ascii="Arial Narrow" w:hAnsi="Arial Narrow"/>
                                  <w:sz w:val="12"/>
                                  <w:szCs w:val="12"/>
                                </w:rPr>
                                <w:t>b</w:t>
                              </w:r>
                              <w:r>
                                <w:rPr>
                                  <w:rFonts w:ascii="Arial Narrow" w:hAnsi="Arial Narrow" w:cs="Times New Roman"/>
                                  <w:sz w:val="12"/>
                                  <w:szCs w:val="12"/>
                                </w:rPr>
                                <w:t>ā</w:t>
                              </w:r>
                              <w:r>
                                <w:rPr>
                                  <w:rFonts w:ascii="Arial Narrow" w:hAnsi="Arial Narrow"/>
                                  <w:sz w:val="12"/>
                                  <w:szCs w:val="12"/>
                                </w:rPr>
                                <w:t xml:space="preserve"> </w:t>
                              </w:r>
                            </w:p>
                          </w:tc>
                          <w:tc>
                            <w:tcPr>
                              <w:tcW w:w="1042" w:type="pct"/>
                              <w:tcBorders>
                                <w:top w:val="single" w:sz="4" w:space="0" w:color="auto"/>
                                <w:left w:val="single" w:sz="4" w:space="0" w:color="auto"/>
                                <w:bottom w:val="single" w:sz="4" w:space="0" w:color="auto"/>
                                <w:right w:val="single" w:sz="4" w:space="0" w:color="auto"/>
                              </w:tcBorders>
                              <w:vAlign w:val="center"/>
                              <w:hideMark/>
                            </w:tcPr>
                            <w:p w:rsidR="00B55C40" w14:paraId="7C200D0E" w14:textId="77777777">
                              <w:pPr>
                                <w:ind w:left="-154" w:right="-112"/>
                                <w:jc w:val="center"/>
                                <w:rPr>
                                  <w:rFonts w:ascii="Arial Narrow" w:hAnsi="Arial Narrow"/>
                                  <w:sz w:val="12"/>
                                  <w:szCs w:val="12"/>
                                </w:rPr>
                              </w:pPr>
                              <w:r>
                                <w:rPr>
                                  <w:rFonts w:ascii="Arial Narrow" w:hAnsi="Arial Narrow"/>
                                  <w:sz w:val="12"/>
                                  <w:szCs w:val="12"/>
                                </w:rPr>
                                <w:t>20 126 (2013)</w:t>
                              </w:r>
                            </w:p>
                          </w:tc>
                          <w:tc>
                            <w:tcPr>
                              <w:tcW w:w="656" w:type="pct"/>
                              <w:tcBorders>
                                <w:top w:val="single" w:sz="4" w:space="0" w:color="auto"/>
                                <w:left w:val="single" w:sz="4" w:space="0" w:color="auto"/>
                                <w:bottom w:val="single" w:sz="4" w:space="0" w:color="auto"/>
                                <w:right w:val="single" w:sz="4" w:space="0" w:color="auto"/>
                              </w:tcBorders>
                              <w:vAlign w:val="center"/>
                              <w:hideMark/>
                            </w:tcPr>
                            <w:p w:rsidR="00B55C40" w14:paraId="74A1BD28" w14:textId="77777777">
                              <w:pPr>
                                <w:ind w:left="-154" w:right="-112"/>
                                <w:jc w:val="center"/>
                                <w:rPr>
                                  <w:rFonts w:ascii="Arial Narrow" w:hAnsi="Arial Narrow"/>
                                  <w:sz w:val="12"/>
                                  <w:szCs w:val="12"/>
                                </w:rPr>
                              </w:pPr>
                              <w:r>
                                <w:rPr>
                                  <w:rFonts w:ascii="Arial Narrow" w:hAnsi="Arial Narrow"/>
                                  <w:sz w:val="12"/>
                                  <w:szCs w:val="12"/>
                                </w:rPr>
                                <w:t>24 500</w:t>
                              </w:r>
                            </w:p>
                          </w:tc>
                          <w:tc>
                            <w:tcPr>
                              <w:tcW w:w="777" w:type="pct"/>
                              <w:tcBorders>
                                <w:top w:val="single" w:sz="4" w:space="0" w:color="auto"/>
                                <w:left w:val="single" w:sz="4" w:space="0" w:color="auto"/>
                                <w:bottom w:val="single" w:sz="4" w:space="0" w:color="auto"/>
                                <w:right w:val="single" w:sz="4" w:space="0" w:color="auto"/>
                              </w:tcBorders>
                              <w:vAlign w:val="center"/>
                              <w:hideMark/>
                            </w:tcPr>
                            <w:p w:rsidR="00B55C40" w14:paraId="7BE29719" w14:textId="77777777">
                              <w:pPr>
                                <w:ind w:left="-154" w:right="-112"/>
                                <w:jc w:val="center"/>
                                <w:rPr>
                                  <w:rFonts w:ascii="Arial Narrow" w:hAnsi="Arial Narrow"/>
                                  <w:sz w:val="12"/>
                                  <w:szCs w:val="12"/>
                                </w:rPr>
                              </w:pPr>
                              <w:r>
                                <w:rPr>
                                  <w:rFonts w:ascii="Arial Narrow" w:hAnsi="Arial Narrow"/>
                                  <w:sz w:val="12"/>
                                  <w:szCs w:val="12"/>
                                </w:rPr>
                                <w:t>29 000</w:t>
                              </w:r>
                            </w:p>
                          </w:tc>
                        </w:tr>
                      </w:tbl>
                      <w:p w:rsidR="00B55C40" w:rsidP="00DF2882" w14:paraId="20D717B4" w14:textId="77777777">
                        <w:pPr>
                          <w:rPr>
                            <w:rFonts w:ascii="Arial Narrow" w:hAnsi="Arial Narrow"/>
                            <w:sz w:val="12"/>
                            <w:szCs w:val="12"/>
                          </w:rPr>
                        </w:pPr>
                      </w:p>
                    </w:txbxContent>
                  </v:textbox>
                </v:shape>
                <v:shape id="Text Box 28" o:spid="_x0000_s1146" type="#_x0000_t202" style="width:29622;height:14041;mso-wrap-style:square;position:absolute;top:7314;visibility:visible;v-text-anchor:top" strokecolor="#472cbb" strokeweight="1pt">
                  <v:stroke dashstyle="solid"/>
                  <v:textbox>
                    <w:txbxContent>
                      <w:p w:rsidR="00B55C40" w:rsidP="00DF2882" w14:paraId="1D73D95C" w14:textId="77777777">
                        <w:pPr>
                          <w:spacing w:after="0" w:line="240" w:lineRule="auto"/>
                          <w:rPr>
                            <w:rFonts w:ascii="Arial Narrow" w:hAnsi="Arial Narrow" w:cs="Arial"/>
                            <w:sz w:val="12"/>
                            <w:szCs w:val="12"/>
                          </w:rPr>
                        </w:pPr>
                        <w:r>
                          <w:rPr>
                            <w:rFonts w:ascii="Arial Narrow" w:hAnsi="Arial Narrow" w:cs="Arial"/>
                            <w:b/>
                            <w:sz w:val="14"/>
                            <w:szCs w:val="12"/>
                          </w:rPr>
                          <w:t>Makro līmeņa rādītāji</w:t>
                        </w:r>
                        <w:r>
                          <w:rPr>
                            <w:rFonts w:ascii="Arial Narrow" w:hAnsi="Arial Narrow" w:cs="Arial"/>
                            <w:sz w:val="14"/>
                            <w:szCs w:val="12"/>
                          </w:rPr>
                          <w:t xml:space="preserve"> </w:t>
                        </w:r>
                        <w:r>
                          <w:rPr>
                            <w:rFonts w:ascii="Arial Narrow" w:hAnsi="Arial Narrow" w:cs="Arial"/>
                            <w:sz w:val="12"/>
                            <w:szCs w:val="12"/>
                          </w:rPr>
                          <w:t xml:space="preserve">(vērtē programmu ietekmi uz rādītāju izmaiņām </w:t>
                        </w:r>
                        <w:r>
                          <w:rPr>
                            <w:rFonts w:ascii="Arial Narrow" w:hAnsi="Arial Narrow"/>
                            <w:sz w:val="12"/>
                            <w:szCs w:val="12"/>
                          </w:rPr>
                          <w:t>programmu</w:t>
                        </w:r>
                        <w:r>
                          <w:rPr>
                            <w:rFonts w:ascii="Arial Narrow" w:hAnsi="Arial Narrow" w:cs="Arial"/>
                            <w:sz w:val="12"/>
                            <w:szCs w:val="12"/>
                          </w:rPr>
                          <w:t xml:space="preserve"> ex-post izvērtējumu ietvaros):</w:t>
                        </w:r>
                      </w:p>
                      <w:tbl>
                        <w:tblPr>
                          <w:tblStyle w:val="TableGrid"/>
                          <w:tblW w:w="4983" w:type="pct"/>
                          <w:tblLook w:val="04A0"/>
                        </w:tblPr>
                        <w:tblGrid>
                          <w:gridCol w:w="2455"/>
                          <w:gridCol w:w="810"/>
                          <w:gridCol w:w="521"/>
                          <w:gridCol w:w="114"/>
                          <w:gridCol w:w="431"/>
                        </w:tblGrid>
                        <w:tr w14:paraId="7112BB0F"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55C40" w14:paraId="00667079" w14:textId="77777777">
                              <w:pPr>
                                <w:jc w:val="center"/>
                                <w:rPr>
                                  <w:rFonts w:ascii="Arial Narrow" w:hAnsi="Arial Narrow" w:cs="Arial"/>
                                  <w:sz w:val="12"/>
                                  <w:szCs w:val="12"/>
                                </w:rPr>
                              </w:pPr>
                            </w:p>
                          </w:tc>
                          <w:tc>
                            <w:tcPr>
                              <w:tcW w:w="9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5C40" w14:paraId="74F58175" w14:textId="77777777">
                              <w:pPr>
                                <w:ind w:left="-6" w:right="-83"/>
                                <w:jc w:val="center"/>
                                <w:rPr>
                                  <w:rFonts w:ascii="Arial Narrow" w:hAnsi="Arial Narrow" w:cs="Arial"/>
                                  <w:b/>
                                  <w:sz w:val="12"/>
                                  <w:szCs w:val="12"/>
                                </w:rPr>
                              </w:pPr>
                              <w:r>
                                <w:rPr>
                                  <w:rFonts w:ascii="Arial Narrow" w:hAnsi="Arial Narrow" w:cs="Arial"/>
                                  <w:b/>
                                  <w:sz w:val="12"/>
                                  <w:szCs w:val="12"/>
                                </w:rPr>
                                <w:t>Bāze</w:t>
                              </w:r>
                            </w:p>
                          </w:tc>
                          <w:tc>
                            <w:tcPr>
                              <w:tcW w:w="6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5C40" w14:paraId="09746BDB" w14:textId="77777777">
                              <w:pPr>
                                <w:ind w:left="-6" w:right="-83"/>
                                <w:jc w:val="center"/>
                                <w:rPr>
                                  <w:rFonts w:ascii="Arial Narrow" w:hAnsi="Arial Narrow" w:cs="Arial"/>
                                  <w:b/>
                                  <w:sz w:val="12"/>
                                  <w:szCs w:val="12"/>
                                </w:rPr>
                              </w:pPr>
                              <w:r>
                                <w:rPr>
                                  <w:rFonts w:ascii="Arial Narrow" w:hAnsi="Arial Narrow" w:cs="Arial"/>
                                  <w:b/>
                                  <w:sz w:val="12"/>
                                  <w:szCs w:val="12"/>
                                </w:rPr>
                                <w:t>2017</w:t>
                              </w:r>
                            </w:p>
                          </w:tc>
                          <w:tc>
                            <w:tcPr>
                              <w:tcW w:w="62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55C40" w14:paraId="525A6648" w14:textId="77777777">
                              <w:pPr>
                                <w:ind w:left="-6" w:right="-83"/>
                                <w:jc w:val="center"/>
                                <w:rPr>
                                  <w:rFonts w:ascii="Arial Narrow" w:hAnsi="Arial Narrow" w:cs="Arial"/>
                                  <w:b/>
                                  <w:sz w:val="12"/>
                                  <w:szCs w:val="12"/>
                                </w:rPr>
                              </w:pPr>
                              <w:r>
                                <w:rPr>
                                  <w:rFonts w:ascii="Arial Narrow" w:hAnsi="Arial Narrow" w:cs="Arial"/>
                                  <w:b/>
                                  <w:sz w:val="12"/>
                                  <w:szCs w:val="12"/>
                                </w:rPr>
                                <w:t>2020</w:t>
                              </w:r>
                            </w:p>
                          </w:tc>
                        </w:tr>
                        <w:tr w14:paraId="4B7C9469" w14:textId="77777777">
                          <w:tblPrEx>
                            <w:tblW w:w="4983" w:type="pct"/>
                            <w:tblLook w:val="04A0"/>
                          </w:tblPrEx>
                          <w:trPr>
                            <w:trHeight w:val="118"/>
                          </w:trPr>
                          <w:tc>
                            <w:tcPr>
                              <w:tcW w:w="2835" w:type="pct"/>
                              <w:tcBorders>
                                <w:top w:val="single" w:sz="4" w:space="0" w:color="auto"/>
                                <w:left w:val="single" w:sz="4" w:space="0" w:color="auto"/>
                                <w:bottom w:val="single" w:sz="4" w:space="0" w:color="auto"/>
                                <w:right w:val="single" w:sz="4" w:space="0" w:color="auto"/>
                              </w:tcBorders>
                              <w:vAlign w:val="center"/>
                              <w:hideMark/>
                            </w:tcPr>
                            <w:p w:rsidR="00B55C40" w14:paraId="769F25A8" w14:textId="77777777">
                              <w:pPr>
                                <w:rPr>
                                  <w:rFonts w:ascii="Arial Narrow" w:hAnsi="Arial Narrow" w:cs="Times New Roman"/>
                                  <w:sz w:val="11"/>
                                  <w:szCs w:val="11"/>
                                </w:rPr>
                              </w:pPr>
                              <w:r>
                                <w:rPr>
                                  <w:rFonts w:ascii="Arial Narrow" w:hAnsi="Arial Narrow" w:cs="Times New Roman"/>
                                  <w:sz w:val="11"/>
                                  <w:szCs w:val="11"/>
                                </w:rPr>
                                <w:t>Privātā sektora investīcijas R&amp;D (%  no kopējiem ieguldījumiem)</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paraId="52749DEF" w14:textId="77777777">
                              <w:pPr>
                                <w:pStyle w:val="TableText"/>
                                <w:jc w:val="center"/>
                                <w:rPr>
                                  <w:rFonts w:ascii="Arial Narrow" w:hAnsi="Arial Narrow"/>
                                  <w:sz w:val="11"/>
                                  <w:szCs w:val="11"/>
                                  <w:lang w:eastAsia="en-US"/>
                                </w:rPr>
                              </w:pPr>
                              <w:r>
                                <w:rPr>
                                  <w:rFonts w:ascii="Arial Narrow" w:hAnsi="Arial Narrow"/>
                                  <w:sz w:val="11"/>
                                  <w:szCs w:val="11"/>
                                  <w:lang w:eastAsia="en-US"/>
                                </w:rPr>
                                <w:t xml:space="preserve">21,8 </w:t>
                              </w:r>
                            </w:p>
                            <w:p w:rsidR="00B55C40" w14:paraId="5EDBB60F" w14:textId="77777777">
                              <w:pPr>
                                <w:pStyle w:val="TableText"/>
                                <w:jc w:val="center"/>
                                <w:rPr>
                                  <w:rFonts w:ascii="Arial Narrow" w:hAnsi="Arial Narrow"/>
                                  <w:sz w:val="11"/>
                                  <w:szCs w:val="11"/>
                                  <w:lang w:eastAsia="en-US"/>
                                </w:rPr>
                              </w:pPr>
                              <w:r>
                                <w:rPr>
                                  <w:rFonts w:ascii="Arial Narrow" w:hAnsi="Arial Narrow"/>
                                  <w:sz w:val="11"/>
                                  <w:szCs w:val="11"/>
                                  <w:lang w:eastAsia="en-US"/>
                                </w:rPr>
                                <w:t>(2013)</w:t>
                              </w:r>
                            </w:p>
                          </w:tc>
                          <w:tc>
                            <w:tcPr>
                              <w:tcW w:w="601" w:type="pct"/>
                              <w:tcBorders>
                                <w:top w:val="single" w:sz="4" w:space="0" w:color="auto"/>
                                <w:left w:val="single" w:sz="4" w:space="0" w:color="auto"/>
                                <w:bottom w:val="single" w:sz="4" w:space="0" w:color="auto"/>
                                <w:right w:val="single" w:sz="4" w:space="0" w:color="auto"/>
                              </w:tcBorders>
                              <w:vAlign w:val="center"/>
                              <w:hideMark/>
                            </w:tcPr>
                            <w:p w:rsidR="00B55C40" w14:paraId="2DE44E4B" w14:textId="77777777">
                              <w:pPr>
                                <w:jc w:val="center"/>
                                <w:rPr>
                                  <w:rFonts w:ascii="Arial Narrow" w:hAnsi="Arial Narrow" w:cs="Times New Roman"/>
                                  <w:sz w:val="11"/>
                                  <w:szCs w:val="11"/>
                                </w:rPr>
                              </w:pPr>
                              <w:r>
                                <w:rPr>
                                  <w:rFonts w:ascii="Arial Narrow" w:hAnsi="Arial Narrow" w:cs="Times New Roman"/>
                                  <w:sz w:val="11"/>
                                  <w:szCs w:val="11"/>
                                </w:rPr>
                                <w:t>46</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B55C40" w14:paraId="2A9C5BDA" w14:textId="77777777">
                              <w:pPr>
                                <w:jc w:val="center"/>
                                <w:rPr>
                                  <w:rFonts w:ascii="Arial Narrow" w:hAnsi="Arial Narrow" w:cs="Times New Roman"/>
                                  <w:sz w:val="11"/>
                                  <w:szCs w:val="11"/>
                                </w:rPr>
                              </w:pPr>
                              <w:r>
                                <w:rPr>
                                  <w:rFonts w:ascii="Arial Narrow" w:hAnsi="Arial Narrow" w:cs="Times New Roman"/>
                                  <w:sz w:val="11"/>
                                  <w:szCs w:val="11"/>
                                </w:rPr>
                                <w:t>48</w:t>
                              </w:r>
                            </w:p>
                          </w:tc>
                        </w:tr>
                        <w:tr w14:paraId="3F598DE6"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paraId="05564E4C" w14:textId="77777777">
                              <w:pPr>
                                <w:pStyle w:val="TableText"/>
                                <w:jc w:val="left"/>
                                <w:rPr>
                                  <w:rFonts w:ascii="Arial Narrow" w:hAnsi="Arial Narrow"/>
                                  <w:sz w:val="11"/>
                                  <w:szCs w:val="11"/>
                                  <w:lang w:eastAsia="en-US"/>
                                </w:rPr>
                              </w:pPr>
                              <w:r>
                                <w:rPr>
                                  <w:rFonts w:ascii="Arial Narrow" w:hAnsi="Arial Narrow"/>
                                  <w:sz w:val="11"/>
                                  <w:szCs w:val="11"/>
                                  <w:lang w:eastAsia="en-US"/>
                                </w:rPr>
                                <w:t>Inovatīvo uzņēmumu īpatsvars (% no visiem uzņēmumiem)</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paraId="5B067E64" w14:textId="77777777">
                              <w:pPr>
                                <w:pStyle w:val="TableText"/>
                                <w:jc w:val="center"/>
                                <w:rPr>
                                  <w:rFonts w:ascii="Arial Narrow" w:hAnsi="Arial Narrow"/>
                                  <w:sz w:val="11"/>
                                  <w:szCs w:val="11"/>
                                  <w:lang w:eastAsia="en-US"/>
                                </w:rPr>
                              </w:pPr>
                              <w:r>
                                <w:rPr>
                                  <w:rFonts w:ascii="Arial Narrow" w:hAnsi="Arial Narrow"/>
                                  <w:sz w:val="11"/>
                                  <w:szCs w:val="11"/>
                                  <w:lang w:eastAsia="en-US"/>
                                </w:rPr>
                                <w:t xml:space="preserve">30,4 </w:t>
                              </w:r>
                            </w:p>
                            <w:p w:rsidR="00B55C40" w14:paraId="232BB8CB" w14:textId="77777777">
                              <w:pPr>
                                <w:pStyle w:val="TableText"/>
                                <w:jc w:val="center"/>
                                <w:rPr>
                                  <w:rFonts w:ascii="Arial Narrow" w:hAnsi="Arial Narrow"/>
                                  <w:sz w:val="11"/>
                                  <w:szCs w:val="11"/>
                                  <w:lang w:eastAsia="en-US"/>
                                </w:rPr>
                              </w:pPr>
                              <w:r>
                                <w:rPr>
                                  <w:rFonts w:ascii="Arial Narrow" w:hAnsi="Arial Narrow"/>
                                  <w:sz w:val="11"/>
                                  <w:szCs w:val="11"/>
                                  <w:lang w:eastAsia="en-US"/>
                                </w:rPr>
                                <w:t>(2012)</w:t>
                              </w:r>
                            </w:p>
                          </w:tc>
                          <w:tc>
                            <w:tcPr>
                              <w:tcW w:w="601" w:type="pct"/>
                              <w:tcBorders>
                                <w:top w:val="single" w:sz="4" w:space="0" w:color="auto"/>
                                <w:left w:val="single" w:sz="4" w:space="0" w:color="auto"/>
                                <w:bottom w:val="single" w:sz="4" w:space="0" w:color="auto"/>
                                <w:right w:val="single" w:sz="4" w:space="0" w:color="auto"/>
                              </w:tcBorders>
                              <w:vAlign w:val="center"/>
                              <w:hideMark/>
                            </w:tcPr>
                            <w:p w:rsidR="00B55C40" w14:paraId="5F5CFDE4" w14:textId="77777777">
                              <w:pPr>
                                <w:jc w:val="center"/>
                                <w:rPr>
                                  <w:rFonts w:ascii="Arial Narrow" w:hAnsi="Arial Narrow" w:cs="Times New Roman"/>
                                  <w:sz w:val="11"/>
                                  <w:szCs w:val="11"/>
                                </w:rPr>
                              </w:pPr>
                              <w:r>
                                <w:rPr>
                                  <w:rFonts w:ascii="Arial Narrow" w:hAnsi="Arial Narrow" w:cs="Times New Roman"/>
                                  <w:sz w:val="11"/>
                                  <w:szCs w:val="11"/>
                                </w:rPr>
                                <w:t>35</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B55C40" w14:paraId="0D84EBDF" w14:textId="77777777">
                              <w:pPr>
                                <w:jc w:val="center"/>
                                <w:rPr>
                                  <w:rFonts w:ascii="Arial Narrow" w:hAnsi="Arial Narrow" w:cs="Times New Roman"/>
                                  <w:sz w:val="11"/>
                                  <w:szCs w:val="11"/>
                                </w:rPr>
                              </w:pPr>
                              <w:r>
                                <w:rPr>
                                  <w:rFonts w:ascii="Arial Narrow" w:hAnsi="Arial Narrow" w:cs="Times New Roman"/>
                                  <w:sz w:val="11"/>
                                  <w:szCs w:val="11"/>
                                </w:rPr>
                                <w:t>40</w:t>
                              </w:r>
                            </w:p>
                          </w:tc>
                        </w:tr>
                        <w:tr w14:paraId="2A373B48"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paraId="69A579C2" w14:textId="77777777">
                              <w:pPr>
                                <w:rPr>
                                  <w:rFonts w:ascii="Arial Narrow" w:hAnsi="Arial Narrow" w:cs="Times New Roman"/>
                                  <w:sz w:val="11"/>
                                  <w:szCs w:val="11"/>
                                </w:rPr>
                              </w:pPr>
                              <w:r>
                                <w:rPr>
                                  <w:rFonts w:ascii="Arial Narrow" w:hAnsi="Arial Narrow" w:cs="Times New Roman"/>
                                  <w:sz w:val="11"/>
                                  <w:szCs w:val="11"/>
                                </w:rPr>
                                <w:t>Augsto un vidēji augsto tehnoloģiju nozaru īpatsvars Latvijas preču eksportā (%)</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paraId="0C3CF314" w14:textId="77777777">
                              <w:pPr>
                                <w:jc w:val="center"/>
                                <w:rPr>
                                  <w:rFonts w:ascii="Arial Narrow" w:hAnsi="Arial Narrow" w:cs="Times New Roman"/>
                                  <w:sz w:val="11"/>
                                  <w:szCs w:val="11"/>
                                </w:rPr>
                              </w:pPr>
                              <w:r>
                                <w:rPr>
                                  <w:rFonts w:ascii="Arial Narrow" w:hAnsi="Arial Narrow" w:cs="Times New Roman"/>
                                  <w:sz w:val="11"/>
                                  <w:szCs w:val="11"/>
                                </w:rPr>
                                <w:t xml:space="preserve">23,8 </w:t>
                              </w:r>
                            </w:p>
                            <w:p w:rsidR="00B55C40" w14:paraId="1945F373" w14:textId="77777777">
                              <w:pPr>
                                <w:jc w:val="center"/>
                                <w:rPr>
                                  <w:rFonts w:ascii="Arial Narrow" w:hAnsi="Arial Narrow" w:cs="Times New Roman"/>
                                  <w:sz w:val="11"/>
                                  <w:szCs w:val="11"/>
                                </w:rPr>
                              </w:pPr>
                              <w:r>
                                <w:rPr>
                                  <w:rFonts w:ascii="Arial Narrow" w:hAnsi="Arial Narrow" w:cs="Times New Roman"/>
                                  <w:sz w:val="11"/>
                                  <w:szCs w:val="11"/>
                                </w:rPr>
                                <w:t>(2012)</w:t>
                              </w:r>
                            </w:p>
                          </w:tc>
                          <w:tc>
                            <w:tcPr>
                              <w:tcW w:w="601" w:type="pct"/>
                              <w:tcBorders>
                                <w:top w:val="single" w:sz="4" w:space="0" w:color="auto"/>
                                <w:left w:val="single" w:sz="4" w:space="0" w:color="auto"/>
                                <w:bottom w:val="single" w:sz="4" w:space="0" w:color="auto"/>
                                <w:right w:val="single" w:sz="4" w:space="0" w:color="auto"/>
                              </w:tcBorders>
                              <w:vAlign w:val="center"/>
                              <w:hideMark/>
                            </w:tcPr>
                            <w:p w:rsidR="00B55C40" w14:paraId="2B994A8F" w14:textId="77777777">
                              <w:pPr>
                                <w:jc w:val="center"/>
                                <w:rPr>
                                  <w:rFonts w:ascii="Arial Narrow" w:hAnsi="Arial Narrow" w:cs="Times New Roman"/>
                                  <w:sz w:val="11"/>
                                  <w:szCs w:val="11"/>
                                </w:rPr>
                              </w:pPr>
                              <w:r>
                                <w:rPr>
                                  <w:rFonts w:ascii="Arial Narrow" w:hAnsi="Arial Narrow" w:cs="Times New Roman"/>
                                  <w:sz w:val="11"/>
                                  <w:szCs w:val="11"/>
                                </w:rPr>
                                <w:t>27</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B55C40" w14:paraId="32CE2A3D" w14:textId="77777777">
                              <w:pPr>
                                <w:jc w:val="center"/>
                                <w:rPr>
                                  <w:rFonts w:ascii="Arial Narrow" w:hAnsi="Arial Narrow" w:cs="Times New Roman"/>
                                  <w:sz w:val="11"/>
                                  <w:szCs w:val="11"/>
                                </w:rPr>
                              </w:pPr>
                              <w:r>
                                <w:rPr>
                                  <w:rFonts w:ascii="Arial Narrow" w:hAnsi="Arial Narrow" w:cs="Times New Roman"/>
                                  <w:sz w:val="11"/>
                                  <w:szCs w:val="11"/>
                                </w:rPr>
                                <w:t>31</w:t>
                              </w:r>
                            </w:p>
                          </w:tc>
                        </w:tr>
                        <w:tr w14:paraId="251CFE84"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paraId="23E9F9D2" w14:textId="77777777">
                              <w:pPr>
                                <w:rPr>
                                  <w:rFonts w:ascii="Arial Narrow" w:hAnsi="Arial Narrow" w:cs="Times New Roman"/>
                                  <w:sz w:val="11"/>
                                  <w:szCs w:val="11"/>
                                </w:rPr>
                              </w:pPr>
                              <w:r>
                                <w:rPr>
                                  <w:rFonts w:ascii="Arial Narrow" w:hAnsi="Arial Narrow" w:cs="Times New Roman"/>
                                  <w:sz w:val="11"/>
                                  <w:szCs w:val="11"/>
                                </w:rPr>
                                <w:t>Zinātnisko darbinieku skaits pētniecībā un attīstībā (publiskajā, privātajā sektorā)</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paraId="6221BDC3" w14:textId="77777777">
                              <w:pPr>
                                <w:jc w:val="center"/>
                                <w:rPr>
                                  <w:rFonts w:ascii="Arial Narrow" w:hAnsi="Arial Narrow" w:cs="Times New Roman"/>
                                  <w:sz w:val="11"/>
                                  <w:szCs w:val="11"/>
                                </w:rPr>
                              </w:pPr>
                              <w:r>
                                <w:rPr>
                                  <w:rFonts w:ascii="Arial Narrow" w:hAnsi="Arial Narrow" w:cs="Times New Roman"/>
                                  <w:sz w:val="11"/>
                                  <w:szCs w:val="11"/>
                                </w:rPr>
                                <w:t xml:space="preserve">5593 </w:t>
                              </w:r>
                            </w:p>
                            <w:p w:rsidR="00B55C40" w14:paraId="4379BED3" w14:textId="77777777">
                              <w:pPr>
                                <w:jc w:val="center"/>
                                <w:rPr>
                                  <w:rFonts w:ascii="Arial Narrow" w:hAnsi="Arial Narrow" w:cs="Times New Roman"/>
                                  <w:sz w:val="11"/>
                                  <w:szCs w:val="11"/>
                                </w:rPr>
                              </w:pPr>
                              <w:r>
                                <w:rPr>
                                  <w:rFonts w:ascii="Arial Narrow" w:hAnsi="Arial Narrow" w:cs="Times New Roman"/>
                                  <w:sz w:val="11"/>
                                  <w:szCs w:val="11"/>
                                </w:rPr>
                                <w:t>(2013)</w:t>
                              </w:r>
                            </w:p>
                          </w:tc>
                          <w:tc>
                            <w:tcPr>
                              <w:tcW w:w="601" w:type="pct"/>
                              <w:tcBorders>
                                <w:top w:val="single" w:sz="4" w:space="0" w:color="auto"/>
                                <w:left w:val="single" w:sz="4" w:space="0" w:color="auto"/>
                                <w:bottom w:val="single" w:sz="4" w:space="0" w:color="auto"/>
                                <w:right w:val="single" w:sz="4" w:space="0" w:color="auto"/>
                              </w:tcBorders>
                              <w:vAlign w:val="center"/>
                              <w:hideMark/>
                            </w:tcPr>
                            <w:p w:rsidR="00B55C40" w14:paraId="309A8E74" w14:textId="77777777">
                              <w:pPr>
                                <w:jc w:val="center"/>
                                <w:rPr>
                                  <w:rFonts w:ascii="Arial Narrow" w:hAnsi="Arial Narrow" w:cs="Times New Roman"/>
                                  <w:sz w:val="11"/>
                                  <w:szCs w:val="11"/>
                                </w:rPr>
                              </w:pPr>
                              <w:r>
                                <w:rPr>
                                  <w:rFonts w:ascii="Arial Narrow" w:hAnsi="Arial Narrow" w:cs="Times New Roman"/>
                                  <w:sz w:val="11"/>
                                  <w:szCs w:val="11"/>
                                </w:rPr>
                                <w:t>6300</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B55C40" w14:paraId="3457BDE6" w14:textId="77777777">
                              <w:pPr>
                                <w:jc w:val="center"/>
                                <w:rPr>
                                  <w:rFonts w:ascii="Arial Narrow" w:hAnsi="Arial Narrow" w:cs="Times New Roman"/>
                                  <w:sz w:val="11"/>
                                  <w:szCs w:val="11"/>
                                </w:rPr>
                              </w:pPr>
                              <w:r>
                                <w:rPr>
                                  <w:rFonts w:ascii="Arial Narrow" w:hAnsi="Arial Narrow" w:cs="Times New Roman"/>
                                  <w:sz w:val="11"/>
                                  <w:szCs w:val="11"/>
                                </w:rPr>
                                <w:t>7000</w:t>
                              </w:r>
                            </w:p>
                          </w:tc>
                        </w:tr>
                        <w:tr w14:paraId="64B0505C"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paraId="645CDF40" w14:textId="77777777">
                              <w:pPr>
                                <w:pStyle w:val="TableText"/>
                                <w:jc w:val="left"/>
                                <w:rPr>
                                  <w:rFonts w:ascii="Arial Narrow" w:hAnsi="Arial Narrow"/>
                                  <w:sz w:val="11"/>
                                  <w:szCs w:val="11"/>
                                  <w:lang w:eastAsia="en-US"/>
                                </w:rPr>
                              </w:pPr>
                              <w:r>
                                <w:rPr>
                                  <w:rFonts w:ascii="Arial Narrow" w:hAnsi="Arial Narrow"/>
                                  <w:sz w:val="11"/>
                                  <w:szCs w:val="11"/>
                                  <w:lang w:eastAsia="en-US"/>
                                </w:rPr>
                                <w:t>Mazāks skaits spēcīgāku valsts finansētu zinātnisko institūciju</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paraId="59ED7729" w14:textId="77777777">
                              <w:pPr>
                                <w:pStyle w:val="TableText"/>
                                <w:jc w:val="center"/>
                                <w:rPr>
                                  <w:rFonts w:ascii="Arial Narrow" w:hAnsi="Arial Narrow"/>
                                  <w:sz w:val="11"/>
                                  <w:szCs w:val="11"/>
                                  <w:lang w:eastAsia="en-US"/>
                                </w:rPr>
                              </w:pPr>
                              <w:r>
                                <w:rPr>
                                  <w:rFonts w:ascii="Arial Narrow" w:hAnsi="Arial Narrow"/>
                                  <w:sz w:val="11"/>
                                  <w:szCs w:val="11"/>
                                  <w:lang w:eastAsia="en-US"/>
                                </w:rPr>
                                <w:t xml:space="preserve">42 </w:t>
                              </w:r>
                            </w:p>
                            <w:p w:rsidR="00B55C40" w14:paraId="060142BB" w14:textId="77777777">
                              <w:pPr>
                                <w:pStyle w:val="TableText"/>
                                <w:jc w:val="center"/>
                                <w:rPr>
                                  <w:rFonts w:ascii="Arial Narrow" w:hAnsi="Arial Narrow"/>
                                  <w:sz w:val="11"/>
                                  <w:szCs w:val="11"/>
                                  <w:lang w:eastAsia="en-US"/>
                                </w:rPr>
                              </w:pPr>
                              <w:r>
                                <w:rPr>
                                  <w:rFonts w:ascii="Arial Narrow" w:hAnsi="Arial Narrow"/>
                                  <w:sz w:val="11"/>
                                  <w:szCs w:val="11"/>
                                  <w:lang w:eastAsia="en-US"/>
                                </w:rPr>
                                <w:t>(2013)</w:t>
                              </w:r>
                            </w:p>
                          </w:tc>
                          <w:tc>
                            <w:tcPr>
                              <w:tcW w:w="1230" w:type="pct"/>
                              <w:gridSpan w:val="3"/>
                              <w:tcBorders>
                                <w:top w:val="single" w:sz="4" w:space="0" w:color="auto"/>
                                <w:left w:val="single" w:sz="4" w:space="0" w:color="auto"/>
                                <w:bottom w:val="single" w:sz="4" w:space="0" w:color="auto"/>
                                <w:right w:val="single" w:sz="4" w:space="0" w:color="auto"/>
                              </w:tcBorders>
                              <w:vAlign w:val="center"/>
                              <w:hideMark/>
                            </w:tcPr>
                            <w:p w:rsidR="00B55C40" w14:paraId="7969A372" w14:textId="77777777">
                              <w:pPr>
                                <w:jc w:val="center"/>
                                <w:rPr>
                                  <w:rFonts w:ascii="Arial Narrow" w:hAnsi="Arial Narrow" w:cs="Times New Roman"/>
                                  <w:sz w:val="11"/>
                                  <w:szCs w:val="11"/>
                                </w:rPr>
                              </w:pPr>
                              <w:r>
                                <w:rPr>
                                  <w:rFonts w:ascii="Arial Narrow" w:hAnsi="Arial Narrow" w:cs="Times New Roman"/>
                                  <w:sz w:val="11"/>
                                  <w:szCs w:val="11"/>
                                </w:rPr>
                                <w:t>30</w:t>
                              </w:r>
                            </w:p>
                          </w:tc>
                        </w:tr>
                        <w:tr w14:paraId="47D4AE4E" w14:textId="77777777">
                          <w:tblPrEx>
                            <w:tblW w:w="4983" w:type="pct"/>
                            <w:tblLook w:val="04A0"/>
                          </w:tblPrEx>
                          <w:tc>
                            <w:tcPr>
                              <w:tcW w:w="2835" w:type="pct"/>
                              <w:tcBorders>
                                <w:top w:val="single" w:sz="4" w:space="0" w:color="auto"/>
                                <w:left w:val="single" w:sz="4" w:space="0" w:color="auto"/>
                                <w:bottom w:val="single" w:sz="4" w:space="0" w:color="auto"/>
                                <w:right w:val="single" w:sz="4" w:space="0" w:color="auto"/>
                              </w:tcBorders>
                              <w:vAlign w:val="center"/>
                              <w:hideMark/>
                            </w:tcPr>
                            <w:p w:rsidR="00B55C40" w14:paraId="5B07D4AD" w14:textId="77777777">
                              <w:pPr>
                                <w:pStyle w:val="TableText"/>
                                <w:jc w:val="left"/>
                                <w:rPr>
                                  <w:rFonts w:ascii="Arial Narrow" w:hAnsi="Arial Narrow"/>
                                  <w:sz w:val="11"/>
                                  <w:szCs w:val="11"/>
                                  <w:lang w:eastAsia="en-US"/>
                                </w:rPr>
                              </w:pPr>
                              <w:r>
                                <w:rPr>
                                  <w:rFonts w:ascii="Arial Narrow" w:hAnsi="Arial Narrow"/>
                                  <w:sz w:val="11"/>
                                  <w:szCs w:val="11"/>
                                  <w:lang w:eastAsia="en-US"/>
                                </w:rPr>
                                <w:t xml:space="preserve">Absolventu (ISCED 5. un 6.) īpatsvars STEM jomās no kopējā absolventu skaita, % </w:t>
                              </w:r>
                            </w:p>
                          </w:tc>
                          <w:tc>
                            <w:tcPr>
                              <w:tcW w:w="935" w:type="pct"/>
                              <w:tcBorders>
                                <w:top w:val="single" w:sz="4" w:space="0" w:color="auto"/>
                                <w:left w:val="single" w:sz="4" w:space="0" w:color="auto"/>
                                <w:bottom w:val="single" w:sz="4" w:space="0" w:color="auto"/>
                                <w:right w:val="single" w:sz="4" w:space="0" w:color="auto"/>
                              </w:tcBorders>
                              <w:vAlign w:val="center"/>
                              <w:hideMark/>
                            </w:tcPr>
                            <w:p w:rsidR="00B55C40" w14:paraId="5676E955" w14:textId="77777777">
                              <w:pPr>
                                <w:pStyle w:val="TableText"/>
                                <w:jc w:val="center"/>
                                <w:rPr>
                                  <w:rFonts w:ascii="Arial Narrow" w:hAnsi="Arial Narrow"/>
                                  <w:sz w:val="11"/>
                                  <w:szCs w:val="11"/>
                                  <w:lang w:eastAsia="en-US"/>
                                </w:rPr>
                              </w:pPr>
                              <w:r>
                                <w:rPr>
                                  <w:rFonts w:ascii="Arial Narrow" w:hAnsi="Arial Narrow"/>
                                  <w:sz w:val="11"/>
                                  <w:szCs w:val="11"/>
                                  <w:lang w:eastAsia="en-US"/>
                                </w:rPr>
                                <w:t xml:space="preserve">19 </w:t>
                              </w:r>
                            </w:p>
                            <w:p w:rsidR="00B55C40" w14:paraId="2AE23EB7" w14:textId="77777777">
                              <w:pPr>
                                <w:pStyle w:val="TableText"/>
                                <w:jc w:val="center"/>
                                <w:rPr>
                                  <w:rFonts w:ascii="Arial Narrow" w:hAnsi="Arial Narrow"/>
                                  <w:sz w:val="11"/>
                                  <w:szCs w:val="11"/>
                                  <w:lang w:eastAsia="en-US"/>
                                </w:rPr>
                              </w:pPr>
                              <w:r>
                                <w:rPr>
                                  <w:rFonts w:ascii="Arial Narrow" w:hAnsi="Arial Narrow"/>
                                  <w:sz w:val="11"/>
                                  <w:szCs w:val="11"/>
                                  <w:lang w:eastAsia="en-US"/>
                                </w:rPr>
                                <w:t>(2012)</w:t>
                              </w:r>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rsidR="00B55C40" w14:paraId="448CCE58" w14:textId="77777777">
                              <w:pPr>
                                <w:jc w:val="center"/>
                                <w:rPr>
                                  <w:rFonts w:ascii="Arial Narrow" w:hAnsi="Arial Narrow" w:cs="Times New Roman"/>
                                  <w:sz w:val="11"/>
                                  <w:szCs w:val="11"/>
                                </w:rPr>
                              </w:pPr>
                              <w:r>
                                <w:rPr>
                                  <w:rFonts w:ascii="Arial Narrow" w:hAnsi="Arial Narrow" w:cs="Times New Roman"/>
                                  <w:sz w:val="11"/>
                                  <w:szCs w:val="11"/>
                                </w:rPr>
                                <w:t>25</w:t>
                              </w:r>
                            </w:p>
                          </w:tc>
                          <w:tc>
                            <w:tcPr>
                              <w:tcW w:w="497" w:type="pct"/>
                              <w:tcBorders>
                                <w:top w:val="single" w:sz="4" w:space="0" w:color="auto"/>
                                <w:left w:val="single" w:sz="4" w:space="0" w:color="auto"/>
                                <w:bottom w:val="single" w:sz="4" w:space="0" w:color="auto"/>
                                <w:right w:val="single" w:sz="4" w:space="0" w:color="auto"/>
                              </w:tcBorders>
                              <w:vAlign w:val="center"/>
                              <w:hideMark/>
                            </w:tcPr>
                            <w:p w:rsidR="00B55C40" w14:paraId="68D4D3F8" w14:textId="77777777">
                              <w:pPr>
                                <w:jc w:val="center"/>
                                <w:rPr>
                                  <w:rFonts w:ascii="Arial Narrow" w:hAnsi="Arial Narrow" w:cs="Times New Roman"/>
                                  <w:sz w:val="11"/>
                                  <w:szCs w:val="11"/>
                                </w:rPr>
                              </w:pPr>
                              <w:r>
                                <w:rPr>
                                  <w:rFonts w:ascii="Arial Narrow" w:hAnsi="Arial Narrow" w:cs="Times New Roman"/>
                                  <w:sz w:val="11"/>
                                  <w:szCs w:val="11"/>
                                </w:rPr>
                                <w:t>27</w:t>
                              </w:r>
                            </w:p>
                          </w:tc>
                        </w:tr>
                      </w:tbl>
                      <w:p w:rsidR="00B55C40" w:rsidP="00DF2882" w14:paraId="452FBEAD" w14:textId="77777777">
                        <w:pPr>
                          <w:rPr>
                            <w:sz w:val="12"/>
                            <w:szCs w:val="12"/>
                          </w:rPr>
                        </w:pPr>
                      </w:p>
                    </w:txbxContent>
                  </v:textbox>
                </v:shape>
                <v:shape id="Text Box 289" o:spid="_x0000_s1147" type="#_x0000_t202" style="width:29622;height:21502;mso-wrap-style:square;position:absolute;top:21357;visibility:visible;v-text-anchor:top" strokecolor="#472cbb" strokeweight="1pt">
                  <v:stroke dashstyle="solid"/>
                  <v:textbox>
                    <w:txbxContent>
                      <w:p w:rsidR="00B55C40" w:rsidP="00DF2882" w14:paraId="0E466365" w14:textId="77777777">
                        <w:pPr>
                          <w:spacing w:after="0" w:line="240" w:lineRule="auto"/>
                          <w:rPr>
                            <w:rFonts w:ascii="Arial Narrow" w:hAnsi="Arial Narrow"/>
                            <w:sz w:val="12"/>
                            <w:szCs w:val="12"/>
                          </w:rPr>
                        </w:pPr>
                        <w:r>
                          <w:rPr>
                            <w:rFonts w:ascii="Arial Narrow" w:hAnsi="Arial Narrow"/>
                            <w:b/>
                            <w:sz w:val="12"/>
                            <w:szCs w:val="12"/>
                          </w:rPr>
                          <w:t xml:space="preserve">Monitoringa mikro līmeņa indikatori </w:t>
                        </w:r>
                      </w:p>
                      <w:tbl>
                        <w:tblPr>
                          <w:tblStyle w:val="TableGrid"/>
                          <w:tblW w:w="5000" w:type="pct"/>
                          <w:tblLook w:val="04A0"/>
                        </w:tblPr>
                        <w:tblGrid>
                          <w:gridCol w:w="4346"/>
                        </w:tblGrid>
                        <w:tr w14:paraId="22317B0F"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55C40" w14:paraId="3D5FE06D" w14:textId="77777777">
                              <w:pPr>
                                <w:rPr>
                                  <w:rFonts w:ascii="Arial Narrow" w:hAnsi="Arial Narrow"/>
                                  <w:sz w:val="12"/>
                                  <w:szCs w:val="12"/>
                                </w:rPr>
                              </w:pPr>
                              <w:r>
                                <w:rPr>
                                  <w:rFonts w:ascii="Arial Narrow" w:hAnsi="Arial Narrow"/>
                                  <w:sz w:val="12"/>
                                  <w:szCs w:val="12"/>
                                </w:rPr>
                                <w:t>Zin</w:t>
                              </w:r>
                              <w:r>
                                <w:rPr>
                                  <w:rFonts w:ascii="Arial Narrow" w:hAnsi="Arial Narrow" w:cs="Times New Roman"/>
                                  <w:sz w:val="12"/>
                                  <w:szCs w:val="12"/>
                                </w:rPr>
                                <w:t>ā</w:t>
                              </w:r>
                              <w:r>
                                <w:rPr>
                                  <w:rFonts w:ascii="Arial Narrow" w:hAnsi="Arial Narrow"/>
                                  <w:sz w:val="12"/>
                                  <w:szCs w:val="12"/>
                                </w:rPr>
                                <w:t>tnisko instit</w:t>
                              </w:r>
                              <w:r>
                                <w:rPr>
                                  <w:rFonts w:ascii="Arial Narrow" w:hAnsi="Arial Narrow" w:cs="Times New Roman"/>
                                  <w:sz w:val="12"/>
                                  <w:szCs w:val="12"/>
                                </w:rPr>
                                <w:t>ū</w:t>
                              </w:r>
                              <w:r>
                                <w:rPr>
                                  <w:rFonts w:ascii="Arial Narrow" w:hAnsi="Arial Narrow"/>
                                  <w:sz w:val="12"/>
                                  <w:szCs w:val="12"/>
                                </w:rPr>
                                <w:t>ciju licen</w:t>
                              </w:r>
                              <w:r>
                                <w:rPr>
                                  <w:rFonts w:ascii="Arial Narrow" w:hAnsi="Arial Narrow" w:cs="Times New Roman"/>
                                  <w:sz w:val="12"/>
                                  <w:szCs w:val="12"/>
                                </w:rPr>
                                <w:t>č</w:t>
                              </w:r>
                              <w:r>
                                <w:rPr>
                                  <w:rFonts w:ascii="Arial Narrow" w:hAnsi="Arial Narrow"/>
                                  <w:sz w:val="12"/>
                                  <w:szCs w:val="12"/>
                                </w:rPr>
                                <w:t>u/ patentu ie</w:t>
                              </w:r>
                              <w:r>
                                <w:rPr>
                                  <w:rFonts w:ascii="Arial Narrow" w:hAnsi="Arial Narrow" w:cs="Times New Roman"/>
                                  <w:sz w:val="12"/>
                                  <w:szCs w:val="12"/>
                                </w:rPr>
                                <w:t>ņē</w:t>
                              </w:r>
                              <w:r>
                                <w:rPr>
                                  <w:rFonts w:ascii="Arial Narrow" w:hAnsi="Arial Narrow"/>
                                  <w:sz w:val="12"/>
                                  <w:szCs w:val="12"/>
                                </w:rPr>
                                <w:t>mumi (EUR)</w:t>
                              </w:r>
                            </w:p>
                          </w:tc>
                        </w:tr>
                        <w:tr w14:paraId="4F63598D"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paraId="5F4AB089" w14:textId="77777777">
                              <w:pPr>
                                <w:rPr>
                                  <w:rFonts w:ascii="Arial Narrow" w:hAnsi="Arial Narrow"/>
                                  <w:sz w:val="12"/>
                                  <w:szCs w:val="12"/>
                                </w:rPr>
                              </w:pPr>
                              <w:r>
                                <w:rPr>
                                  <w:rFonts w:ascii="Arial Narrow" w:hAnsi="Arial Narrow" w:cs="Times New Roman"/>
                                  <w:sz w:val="12"/>
                                  <w:szCs w:val="12"/>
                                </w:rPr>
                                <w:t>Uzņēmumu līdzfinansējums P&amp;A projektiem (EUR)</w:t>
                              </w:r>
                            </w:p>
                          </w:tc>
                        </w:tr>
                        <w:tr w14:paraId="169BA4C5"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paraId="316F51A3" w14:textId="77777777">
                              <w:pPr>
                                <w:rPr>
                                  <w:rFonts w:ascii="Arial Narrow" w:hAnsi="Arial Narrow"/>
                                  <w:sz w:val="12"/>
                                  <w:szCs w:val="12"/>
                                </w:rPr>
                              </w:pPr>
                              <w:r>
                                <w:rPr>
                                  <w:rFonts w:ascii="Arial Narrow" w:hAnsi="Arial Narrow"/>
                                  <w:sz w:val="12"/>
                                  <w:szCs w:val="12"/>
                                </w:rPr>
                                <w:t>Uz</w:t>
                              </w:r>
                              <w:r>
                                <w:rPr>
                                  <w:rFonts w:ascii="Arial Narrow" w:hAnsi="Arial Narrow" w:cs="Times New Roman"/>
                                  <w:sz w:val="12"/>
                                  <w:szCs w:val="12"/>
                                </w:rPr>
                                <w:t>ņē</w:t>
                              </w:r>
                              <w:r>
                                <w:rPr>
                                  <w:rFonts w:ascii="Arial Narrow" w:hAnsi="Arial Narrow"/>
                                  <w:sz w:val="12"/>
                                  <w:szCs w:val="12"/>
                                </w:rPr>
                                <w:t>mumu skaits, kas sa</w:t>
                              </w:r>
                              <w:r>
                                <w:rPr>
                                  <w:rFonts w:ascii="Arial Narrow" w:hAnsi="Arial Narrow" w:cs="Times New Roman"/>
                                  <w:sz w:val="12"/>
                                  <w:szCs w:val="12"/>
                                </w:rPr>
                                <w:t>ņē</w:t>
                              </w:r>
                              <w:r>
                                <w:rPr>
                                  <w:rFonts w:ascii="Arial Narrow" w:hAnsi="Arial Narrow"/>
                                  <w:sz w:val="12"/>
                                  <w:szCs w:val="12"/>
                                </w:rPr>
                                <w:t>muši atbalstu, lai laistu t</w:t>
                              </w:r>
                              <w:r>
                                <w:rPr>
                                  <w:rFonts w:ascii="Arial Narrow" w:hAnsi="Arial Narrow" w:cs="Times New Roman"/>
                                  <w:sz w:val="12"/>
                                  <w:szCs w:val="12"/>
                                </w:rPr>
                                <w:t>irgū</w:t>
                              </w:r>
                              <w:r>
                                <w:rPr>
                                  <w:rFonts w:ascii="Arial Narrow" w:hAnsi="Arial Narrow"/>
                                  <w:sz w:val="12"/>
                                  <w:szCs w:val="12"/>
                                </w:rPr>
                                <w:t xml:space="preserve"> jaunus produktus </w:t>
                              </w:r>
                            </w:p>
                          </w:tc>
                        </w:tr>
                        <w:tr w14:paraId="4658E02C"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paraId="6C0CE923" w14:textId="77777777">
                              <w:pPr>
                                <w:rPr>
                                  <w:rFonts w:ascii="Arial Narrow" w:hAnsi="Arial Narrow"/>
                                  <w:sz w:val="12"/>
                                  <w:szCs w:val="12"/>
                                </w:rPr>
                              </w:pPr>
                              <w:r>
                                <w:rPr>
                                  <w:rFonts w:ascii="Arial Narrow" w:hAnsi="Arial Narrow"/>
                                  <w:sz w:val="12"/>
                                  <w:szCs w:val="12"/>
                                </w:rPr>
                                <w:t>Komersanta apgrozījums no pētniecības rezultātu ieviešanas saimnieciskajā darbībā vai komercializēšanas</w:t>
                              </w:r>
                            </w:p>
                          </w:tc>
                        </w:tr>
                        <w:tr w14:paraId="4B7B30B9"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paraId="5A9CC695" w14:textId="77777777">
                              <w:pPr>
                                <w:rPr>
                                  <w:rFonts w:ascii="Arial Narrow" w:hAnsi="Arial Narrow"/>
                                  <w:sz w:val="12"/>
                                  <w:szCs w:val="12"/>
                                </w:rPr>
                              </w:pPr>
                              <w:r>
                                <w:rPr>
                                  <w:rFonts w:ascii="Arial Narrow" w:hAnsi="Arial Narrow" w:cs="Times New Roman"/>
                                  <w:sz w:val="12"/>
                                  <w:szCs w:val="12"/>
                                </w:rPr>
                                <w:t xml:space="preserve">Zinātnisko institūciju izveidotie jaundibinātie uzņēmumi </w:t>
                              </w:r>
                              <w:r>
                                <w:rPr>
                                  <w:rFonts w:ascii="Arial Narrow" w:hAnsi="Arial Narrow" w:cs="Times New Roman"/>
                                  <w:i/>
                                  <w:iCs/>
                                  <w:sz w:val="12"/>
                                  <w:szCs w:val="12"/>
                                </w:rPr>
                                <w:t>(spin-off</w:t>
                              </w:r>
                              <w:r>
                                <w:rPr>
                                  <w:rFonts w:ascii="Arial Narrow" w:hAnsi="Arial Narrow" w:cs="Times New Roman"/>
                                  <w:sz w:val="12"/>
                                  <w:szCs w:val="12"/>
                                </w:rPr>
                                <w:t>)</w:t>
                              </w:r>
                            </w:p>
                          </w:tc>
                        </w:tr>
                        <w:tr w14:paraId="055C2E4F"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paraId="500906F1" w14:textId="77777777">
                              <w:pPr>
                                <w:rPr>
                                  <w:rFonts w:ascii="Arial Narrow" w:hAnsi="Arial Narrow"/>
                                  <w:sz w:val="12"/>
                                  <w:szCs w:val="12"/>
                                </w:rPr>
                              </w:pPr>
                              <w:r>
                                <w:rPr>
                                  <w:rFonts w:ascii="Arial Narrow" w:hAnsi="Arial Narrow"/>
                                  <w:sz w:val="12"/>
                                  <w:szCs w:val="12"/>
                                </w:rPr>
                                <w:t>Mikro un mazajiem komersantiem izsniegto aizdevumu apjoms (EUR)</w:t>
                              </w:r>
                            </w:p>
                          </w:tc>
                        </w:tr>
                        <w:tr w14:paraId="2F1FF561"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paraId="3C694F9C" w14:textId="77777777">
                              <w:pPr>
                                <w:rPr>
                                  <w:rFonts w:ascii="Arial Narrow" w:hAnsi="Arial Narrow"/>
                                  <w:sz w:val="12"/>
                                  <w:szCs w:val="12"/>
                                </w:rPr>
                              </w:pPr>
                              <w:r>
                                <w:rPr>
                                  <w:rFonts w:ascii="Arial Narrow" w:hAnsi="Arial Narrow"/>
                                  <w:sz w:val="12"/>
                                  <w:szCs w:val="12"/>
                                </w:rPr>
                                <w:t>Inovat</w:t>
                              </w:r>
                              <w:r>
                                <w:rPr>
                                  <w:rFonts w:ascii="Arial Narrow" w:hAnsi="Arial Narrow" w:cs="Times New Roman"/>
                                  <w:sz w:val="12"/>
                                  <w:szCs w:val="12"/>
                                </w:rPr>
                                <w:t>ī</w:t>
                              </w:r>
                              <w:r>
                                <w:rPr>
                                  <w:rFonts w:ascii="Arial Narrow" w:hAnsi="Arial Narrow"/>
                                  <w:sz w:val="12"/>
                                  <w:szCs w:val="12"/>
                                </w:rPr>
                                <w:t>vo komersantu skaits, kam to agr</w:t>
                              </w:r>
                              <w:r>
                                <w:rPr>
                                  <w:rFonts w:ascii="Arial Narrow" w:hAnsi="Arial Narrow" w:cs="Times New Roman"/>
                                  <w:sz w:val="12"/>
                                  <w:szCs w:val="12"/>
                                </w:rPr>
                                <w:t>ī</w:t>
                              </w:r>
                              <w:r>
                                <w:rPr>
                                  <w:rFonts w:ascii="Arial Narrow" w:hAnsi="Arial Narrow"/>
                                  <w:sz w:val="12"/>
                                  <w:szCs w:val="12"/>
                                </w:rPr>
                                <w:t>n</w:t>
                              </w:r>
                              <w:r>
                                <w:rPr>
                                  <w:rFonts w:ascii="Arial Narrow" w:hAnsi="Arial Narrow" w:cs="Times New Roman"/>
                                  <w:sz w:val="12"/>
                                  <w:szCs w:val="12"/>
                                </w:rPr>
                                <w:t>ās</w:t>
                              </w:r>
                              <w:r>
                                <w:rPr>
                                  <w:rFonts w:ascii="Arial Narrow" w:hAnsi="Arial Narrow"/>
                                  <w:sz w:val="12"/>
                                  <w:szCs w:val="12"/>
                                </w:rPr>
                                <w:t xml:space="preserve"> att</w:t>
                              </w:r>
                              <w:r>
                                <w:rPr>
                                  <w:rFonts w:ascii="Arial Narrow" w:hAnsi="Arial Narrow" w:cs="Times New Roman"/>
                                  <w:sz w:val="12"/>
                                  <w:szCs w:val="12"/>
                                </w:rPr>
                                <w:t>ī</w:t>
                              </w:r>
                              <w:r>
                                <w:rPr>
                                  <w:rFonts w:ascii="Arial Narrow" w:hAnsi="Arial Narrow"/>
                                  <w:sz w:val="12"/>
                                  <w:szCs w:val="12"/>
                                </w:rPr>
                                <w:t>st</w:t>
                              </w:r>
                              <w:r>
                                <w:rPr>
                                  <w:rFonts w:ascii="Arial Narrow" w:hAnsi="Arial Narrow" w:cs="Times New Roman"/>
                                  <w:sz w:val="12"/>
                                  <w:szCs w:val="12"/>
                                </w:rPr>
                                <w:t>ī</w:t>
                              </w:r>
                              <w:r>
                                <w:rPr>
                                  <w:rFonts w:ascii="Arial Narrow" w:hAnsi="Arial Narrow"/>
                                  <w:sz w:val="12"/>
                                  <w:szCs w:val="12"/>
                                </w:rPr>
                                <w:t>bas posm</w:t>
                              </w:r>
                              <w:r>
                                <w:rPr>
                                  <w:rFonts w:ascii="Arial Narrow" w:hAnsi="Arial Narrow" w:cs="Times New Roman"/>
                                  <w:sz w:val="12"/>
                                  <w:szCs w:val="12"/>
                                </w:rPr>
                                <w:t>ā</w:t>
                              </w:r>
                              <w:r>
                                <w:rPr>
                                  <w:rFonts w:ascii="Arial Narrow" w:hAnsi="Arial Narrow"/>
                                  <w:sz w:val="12"/>
                                  <w:szCs w:val="12"/>
                                </w:rPr>
                                <w:t xml:space="preserve"> nodrošin</w:t>
                              </w:r>
                              <w:r>
                                <w:rPr>
                                  <w:rFonts w:ascii="Arial Narrow" w:hAnsi="Arial Narrow" w:cs="Times New Roman"/>
                                  <w:sz w:val="12"/>
                                  <w:szCs w:val="12"/>
                                </w:rPr>
                                <w:t>ā</w:t>
                              </w:r>
                              <w:r>
                                <w:rPr>
                                  <w:rFonts w:ascii="Arial Narrow" w:hAnsi="Arial Narrow"/>
                                  <w:sz w:val="12"/>
                                  <w:szCs w:val="12"/>
                                </w:rPr>
                                <w:t>ts sagatavošanas un uzs</w:t>
                              </w:r>
                              <w:r>
                                <w:rPr>
                                  <w:rFonts w:ascii="Arial Narrow" w:hAnsi="Arial Narrow" w:cs="Times New Roman"/>
                                  <w:sz w:val="12"/>
                                  <w:szCs w:val="12"/>
                                </w:rPr>
                                <w:t>ā</w:t>
                              </w:r>
                              <w:r>
                                <w:rPr>
                                  <w:rFonts w:ascii="Arial Narrow" w:hAnsi="Arial Narrow"/>
                                  <w:sz w:val="12"/>
                                  <w:szCs w:val="12"/>
                                </w:rPr>
                                <w:t>kšanas kapit</w:t>
                              </w:r>
                              <w:r>
                                <w:rPr>
                                  <w:rFonts w:ascii="Arial Narrow" w:hAnsi="Arial Narrow" w:cs="Times New Roman"/>
                                  <w:sz w:val="12"/>
                                  <w:szCs w:val="12"/>
                                </w:rPr>
                                <w:t>ā</w:t>
                              </w:r>
                              <w:r>
                                <w:rPr>
                                  <w:rFonts w:ascii="Arial Narrow" w:hAnsi="Arial Narrow"/>
                                  <w:sz w:val="12"/>
                                  <w:szCs w:val="12"/>
                                </w:rPr>
                                <w:t>la atbalsts</w:t>
                              </w:r>
                            </w:p>
                          </w:tc>
                        </w:tr>
                        <w:tr w14:paraId="66DE2E3F"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paraId="78155EAE" w14:textId="77777777">
                              <w:pPr>
                                <w:rPr>
                                  <w:rFonts w:ascii="Arial Narrow" w:hAnsi="Arial Narrow"/>
                                  <w:sz w:val="12"/>
                                  <w:szCs w:val="12"/>
                                </w:rPr>
                              </w:pPr>
                              <w:r>
                                <w:rPr>
                                  <w:rFonts w:ascii="Arial Narrow" w:hAnsi="Arial Narrow"/>
                                  <w:sz w:val="12"/>
                                  <w:szCs w:val="12"/>
                                </w:rPr>
                                <w:t>Komersantu skaits, kam to paplašin</w:t>
                              </w:r>
                              <w:r>
                                <w:rPr>
                                  <w:rFonts w:ascii="Arial Narrow" w:hAnsi="Arial Narrow" w:cs="Times New Roman"/>
                                  <w:sz w:val="12"/>
                                  <w:szCs w:val="12"/>
                                </w:rPr>
                                <w:t>ā</w:t>
                              </w:r>
                              <w:r>
                                <w:rPr>
                                  <w:rFonts w:ascii="Arial Narrow" w:hAnsi="Arial Narrow"/>
                                  <w:sz w:val="12"/>
                                  <w:szCs w:val="12"/>
                                </w:rPr>
                                <w:t>šan</w:t>
                              </w:r>
                              <w:r>
                                <w:rPr>
                                  <w:rFonts w:ascii="Arial Narrow" w:hAnsi="Arial Narrow" w:cs="Times New Roman"/>
                                  <w:sz w:val="12"/>
                                  <w:szCs w:val="12"/>
                                </w:rPr>
                                <w:t>ā</w:t>
                              </w:r>
                              <w:r>
                                <w:rPr>
                                  <w:rFonts w:ascii="Arial Narrow" w:hAnsi="Arial Narrow"/>
                                  <w:sz w:val="12"/>
                                  <w:szCs w:val="12"/>
                                </w:rPr>
                                <w:t>s posm</w:t>
                              </w:r>
                              <w:r>
                                <w:rPr>
                                  <w:rFonts w:ascii="Arial Narrow" w:hAnsi="Arial Narrow" w:cs="Times New Roman"/>
                                  <w:sz w:val="12"/>
                                  <w:szCs w:val="12"/>
                                </w:rPr>
                                <w:t>ā</w:t>
                              </w:r>
                              <w:r>
                                <w:rPr>
                                  <w:rFonts w:ascii="Arial Narrow" w:hAnsi="Arial Narrow"/>
                                  <w:sz w:val="12"/>
                                  <w:szCs w:val="12"/>
                                </w:rPr>
                                <w:t xml:space="preserve"> nodrošin</w:t>
                              </w:r>
                              <w:r>
                                <w:rPr>
                                  <w:rFonts w:ascii="Arial Narrow" w:hAnsi="Arial Narrow" w:cs="Times New Roman"/>
                                  <w:sz w:val="12"/>
                                  <w:szCs w:val="12"/>
                                </w:rPr>
                                <w:t>ā</w:t>
                              </w:r>
                              <w:r>
                                <w:rPr>
                                  <w:rFonts w:ascii="Arial Narrow" w:hAnsi="Arial Narrow"/>
                                  <w:sz w:val="12"/>
                                  <w:szCs w:val="12"/>
                                </w:rPr>
                                <w:t>ts riska kapit</w:t>
                              </w:r>
                              <w:r>
                                <w:rPr>
                                  <w:rFonts w:ascii="Arial Narrow" w:hAnsi="Arial Narrow" w:cs="Times New Roman"/>
                                  <w:sz w:val="12"/>
                                  <w:szCs w:val="12"/>
                                </w:rPr>
                                <w:t>ā</w:t>
                              </w:r>
                              <w:r>
                                <w:rPr>
                                  <w:rFonts w:ascii="Arial Narrow" w:hAnsi="Arial Narrow"/>
                                  <w:sz w:val="12"/>
                                  <w:szCs w:val="12"/>
                                </w:rPr>
                                <w:t>la finans</w:t>
                              </w:r>
                              <w:r>
                                <w:rPr>
                                  <w:rFonts w:ascii="Arial Narrow" w:hAnsi="Arial Narrow" w:cs="Times New Roman"/>
                                  <w:sz w:val="12"/>
                                  <w:szCs w:val="12"/>
                                </w:rPr>
                                <w:t>ē</w:t>
                              </w:r>
                              <w:r>
                                <w:rPr>
                                  <w:rFonts w:ascii="Arial Narrow" w:hAnsi="Arial Narrow"/>
                                  <w:sz w:val="12"/>
                                  <w:szCs w:val="12"/>
                                </w:rPr>
                                <w:t>jums.</w:t>
                              </w:r>
                            </w:p>
                          </w:tc>
                        </w:tr>
                        <w:tr w14:paraId="63D30122"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paraId="74A11C99" w14:textId="77777777">
                              <w:pPr>
                                <w:rPr>
                                  <w:rFonts w:ascii="Arial Narrow" w:hAnsi="Arial Narrow"/>
                                  <w:sz w:val="12"/>
                                  <w:szCs w:val="12"/>
                                </w:rPr>
                              </w:pPr>
                              <w:r>
                                <w:rPr>
                                  <w:rFonts w:ascii="Arial Narrow" w:hAnsi="Arial Narrow" w:cs="Times New Roman"/>
                                  <w:sz w:val="12"/>
                                  <w:szCs w:val="12"/>
                                </w:rPr>
                                <w:t>Atbalstīto jauno zinātnieku skaits pēcdoktorantūras pētījumu īstenošanai</w:t>
                              </w:r>
                            </w:p>
                          </w:tc>
                        </w:tr>
                        <w:tr w14:paraId="021BDA68"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paraId="30DF5064" w14:textId="77777777">
                              <w:pPr>
                                <w:rPr>
                                  <w:rFonts w:ascii="Arial Narrow" w:hAnsi="Arial Narrow"/>
                                  <w:sz w:val="12"/>
                                  <w:szCs w:val="12"/>
                                </w:rPr>
                              </w:pPr>
                              <w:r>
                                <w:rPr>
                                  <w:rFonts w:ascii="Arial Narrow" w:hAnsi="Arial Narrow" w:cs="Times New Roman"/>
                                  <w:sz w:val="12"/>
                                  <w:szCs w:val="12"/>
                                </w:rPr>
                                <w:t>Jaunradītās darba vietas, kurās nodarbināti zinātniskie darbinieki publiskā sektorā/ uzņēmējdarbības sektorā</w:t>
                              </w:r>
                            </w:p>
                          </w:tc>
                        </w:tr>
                        <w:tr w14:paraId="069012CF"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vAlign w:val="center"/>
                              <w:hideMark/>
                            </w:tcPr>
                            <w:p w:rsidR="00B55C40" w14:paraId="0196859A" w14:textId="77777777">
                              <w:pPr>
                                <w:rPr>
                                  <w:rFonts w:ascii="Arial Narrow" w:hAnsi="Arial Narrow"/>
                                  <w:sz w:val="12"/>
                                  <w:szCs w:val="12"/>
                                </w:rPr>
                              </w:pPr>
                              <w:r>
                                <w:rPr>
                                  <w:rFonts w:ascii="Arial Narrow" w:hAnsi="Arial Narrow"/>
                                  <w:sz w:val="12"/>
                                  <w:szCs w:val="12"/>
                                </w:rPr>
                                <w:t>H2020 apstiprin</w:t>
                              </w:r>
                              <w:r>
                                <w:rPr>
                                  <w:rFonts w:ascii="Arial Narrow" w:hAnsi="Arial Narrow" w:cs="Times New Roman"/>
                                  <w:sz w:val="12"/>
                                  <w:szCs w:val="12"/>
                                </w:rPr>
                                <w:t>ā</w:t>
                              </w:r>
                              <w:r>
                                <w:rPr>
                                  <w:rFonts w:ascii="Arial Narrow" w:hAnsi="Arial Narrow"/>
                                  <w:sz w:val="12"/>
                                  <w:szCs w:val="12"/>
                                </w:rPr>
                                <w:t>to projektu iesniegumu piesaist</w:t>
                              </w:r>
                              <w:r>
                                <w:rPr>
                                  <w:rFonts w:ascii="Arial Narrow" w:hAnsi="Arial Narrow" w:cs="Times New Roman"/>
                                  <w:sz w:val="12"/>
                                  <w:szCs w:val="12"/>
                                </w:rPr>
                                <w:t>ī</w:t>
                              </w:r>
                              <w:r>
                                <w:rPr>
                                  <w:rFonts w:ascii="Arial Narrow" w:hAnsi="Arial Narrow"/>
                                  <w:sz w:val="12"/>
                                  <w:szCs w:val="12"/>
                                </w:rPr>
                                <w:t>t</w:t>
                              </w:r>
                              <w:r>
                                <w:rPr>
                                  <w:rFonts w:ascii="Arial Narrow" w:hAnsi="Arial Narrow" w:cs="Times New Roman"/>
                                  <w:sz w:val="12"/>
                                  <w:szCs w:val="12"/>
                                </w:rPr>
                                <w:t>ais finansējums (LV daļa; EUR)</w:t>
                              </w:r>
                            </w:p>
                          </w:tc>
                        </w:tr>
                        <w:tr w14:paraId="6864AEAD"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paraId="602E399A" w14:textId="77777777">
                              <w:pPr>
                                <w:rPr>
                                  <w:rFonts w:ascii="Arial Narrow" w:hAnsi="Arial Narrow"/>
                                  <w:sz w:val="12"/>
                                  <w:szCs w:val="12"/>
                                </w:rPr>
                              </w:pPr>
                              <w:r>
                                <w:rPr>
                                  <w:rFonts w:ascii="Arial Narrow" w:hAnsi="Arial Narrow"/>
                                  <w:sz w:val="12"/>
                                  <w:szCs w:val="12"/>
                                </w:rPr>
                                <w:t>Zin</w:t>
                              </w:r>
                              <w:r>
                                <w:rPr>
                                  <w:rFonts w:ascii="Arial Narrow" w:hAnsi="Arial Narrow" w:cs="Times New Roman"/>
                                  <w:sz w:val="12"/>
                                  <w:szCs w:val="12"/>
                                </w:rPr>
                                <w:t>ā</w:t>
                              </w:r>
                              <w:r>
                                <w:rPr>
                                  <w:rFonts w:ascii="Arial Narrow" w:hAnsi="Arial Narrow"/>
                                  <w:sz w:val="12"/>
                                  <w:szCs w:val="12"/>
                                </w:rPr>
                                <w:t>tniskie raksti, kas public</w:t>
                              </w:r>
                              <w:r>
                                <w:rPr>
                                  <w:rFonts w:ascii="Arial Narrow" w:hAnsi="Arial Narrow" w:cs="Times New Roman"/>
                                  <w:sz w:val="12"/>
                                  <w:szCs w:val="12"/>
                                </w:rPr>
                                <w:t>ē</w:t>
                              </w:r>
                              <w:r>
                                <w:rPr>
                                  <w:rFonts w:ascii="Arial Narrow" w:hAnsi="Arial Narrow"/>
                                  <w:sz w:val="12"/>
                                  <w:szCs w:val="12"/>
                                </w:rPr>
                                <w:t>ti starptautisk</w:t>
                              </w:r>
                              <w:r>
                                <w:rPr>
                                  <w:rFonts w:ascii="Arial Narrow" w:hAnsi="Arial Narrow" w:cs="Times New Roman"/>
                                  <w:sz w:val="12"/>
                                  <w:szCs w:val="12"/>
                                </w:rPr>
                                <w:t>ā</w:t>
                              </w:r>
                              <w:r>
                                <w:rPr>
                                  <w:rFonts w:ascii="Arial Narrow" w:hAnsi="Arial Narrow"/>
                                  <w:sz w:val="12"/>
                                  <w:szCs w:val="12"/>
                                </w:rPr>
                                <w:t>s datu b</w:t>
                              </w:r>
                              <w:r>
                                <w:rPr>
                                  <w:rFonts w:ascii="Arial Narrow" w:hAnsi="Arial Narrow" w:cs="Times New Roman"/>
                                  <w:sz w:val="12"/>
                                  <w:szCs w:val="12"/>
                                </w:rPr>
                                <w:t>ā</w:t>
                              </w:r>
                              <w:r>
                                <w:rPr>
                                  <w:rFonts w:ascii="Arial Narrow" w:hAnsi="Arial Narrow"/>
                                  <w:sz w:val="12"/>
                                  <w:szCs w:val="12"/>
                                </w:rPr>
                                <w:t>z</w:t>
                              </w:r>
                              <w:r>
                                <w:rPr>
                                  <w:rFonts w:ascii="Arial Narrow" w:hAnsi="Arial Narrow" w:cs="Times New Roman"/>
                                  <w:sz w:val="12"/>
                                  <w:szCs w:val="12"/>
                                </w:rPr>
                                <w:t>ē</w:t>
                              </w:r>
                              <w:r>
                                <w:rPr>
                                  <w:rFonts w:ascii="Arial Narrow" w:hAnsi="Arial Narrow"/>
                                  <w:sz w:val="12"/>
                                  <w:szCs w:val="12"/>
                                </w:rPr>
                                <w:t xml:space="preserve">s </w:t>
                              </w:r>
                              <w:r>
                                <w:rPr>
                                  <w:rFonts w:ascii="Arial Narrow" w:hAnsi="Arial Narrow"/>
                                  <w:i/>
                                  <w:sz w:val="12"/>
                                  <w:szCs w:val="12"/>
                                </w:rPr>
                                <w:t>(Scopus, Web of Science)</w:t>
                              </w:r>
                            </w:p>
                          </w:tc>
                        </w:tr>
                        <w:tr w14:paraId="5C28A3CD"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paraId="798E1E2D" w14:textId="77777777">
                              <w:pPr>
                                <w:rPr>
                                  <w:rFonts w:ascii="Arial Narrow" w:hAnsi="Arial Narrow"/>
                                  <w:sz w:val="12"/>
                                  <w:szCs w:val="12"/>
                                </w:rPr>
                              </w:pPr>
                              <w:r>
                                <w:rPr>
                                  <w:rFonts w:ascii="Arial Narrow" w:hAnsi="Arial Narrow"/>
                                  <w:sz w:val="12"/>
                                  <w:szCs w:val="12"/>
                                </w:rPr>
                                <w:t>Nodarbināto skaits, kas pilnveidojuši kompetenci</w:t>
                              </w:r>
                            </w:p>
                          </w:tc>
                        </w:tr>
                        <w:tr w14:paraId="6AAF958B"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paraId="1E20C844" w14:textId="77777777">
                              <w:pPr>
                                <w:rPr>
                                  <w:rFonts w:ascii="Arial Narrow" w:hAnsi="Arial Narrow"/>
                                  <w:sz w:val="12"/>
                                  <w:szCs w:val="12"/>
                                </w:rPr>
                              </w:pPr>
                              <w:r>
                                <w:rPr>
                                  <w:rFonts w:ascii="Arial Narrow" w:hAnsi="Arial Narrow" w:cs="Times New Roman"/>
                                  <w:noProof/>
                                  <w:sz w:val="12"/>
                                  <w:szCs w:val="12"/>
                                </w:rPr>
                                <w:t xml:space="preserve">STEM maģistra grādu ieguvušo skaits </w:t>
                              </w:r>
                            </w:p>
                          </w:tc>
                        </w:tr>
                        <w:tr w14:paraId="08DB4754" w14:textId="77777777">
                          <w:tblPrEx>
                            <w:tblW w:w="5000" w:type="pct"/>
                            <w:tblLook w:val="04A0"/>
                          </w:tblPrEx>
                          <w:tc>
                            <w:tcPr>
                              <w:tcW w:w="5000" w:type="pct"/>
                              <w:tcBorders>
                                <w:top w:val="single" w:sz="4" w:space="0" w:color="auto"/>
                                <w:left w:val="single" w:sz="4" w:space="0" w:color="auto"/>
                                <w:bottom w:val="single" w:sz="4" w:space="0" w:color="auto"/>
                                <w:right w:val="single" w:sz="4" w:space="0" w:color="auto"/>
                              </w:tcBorders>
                              <w:hideMark/>
                            </w:tcPr>
                            <w:p w:rsidR="00B55C40" w14:paraId="6D08E237" w14:textId="77777777">
                              <w:pPr>
                                <w:rPr>
                                  <w:rFonts w:ascii="Arial Narrow" w:hAnsi="Arial Narrow"/>
                                  <w:sz w:val="12"/>
                                  <w:szCs w:val="12"/>
                                </w:rPr>
                              </w:pPr>
                              <w:r>
                                <w:rPr>
                                  <w:rFonts w:ascii="Arial Narrow" w:hAnsi="Arial Narrow" w:cs="Times New Roman"/>
                                  <w:noProof/>
                                  <w:sz w:val="12"/>
                                  <w:szCs w:val="12"/>
                                </w:rPr>
                                <w:t>Nefinanšu investīcijas nemateriālajos ieguldījumos un pamatlīdzekļos ārpus Rīgas</w:t>
                              </w:r>
                            </w:p>
                          </w:tc>
                        </w:tr>
                      </w:tbl>
                      <w:p w:rsidR="00B55C40" w:rsidP="00DF2882" w14:paraId="5F4C11FE" w14:textId="77777777">
                        <w:pPr>
                          <w:rPr>
                            <w:rFonts w:ascii="Arial Narrow" w:hAnsi="Arial Narrow"/>
                            <w:sz w:val="12"/>
                            <w:szCs w:val="12"/>
                          </w:rPr>
                        </w:pPr>
                      </w:p>
                    </w:txbxContent>
                  </v:textbox>
                </v:shape>
              </v:group>
            </w:pict>
          </mc:Fallback>
        </mc:AlternateContent>
      </w:r>
      <w:r>
        <w:rPr>
          <w:noProof/>
          <w:lang w:eastAsia="lv-LV"/>
        </w:rPr>
        <mc:AlternateContent>
          <mc:Choice Requires="wpg">
            <w:drawing>
              <wp:anchor distT="0" distB="0" distL="114300" distR="114300" simplePos="0" relativeHeight="251783168" behindDoc="0" locked="0" layoutInCell="1" allowOverlap="1">
                <wp:simplePos x="0" y="0"/>
                <wp:positionH relativeFrom="column">
                  <wp:posOffset>3446780</wp:posOffset>
                </wp:positionH>
                <wp:positionV relativeFrom="paragraph">
                  <wp:posOffset>205105</wp:posOffset>
                </wp:positionV>
                <wp:extent cx="1898650" cy="2339975"/>
                <wp:effectExtent l="0" t="0" r="6350" b="3175"/>
                <wp:wrapNone/>
                <wp:docPr id="411" name="Group 411"/>
                <wp:cNvGraphicFramePr/>
                <a:graphic xmlns:a="http://schemas.openxmlformats.org/drawingml/2006/main">
                  <a:graphicData uri="http://schemas.microsoft.com/office/word/2010/wordprocessingGroup">
                    <wpg:wgp xmlns:wpg="http://schemas.microsoft.com/office/word/2010/wordprocessingGroup">
                      <wpg:cNvGrpSpPr/>
                      <wpg:grpSpPr>
                        <a:xfrm>
                          <a:off x="0" y="0"/>
                          <a:ext cx="1898650" cy="2339975"/>
                          <a:chOff x="0" y="0"/>
                          <a:chExt cx="2713939" cy="3108960"/>
                        </a:xfrm>
                      </wpg:grpSpPr>
                      <wps:wsp xmlns:wps="http://schemas.microsoft.com/office/word/2010/wordprocessingShape">
                        <wps:cNvPr id="418" name="Rectangle 418"/>
                        <wps:cNvSpPr/>
                        <wps:spPr>
                          <a:xfrm>
                            <a:off x="724205" y="1302105"/>
                            <a:ext cx="1945843" cy="15333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pic:pic xmlns:pic="http://schemas.openxmlformats.org/drawingml/2006/picture">
                        <pic:nvPicPr>
                          <pic:cNvPr id="419" name="Picture 419"/>
                          <pic:cNvPicPr>
                            <a:picLocks noChangeAspect="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54198" t="15431" r="6566" b="2474"/>
                          <a:stretch>
                            <a:fillRect/>
                          </a:stretch>
                        </pic:blipFill>
                        <pic:spPr bwMode="auto">
                          <a:xfrm>
                            <a:off x="0" y="0"/>
                            <a:ext cx="2713939" cy="310896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Group 411" o:spid="_x0000_s1148" style="width:149.5pt;height:184.25pt;margin-top:16.15pt;margin-left:271.4pt;mso-height-relative:margin;mso-width-relative:margin;position:absolute;z-index:251784192" coordsize="27139,31089">
                <v:rect id="Rectangle 418" o:spid="_x0000_s1149" style="width:19458;height:15333;left:7242;mso-wrap-style:square;position:absolute;top:13021;visibility:visible;v-text-anchor:middle" filled="f" strokecolor="red" strokeweight="1.5pt">
                  <v:path arrowok="t"/>
                </v:rect>
                <v:shape id="Picture 419" o:spid="_x0000_s1150" type="#_x0000_t75" style="width:27139;height:31089;mso-wrap-style:square;position:absolute;visibility:visible">
                  <v:imagedata r:id="rId41" o:title="" croptop="10113f" cropbottom="1621f" cropleft="35519f" cropright="4303f"/>
                  <v:path arrowok="t"/>
                </v:shape>
              </v:group>
            </w:pict>
          </mc:Fallback>
        </mc:AlternateContent>
      </w:r>
      <w:r>
        <w:rPr>
          <w:noProof/>
          <w:lang w:eastAsia="lv-LV"/>
        </w:rPr>
        <mc:AlternateContent>
          <mc:Choice Requires="wps">
            <w:drawing>
              <wp:anchor distT="0" distB="0" distL="114300" distR="114300" simplePos="0" relativeHeight="251787264" behindDoc="0" locked="0" layoutInCell="1" allowOverlap="1">
                <wp:simplePos x="0" y="0"/>
                <wp:positionH relativeFrom="column">
                  <wp:posOffset>52705</wp:posOffset>
                </wp:positionH>
                <wp:positionV relativeFrom="paragraph">
                  <wp:posOffset>35560</wp:posOffset>
                </wp:positionV>
                <wp:extent cx="2746375" cy="212090"/>
                <wp:effectExtent l="0" t="0" r="0" b="0"/>
                <wp:wrapNone/>
                <wp:docPr id="410" name="Text Box 4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46375" cy="212090"/>
                        </a:xfrm>
                        <a:prstGeom prst="rect">
                          <a:avLst/>
                        </a:prstGeom>
                        <a:solidFill>
                          <a:srgbClr val="FFFFFF"/>
                        </a:solidFill>
                        <a:ln w="9525">
                          <a:noFill/>
                          <a:miter lim="800000"/>
                          <a:headEnd/>
                          <a:tailEnd/>
                        </a:ln>
                      </wps:spPr>
                      <wps:txbx>
                        <w:txbxContent>
                          <w:p w:rsidR="00B55C40" w:rsidP="00DF2882" w14:textId="77777777">
                            <w:pPr>
                              <w:spacing w:after="0" w:line="240" w:lineRule="auto"/>
                              <w:ind w:right="52"/>
                              <w:rPr>
                                <w:rFonts w:ascii="Arial Narrow" w:hAnsi="Arial Narrow"/>
                                <w:b/>
                                <w:sz w:val="18"/>
                              </w:rPr>
                            </w:pPr>
                            <w:r>
                              <w:rPr>
                                <w:rFonts w:ascii="Arial Narrow" w:hAnsi="Arial Narrow"/>
                                <w:b/>
                              </w:rPr>
                              <w:t>Shēma Nr.1 "RIS3 monitoringa ietvars"</w:t>
                            </w:r>
                          </w:p>
                        </w:txbxContent>
                      </wps:txbx>
                      <wps:bodyPr rot="0" vert="horz" wrap="square" lIns="36000" tIns="0" rIns="36000" bIns="0" anchor="t" anchorCtr="0"/>
                    </wps:wsp>
                  </a:graphicData>
                </a:graphic>
                <wp14:sizeRelH relativeFrom="margin">
                  <wp14:pctWidth>0</wp14:pctWidth>
                </wp14:sizeRelH>
                <wp14:sizeRelV relativeFrom="margin">
                  <wp14:pctHeight>0</wp14:pctHeight>
                </wp14:sizeRelV>
              </wp:anchor>
            </w:drawing>
          </mc:Choice>
          <mc:Fallback>
            <w:pict>
              <v:shape id="Text Box 410" o:spid="_x0000_s1151" type="#_x0000_t202" style="width:216.25pt;height:16.7pt;margin-top:2.8pt;margin-left:4.15pt;mso-height-percent:0;mso-height-relative:margin;mso-width-percent:0;mso-width-relative:margin;mso-wrap-distance-bottom:0;mso-wrap-distance-left:9pt;mso-wrap-distance-right:9pt;mso-wrap-distance-top:0;mso-wrap-style:square;position:absolute;visibility:visible;v-text-anchor:top;z-index:251788288" stroked="f">
                <v:textbox inset="2.83pt,0,2.83pt,0">
                  <w:txbxContent>
                    <w:p w:rsidR="00B55C40" w:rsidP="00DF2882" w14:paraId="389202AE" w14:textId="77777777">
                      <w:pPr>
                        <w:spacing w:after="0" w:line="240" w:lineRule="auto"/>
                        <w:ind w:right="52"/>
                        <w:rPr>
                          <w:rFonts w:ascii="Arial Narrow" w:hAnsi="Arial Narrow"/>
                          <w:b/>
                          <w:sz w:val="18"/>
                        </w:rPr>
                      </w:pPr>
                      <w:r>
                        <w:rPr>
                          <w:rFonts w:ascii="Arial Narrow" w:hAnsi="Arial Narrow"/>
                          <w:b/>
                        </w:rPr>
                        <w:t>Shēma Nr.1 "RIS3 monitoringa ietvars"</w:t>
                      </w:r>
                    </w:p>
                  </w:txbxContent>
                </v:textbox>
              </v:shape>
            </w:pict>
          </mc:Fallback>
        </mc:AlternateContent>
      </w:r>
      <w:r>
        <w:rPr>
          <w:noProof/>
          <w:lang w:eastAsia="lv-LV"/>
        </w:rPr>
        <mc:AlternateContent>
          <mc:Choice Requires="wps">
            <w:drawing>
              <wp:anchor distT="0" distB="0" distL="114300" distR="114300" simplePos="0" relativeHeight="251791360" behindDoc="0" locked="0" layoutInCell="1" allowOverlap="1">
                <wp:simplePos x="0" y="0"/>
                <wp:positionH relativeFrom="column">
                  <wp:posOffset>4682490</wp:posOffset>
                </wp:positionH>
                <wp:positionV relativeFrom="paragraph">
                  <wp:posOffset>4104005</wp:posOffset>
                </wp:positionV>
                <wp:extent cx="283210" cy="514350"/>
                <wp:effectExtent l="19050" t="0" r="21590" b="38100"/>
                <wp:wrapNone/>
                <wp:docPr id="409" name="Arrow: Down 40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83210" cy="514350"/>
                        </a:xfrm>
                        <a:prstGeom prst="downArrow">
                          <a:avLst>
                            <a:gd name="adj1" fmla="val 59194"/>
                            <a:gd name="adj2" fmla="val 66611"/>
                          </a:avLst>
                        </a:prstGeom>
                        <a:solidFill>
                          <a:srgbClr val="FF0000"/>
                        </a:solidFill>
                        <a:ln w="12700">
                          <a:solidFill>
                            <a:schemeClr val="tx1">
                              <a:lumMod val="100000"/>
                              <a:lumOff val="0"/>
                            </a:schemeClr>
                          </a:solidFill>
                          <a:miter lim="800000"/>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shape id="Arrow: Down 409" o:spid="_x0000_s1152" type="#_x0000_t67" style="width:22.3pt;height:40.5pt;margin-top:323.15pt;margin-left:368.7pt;mso-height-percent:0;mso-height-relative:margin;mso-width-percent:0;mso-width-relative:margin;mso-wrap-distance-bottom:0;mso-wrap-distance-left:9pt;mso-wrap-distance-right:9pt;mso-wrap-distance-top:0;mso-wrap-style:square;position:absolute;visibility:visible;v-text-anchor:middle;z-index:251792384" adj="13678,4407" fillcolor="red" strokecolor="black" strokeweight="1pt">
                <v:path arrowok="t"/>
              </v:shape>
            </w:pict>
          </mc:Fallback>
        </mc:AlternateContent>
      </w:r>
      <w:r>
        <w:rPr>
          <w:noProof/>
          <w:lang w:eastAsia="lv-LV"/>
        </w:rPr>
        <mc:AlternateContent>
          <mc:Choice Requires="wps">
            <w:drawing>
              <wp:anchor distT="0" distB="0" distL="114300" distR="114300" simplePos="0" relativeHeight="251795456" behindDoc="0" locked="0" layoutInCell="1" allowOverlap="1">
                <wp:simplePos x="0" y="0"/>
                <wp:positionH relativeFrom="column">
                  <wp:posOffset>3127375</wp:posOffset>
                </wp:positionH>
                <wp:positionV relativeFrom="paragraph">
                  <wp:posOffset>2065020</wp:posOffset>
                </wp:positionV>
                <wp:extent cx="291465" cy="670560"/>
                <wp:effectExtent l="0" t="94297" r="0" b="147638"/>
                <wp:wrapNone/>
                <wp:docPr id="408" name="Arrow: Down 408"/>
                <wp:cNvGraphicFramePr/>
                <a:graphic xmlns:a="http://schemas.openxmlformats.org/drawingml/2006/main">
                  <a:graphicData uri="http://schemas.microsoft.com/office/word/2010/wordprocessingShape">
                    <wps:wsp xmlns:wps="http://schemas.microsoft.com/office/word/2010/wordprocessingShape">
                      <wps:cNvSpPr/>
                      <wps:spPr>
                        <a:xfrm rot="7726634">
                          <a:off x="0" y="0"/>
                          <a:ext cx="291465" cy="670560"/>
                        </a:xfrm>
                        <a:prstGeom prst="downArrow">
                          <a:avLst>
                            <a:gd name="adj1" fmla="val 50000"/>
                            <a:gd name="adj2" fmla="val 86398"/>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408" o:spid="_x0000_s1153" type="#_x0000_t67" style="width:22.95pt;height:52.8pt;margin-top:162.6pt;margin-left:246.25pt;mso-height-percent:0;mso-height-relative:margin;mso-width-percent:0;mso-width-relative:margin;mso-wrap-distance-bottom:0;mso-wrap-distance-left:9pt;mso-wrap-distance-right:9pt;mso-wrap-distance-top:0;mso-wrap-style:square;position:absolute;rotation:8439545fd;visibility:visible;v-text-anchor:middle;z-index:251796480" adj="13488" fillcolor="red" strokecolor="black" strokeweight="1pt">
                <v:path arrowok="t"/>
              </v:shape>
            </w:pict>
          </mc:Fallback>
        </mc:AlternateContent>
      </w:r>
      <w:r>
        <w:rPr>
          <w:noProof/>
          <w:lang w:eastAsia="lv-LV"/>
        </w:rPr>
        <mc:AlternateContent>
          <mc:Choice Requires="wps">
            <w:drawing>
              <wp:anchor distT="0" distB="0" distL="114300" distR="114300" simplePos="0" relativeHeight="251797504" behindDoc="0" locked="0" layoutInCell="1" allowOverlap="1">
                <wp:simplePos x="0" y="0"/>
                <wp:positionH relativeFrom="column">
                  <wp:posOffset>99060</wp:posOffset>
                </wp:positionH>
                <wp:positionV relativeFrom="paragraph">
                  <wp:posOffset>251460</wp:posOffset>
                </wp:positionV>
                <wp:extent cx="2495550" cy="2274570"/>
                <wp:effectExtent l="0" t="0" r="19050" b="11430"/>
                <wp:wrapNone/>
                <wp:docPr id="407" name="Rectangle 407"/>
                <wp:cNvGraphicFramePr/>
                <a:graphic xmlns:a="http://schemas.openxmlformats.org/drawingml/2006/main">
                  <a:graphicData uri="http://schemas.microsoft.com/office/word/2010/wordprocessingShape">
                    <wps:wsp xmlns:wps="http://schemas.microsoft.com/office/word/2010/wordprocessingShape">
                      <wps:cNvSpPr/>
                      <wps:spPr>
                        <a:xfrm>
                          <a:off x="0" y="0"/>
                          <a:ext cx="2495550" cy="227457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07" o:spid="_x0000_s1154" style="width:196.5pt;height:179.1pt;margin-top:19.8pt;margin-left:7.8pt;mso-height-percent:0;mso-height-relative:margin;mso-width-percent:0;mso-width-relative:page;mso-wrap-distance-bottom:0;mso-wrap-distance-left:9pt;mso-wrap-distance-right:9pt;mso-wrap-distance-top:0;mso-wrap-style:square;position:absolute;visibility:visible;v-text-anchor:middle;z-index:251798528" filled="f" strokecolor="#472cbb" strokeweight="1pt">
                <v:path arrowok="t"/>
              </v:rect>
            </w:pict>
          </mc:Fallback>
        </mc:AlternateContent>
      </w:r>
      <w:r>
        <w:rPr>
          <w:noProof/>
          <w:lang w:eastAsia="lv-LV"/>
        </w:rPr>
        <mc:AlternateContent>
          <mc:Choice Requires="wps">
            <w:drawing>
              <wp:anchor distT="0" distB="0" distL="114300" distR="114300" simplePos="0" relativeHeight="251799552" behindDoc="0" locked="0" layoutInCell="1" allowOverlap="1">
                <wp:simplePos x="0" y="0"/>
                <wp:positionH relativeFrom="column">
                  <wp:posOffset>3337560</wp:posOffset>
                </wp:positionH>
                <wp:positionV relativeFrom="paragraph">
                  <wp:posOffset>127635</wp:posOffset>
                </wp:positionV>
                <wp:extent cx="2057400" cy="2475230"/>
                <wp:effectExtent l="0" t="0" r="19050" b="20320"/>
                <wp:wrapNone/>
                <wp:docPr id="406" name="Rectangle 406"/>
                <wp:cNvGraphicFramePr/>
                <a:graphic xmlns:a="http://schemas.openxmlformats.org/drawingml/2006/main">
                  <a:graphicData uri="http://schemas.microsoft.com/office/word/2010/wordprocessingShape">
                    <wps:wsp xmlns:wps="http://schemas.microsoft.com/office/word/2010/wordprocessingShape">
                      <wps:cNvSpPr/>
                      <wps:spPr>
                        <a:xfrm>
                          <a:off x="0" y="0"/>
                          <a:ext cx="2057400" cy="247523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406" o:spid="_x0000_s1155" style="width:162pt;height:194.9pt;margin-top:10.05pt;margin-left:262.8pt;mso-height-percent:0;mso-height-relative:page;mso-width-percent:0;mso-width-relative:page;mso-wrap-distance-bottom:0;mso-wrap-distance-left:9pt;mso-wrap-distance-right:9pt;mso-wrap-distance-top:0;mso-wrap-style:square;position:absolute;visibility:visible;v-text-anchor:middle;z-index:251800576" filled="f" strokecolor="#472cbb" strokeweight="1pt">
                <v:path arrowok="t"/>
              </v:rect>
            </w:pict>
          </mc:Fallback>
        </mc:AlternateContent>
      </w:r>
      <w:r>
        <w:rPr>
          <w:noProof/>
          <w:lang w:eastAsia="lv-LV"/>
        </w:rPr>
        <mc:AlternateContent>
          <mc:Choice Requires="wps">
            <w:drawing>
              <wp:anchor distT="0" distB="0" distL="114300" distR="114300" simplePos="0" relativeHeight="251801600" behindDoc="0" locked="0" layoutInCell="1" allowOverlap="1">
                <wp:simplePos x="0" y="0"/>
                <wp:positionH relativeFrom="column">
                  <wp:posOffset>6334760</wp:posOffset>
                </wp:positionH>
                <wp:positionV relativeFrom="paragraph">
                  <wp:posOffset>67310</wp:posOffset>
                </wp:positionV>
                <wp:extent cx="3028950" cy="4399280"/>
                <wp:effectExtent l="0" t="0" r="19050" b="20320"/>
                <wp:wrapNone/>
                <wp:docPr id="405" name="Rectangle 405"/>
                <wp:cNvGraphicFramePr/>
                <a:graphic xmlns:a="http://schemas.openxmlformats.org/drawingml/2006/main">
                  <a:graphicData uri="http://schemas.microsoft.com/office/word/2010/wordprocessingShape">
                    <wps:wsp xmlns:wps="http://schemas.microsoft.com/office/word/2010/wordprocessingShape">
                      <wps:cNvSpPr/>
                      <wps:spPr>
                        <a:xfrm>
                          <a:off x="0" y="0"/>
                          <a:ext cx="3028950" cy="439928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05" o:spid="_x0000_s1156" style="width:238.5pt;height:346.4pt;margin-top:5.3pt;margin-left:498.8pt;mso-height-percent:0;mso-height-relative:margin;mso-width-percent:0;mso-width-relative:margin;mso-wrap-distance-bottom:0;mso-wrap-distance-left:9pt;mso-wrap-distance-right:9pt;mso-wrap-distance-top:0;mso-wrap-style:square;position:absolute;visibility:visible;v-text-anchor:middle;z-index:251802624" filled="f" strokecolor="#472cbb" strokeweight="1pt">
                <v:path arrowok="t"/>
              </v:rect>
            </w:pict>
          </mc:Fallback>
        </mc:AlternateContent>
      </w:r>
      <w:r>
        <w:rPr>
          <w:noProof/>
          <w:lang w:eastAsia="lv-LV"/>
        </w:rPr>
        <mc:AlternateContent>
          <mc:Choice Requires="wps">
            <w:drawing>
              <wp:anchor distT="0" distB="0" distL="114300" distR="114300" simplePos="0" relativeHeight="251807744" behindDoc="0" locked="0" layoutInCell="1" allowOverlap="1">
                <wp:simplePos x="0" y="0"/>
                <wp:positionH relativeFrom="column">
                  <wp:posOffset>2963545</wp:posOffset>
                </wp:positionH>
                <wp:positionV relativeFrom="paragraph">
                  <wp:posOffset>3153410</wp:posOffset>
                </wp:positionV>
                <wp:extent cx="283210" cy="358775"/>
                <wp:effectExtent l="19367" t="18733" r="0" b="40957"/>
                <wp:wrapNone/>
                <wp:docPr id="404" name="Arrow: Down 404"/>
                <wp:cNvGraphicFramePr/>
                <a:graphic xmlns:a="http://schemas.openxmlformats.org/drawingml/2006/main">
                  <a:graphicData uri="http://schemas.microsoft.com/office/word/2010/wordprocessingShape">
                    <wps:wsp xmlns:wps="http://schemas.microsoft.com/office/word/2010/wordprocessingShape">
                      <wps:cNvSpPr/>
                      <wps:spPr bwMode="auto">
                        <a:xfrm rot="5400000">
                          <a:off x="0" y="0"/>
                          <a:ext cx="283210" cy="358775"/>
                        </a:xfrm>
                        <a:prstGeom prst="downArrow">
                          <a:avLst>
                            <a:gd name="adj1" fmla="val 59194"/>
                            <a:gd name="adj2" fmla="val 66611"/>
                          </a:avLst>
                        </a:prstGeom>
                        <a:solidFill>
                          <a:srgbClr val="FF0000"/>
                        </a:solidFill>
                        <a:ln w="12700">
                          <a:solidFill>
                            <a:schemeClr val="tx1">
                              <a:lumMod val="100000"/>
                              <a:lumOff val="0"/>
                            </a:schemeClr>
                          </a:solidFill>
                          <a:miter lim="800000"/>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shape id="Arrow: Down 404" o:spid="_x0000_s1157" type="#_x0000_t67" style="width:22.3pt;height:28.25pt;margin-top:248.3pt;margin-left:233.35pt;mso-height-percent:0;mso-height-relative:margin;mso-width-percent:0;mso-width-relative:margin;mso-wrap-distance-bottom:0;mso-wrap-distance-left:9pt;mso-wrap-distance-right:9pt;mso-wrap-distance-top:0;mso-wrap-style:square;position:absolute;rotation:90;visibility:visible;v-text-anchor:middle;z-index:251808768" adj="10242,4407" fillcolor="red" strokecolor="black" strokeweight="1pt">
                <v:path arrowok="t"/>
              </v:shape>
            </w:pict>
          </mc:Fallback>
        </mc:AlternateContent>
      </w:r>
      <w:r>
        <w:rPr>
          <w:noProof/>
          <w:lang w:eastAsia="lv-LV"/>
        </w:rPr>
        <mc:AlternateContent>
          <mc:Choice Requires="wps">
            <w:drawing>
              <wp:anchor distT="0" distB="0" distL="114300" distR="114300" simplePos="0" relativeHeight="251809792" behindDoc="0" locked="0" layoutInCell="1" allowOverlap="1">
                <wp:simplePos x="0" y="0"/>
                <wp:positionH relativeFrom="column">
                  <wp:posOffset>6556375</wp:posOffset>
                </wp:positionH>
                <wp:positionV relativeFrom="paragraph">
                  <wp:posOffset>3880485</wp:posOffset>
                </wp:positionV>
                <wp:extent cx="291465" cy="554990"/>
                <wp:effectExtent l="114300" t="0" r="70485" b="0"/>
                <wp:wrapNone/>
                <wp:docPr id="403" name="Arrow: Down 403"/>
                <wp:cNvGraphicFramePr/>
                <a:graphic xmlns:a="http://schemas.openxmlformats.org/drawingml/2006/main">
                  <a:graphicData uri="http://schemas.microsoft.com/office/word/2010/wordprocessingShape">
                    <wps:wsp xmlns:wps="http://schemas.microsoft.com/office/word/2010/wordprocessingShape">
                      <wps:cNvSpPr/>
                      <wps:spPr>
                        <a:xfrm rot="19027113">
                          <a:off x="0" y="0"/>
                          <a:ext cx="291465" cy="554990"/>
                        </a:xfrm>
                        <a:prstGeom prst="downArrow">
                          <a:avLst>
                            <a:gd name="adj1" fmla="val 50000"/>
                            <a:gd name="adj2" fmla="val 86398"/>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403" o:spid="_x0000_s1158" type="#_x0000_t67" style="width:22.95pt;height:43.7pt;margin-top:305.55pt;margin-left:516.25pt;mso-height-percent:0;mso-height-relative:margin;mso-width-percent:0;mso-width-relative:margin;mso-wrap-distance-bottom:0;mso-wrap-distance-left:9pt;mso-wrap-distance-right:9pt;mso-wrap-distance-top:0;mso-wrap-style:square;position:absolute;rotation:-2810279fd;visibility:visible;v-text-anchor:middle;z-index:251810816" adj="11799" fillcolor="red" strokecolor="black" strokeweight="1pt">
                <v:path arrowok="t"/>
              </v:shape>
            </w:pict>
          </mc:Fallback>
        </mc:AlternateContent>
      </w:r>
      <w:r>
        <w:rPr>
          <w:noProof/>
          <w:lang w:eastAsia="lv-LV"/>
        </w:rPr>
        <mc:AlternateContent>
          <mc:Choice Requires="wps">
            <w:drawing>
              <wp:anchor distT="0" distB="0" distL="114300" distR="114300" simplePos="0" relativeHeight="251815936" behindDoc="0" locked="0" layoutInCell="1" allowOverlap="1">
                <wp:simplePos x="0" y="0"/>
                <wp:positionH relativeFrom="column">
                  <wp:posOffset>8595360</wp:posOffset>
                </wp:positionH>
                <wp:positionV relativeFrom="paragraph">
                  <wp:posOffset>4208145</wp:posOffset>
                </wp:positionV>
                <wp:extent cx="931545" cy="224790"/>
                <wp:effectExtent l="0" t="0" r="20955" b="20955"/>
                <wp:wrapNone/>
                <wp:docPr id="402" name="Text Box 4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1545" cy="224790"/>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Rezultātu analīze</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402" o:spid="_x0000_s1159" type="#_x0000_t202" style="width:73.35pt;height:17.7pt;margin-top:331.35pt;margin-left:676.8pt;mso-height-percent:0;mso-height-relative:margin;mso-width-percent:0;mso-width-relative:margin;mso-wrap-distance-bottom:0;mso-wrap-distance-left:9pt;mso-wrap-distance-right:9pt;mso-wrap-distance-top:0;mso-wrap-style:square;position:absolute;visibility:visible;v-text-anchor:top;z-index:251816960" strokecolor="#c00000">
                <v:stroke dashstyle="dash"/>
                <v:textbox style="mso-fit-shape-to-text:t" inset="2.83pt,2.83pt,2.83pt,2.83pt">
                  <w:txbxContent>
                    <w:p w:rsidR="00B55C40" w:rsidP="00DF2882" w14:paraId="6F81FD4D"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Rezultātu analīze</w:t>
                      </w:r>
                    </w:p>
                  </w:txbxContent>
                </v:textbox>
              </v:shape>
            </w:pict>
          </mc:Fallback>
        </mc:AlternateContent>
      </w:r>
      <w:r>
        <w:rPr>
          <w:noProof/>
          <w:lang w:eastAsia="lv-LV"/>
        </w:rPr>
        <mc:AlternateContent>
          <mc:Choice Requires="wps">
            <w:drawing>
              <wp:anchor distT="0" distB="0" distL="114300" distR="114300" simplePos="0" relativeHeight="251820032" behindDoc="0" locked="0" layoutInCell="1" allowOverlap="1">
                <wp:simplePos x="0" y="0"/>
                <wp:positionH relativeFrom="column">
                  <wp:posOffset>3707130</wp:posOffset>
                </wp:positionH>
                <wp:positionV relativeFrom="paragraph">
                  <wp:posOffset>4122420</wp:posOffset>
                </wp:positionV>
                <wp:extent cx="931545" cy="367665"/>
                <wp:effectExtent l="0" t="0" r="20955" b="27305"/>
                <wp:wrapNone/>
                <wp:docPr id="401" name="Text Box 4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1545" cy="367665"/>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Līdzdalība, ieteikumi</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401" o:spid="_x0000_s1160" type="#_x0000_t202" style="width:73.35pt;height:28.95pt;margin-top:324.6pt;margin-left:291.9pt;mso-height-percent:0;mso-height-relative:margin;mso-width-percent:0;mso-width-relative:margin;mso-wrap-distance-bottom:0;mso-wrap-distance-left:9pt;mso-wrap-distance-right:9pt;mso-wrap-distance-top:0;mso-wrap-style:square;position:absolute;visibility:visible;v-text-anchor:top;z-index:251821056" strokecolor="#c00000">
                <v:stroke dashstyle="dash"/>
                <v:textbox style="mso-fit-shape-to-text:t" inset="2.83pt,2.83pt,2.83pt,2.83pt">
                  <w:txbxContent>
                    <w:p w:rsidR="00B55C40" w:rsidP="00DF2882" w14:paraId="60076F05"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Līdzdalība, ieteikumi</w:t>
                      </w:r>
                    </w:p>
                  </w:txbxContent>
                </v:textbox>
              </v:shape>
            </w:pict>
          </mc:Fallback>
        </mc:AlternateContent>
      </w:r>
      <w:r>
        <w:rPr>
          <w:noProof/>
          <w:lang w:eastAsia="lv-LV"/>
        </w:rPr>
        <mc:AlternateContent>
          <mc:Choice Requires="wps">
            <w:drawing>
              <wp:anchor distT="0" distB="0" distL="114300" distR="114300" simplePos="0" relativeHeight="251822080" behindDoc="0" locked="0" layoutInCell="1" allowOverlap="1">
                <wp:simplePos x="0" y="0"/>
                <wp:positionH relativeFrom="column">
                  <wp:posOffset>5398135</wp:posOffset>
                </wp:positionH>
                <wp:positionV relativeFrom="paragraph">
                  <wp:posOffset>4071620</wp:posOffset>
                </wp:positionV>
                <wp:extent cx="1074420" cy="510540"/>
                <wp:effectExtent l="0" t="0" r="11430" b="15240"/>
                <wp:wrapNone/>
                <wp:docPr id="400" name="Text Box 4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74420" cy="510540"/>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Viedoklis, ieteikumi, identificētie šķēršļi, problēmas</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400" o:spid="_x0000_s1161" type="#_x0000_t202" style="width:84.6pt;height:40.2pt;margin-top:320.6pt;margin-left:425.05pt;mso-height-percent:0;mso-height-relative:margin;mso-width-percent:0;mso-width-relative:margin;mso-wrap-distance-bottom:0;mso-wrap-distance-left:9pt;mso-wrap-distance-right:9pt;mso-wrap-distance-top:0;mso-wrap-style:square;position:absolute;visibility:visible;v-text-anchor:top;z-index:251823104" strokecolor="#c00000">
                <v:stroke dashstyle="dash"/>
                <v:textbox style="mso-fit-shape-to-text:t" inset="2.83pt,2.83pt,2.83pt,2.83pt">
                  <w:txbxContent>
                    <w:p w:rsidR="00B55C40" w:rsidP="00DF2882" w14:paraId="2AF13409"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Viedoklis, ieteikumi, identificētie šķēršļi, problēmas</w:t>
                      </w:r>
                    </w:p>
                  </w:txbxContent>
                </v:textbox>
              </v:shape>
            </w:pict>
          </mc:Fallback>
        </mc:AlternateContent>
      </w:r>
      <w:r>
        <w:rPr>
          <w:noProof/>
          <w:lang w:eastAsia="lv-LV"/>
        </w:rPr>
        <mc:AlternateContent>
          <mc:Choice Requires="wps">
            <w:drawing>
              <wp:anchor distT="0" distB="0" distL="114300" distR="114300" simplePos="0" relativeHeight="251826176" behindDoc="0" locked="0" layoutInCell="1" allowOverlap="1">
                <wp:simplePos x="0" y="0"/>
                <wp:positionH relativeFrom="column">
                  <wp:posOffset>1997710</wp:posOffset>
                </wp:positionH>
                <wp:positionV relativeFrom="paragraph">
                  <wp:posOffset>2548890</wp:posOffset>
                </wp:positionV>
                <wp:extent cx="1295400" cy="367665"/>
                <wp:effectExtent l="0" t="0" r="19050" b="27305"/>
                <wp:wrapNone/>
                <wp:docPr id="307" name="Text Box 3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95400" cy="367665"/>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Priekšlikumi, programmu finansējuma pieejamība</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307" o:spid="_x0000_s1162" type="#_x0000_t202" style="width:102pt;height:28.95pt;margin-top:200.7pt;margin-left:157.3pt;mso-height-percent:0;mso-height-relative:margin;mso-width-percent:0;mso-width-relative:margin;mso-wrap-distance-bottom:0;mso-wrap-distance-left:9pt;mso-wrap-distance-right:9pt;mso-wrap-distance-top:0;mso-wrap-style:square;position:absolute;visibility:visible;v-text-anchor:top;z-index:251827200" strokecolor="#c00000">
                <v:stroke dashstyle="dash"/>
                <v:textbox style="mso-fit-shape-to-text:t" inset="2.83pt,2.83pt,2.83pt,2.83pt">
                  <w:txbxContent>
                    <w:p w:rsidR="00B55C40" w:rsidP="00DF2882" w14:paraId="20D0C783"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Priekšlikumi, programmu finansējuma pieejamība</w:t>
                      </w:r>
                    </w:p>
                  </w:txbxContent>
                </v:textbox>
              </v:shape>
            </w:pict>
          </mc:Fallback>
        </mc:AlternateContent>
      </w:r>
      <w:r>
        <w:rPr>
          <w:noProof/>
          <w:lang w:eastAsia="lv-LV"/>
        </w:rPr>
        <mc:AlternateContent>
          <mc:Choice Requires="wps">
            <w:drawing>
              <wp:anchor distT="0" distB="0" distL="114300" distR="114300" simplePos="0" relativeHeight="251830272" behindDoc="0" locked="0" layoutInCell="1" allowOverlap="1">
                <wp:simplePos x="0" y="0"/>
                <wp:positionH relativeFrom="column">
                  <wp:posOffset>143510</wp:posOffset>
                </wp:positionH>
                <wp:positionV relativeFrom="paragraph">
                  <wp:posOffset>287655</wp:posOffset>
                </wp:positionV>
                <wp:extent cx="213995" cy="285115"/>
                <wp:effectExtent l="0" t="0" r="5715" b="635"/>
                <wp:wrapNone/>
                <wp:docPr id="207" name="Text Box 2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 cy="285115"/>
                        </a:xfrm>
                        <a:prstGeom prst="rect">
                          <a:avLst/>
                        </a:prstGeom>
                        <a:noFill/>
                        <a:ln w="9525">
                          <a:noFill/>
                          <a:miter lim="800000"/>
                          <a:headEnd/>
                          <a:tailEnd/>
                        </a:ln>
                      </wps:spPr>
                      <wps:txbx>
                        <w:txbxContent>
                          <w:p w:rsidR="00B55C40" w:rsidP="00DF2882" w14:textId="77777777">
                            <w:pPr>
                              <w:rPr>
                                <w:color w:val="C00000"/>
                              </w:rPr>
                            </w:pPr>
                            <w:r>
                              <w:rPr>
                                <w:rFonts w:ascii="Cambria Math" w:hAnsi="Cambria Math" w:cs="Cambria Math"/>
                                <w:b/>
                                <w:color w:val="C00000"/>
                                <w:sz w:val="28"/>
                              </w:rPr>
                              <w:t>①</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id="Text Box 207" o:spid="_x0000_s1163" type="#_x0000_t202" style="width:16.85pt;height:22.45pt;margin-top:22.65pt;margin-left:11.3pt;mso-height-percent:0;mso-height-relative:margin;mso-width-percent:0;mso-width-relative:margin;mso-wrap-distance-bottom:0;mso-wrap-distance-left:9pt;mso-wrap-distance-right:9pt;mso-wrap-distance-top:0;mso-wrap-style:none;position:absolute;visibility:visible;v-text-anchor:top;z-index:251831296" filled="f" stroked="f">
                <v:textbox inset="0,0,0,0">
                  <w:txbxContent>
                    <w:p w:rsidR="00B55C40" w:rsidP="00DF2882" w14:paraId="2354A891" w14:textId="77777777">
                      <w:pPr>
                        <w:rPr>
                          <w:color w:val="C00000"/>
                        </w:rPr>
                      </w:pPr>
                      <w:r>
                        <w:rPr>
                          <w:rFonts w:ascii="Cambria Math" w:hAnsi="Cambria Math" w:cs="Cambria Math"/>
                          <w:b/>
                          <w:color w:val="C00000"/>
                          <w:sz w:val="28"/>
                        </w:rPr>
                        <w:t>①</w:t>
                      </w:r>
                    </w:p>
                  </w:txbxContent>
                </v:textbox>
              </v:shape>
            </w:pict>
          </mc:Fallback>
        </mc:AlternateContent>
      </w:r>
      <w:r>
        <w:rPr>
          <w:noProof/>
          <w:lang w:eastAsia="lv-LV"/>
        </w:rPr>
        <mc:AlternateContent>
          <mc:Choice Requires="wps">
            <w:drawing>
              <wp:anchor distT="0" distB="0" distL="114300" distR="114300" simplePos="0" relativeHeight="251832320" behindDoc="0" locked="0" layoutInCell="1" allowOverlap="1">
                <wp:simplePos x="0" y="0"/>
                <wp:positionH relativeFrom="column">
                  <wp:posOffset>3530600</wp:posOffset>
                </wp:positionH>
                <wp:positionV relativeFrom="paragraph">
                  <wp:posOffset>374015</wp:posOffset>
                </wp:positionV>
                <wp:extent cx="213995" cy="285115"/>
                <wp:effectExtent l="0" t="0" r="5715" b="635"/>
                <wp:wrapNone/>
                <wp:docPr id="206" name="Text Box 2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 cy="285115"/>
                        </a:xfrm>
                        <a:prstGeom prst="rect">
                          <a:avLst/>
                        </a:prstGeom>
                        <a:noFill/>
                        <a:ln w="9525">
                          <a:noFill/>
                          <a:miter lim="800000"/>
                          <a:headEnd/>
                          <a:tailEnd/>
                        </a:ln>
                      </wps:spPr>
                      <wps:txbx>
                        <w:txbxContent>
                          <w:p w:rsidR="00B55C40" w:rsidP="00DF2882" w14:textId="77777777">
                            <w:pPr>
                              <w:rPr>
                                <w:color w:val="C00000"/>
                              </w:rPr>
                            </w:pPr>
                            <w:r>
                              <w:rPr>
                                <w:rFonts w:ascii="Cambria Math" w:hAnsi="Cambria Math" w:cs="Cambria Math"/>
                                <w:b/>
                                <w:color w:val="C00000"/>
                                <w:sz w:val="28"/>
                              </w:rPr>
                              <w:t>②</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id="Text Box 206" o:spid="_x0000_s1164" type="#_x0000_t202" style="width:16.85pt;height:22.45pt;margin-top:29.45pt;margin-left:278pt;mso-height-percent:0;mso-height-relative:margin;mso-width-percent:0;mso-width-relative:margin;mso-wrap-distance-bottom:0;mso-wrap-distance-left:9pt;mso-wrap-distance-right:9pt;mso-wrap-distance-top:0;mso-wrap-style:none;position:absolute;visibility:visible;v-text-anchor:top;z-index:251833344" filled="f" stroked="f">
                <v:textbox inset="0,0,0,0">
                  <w:txbxContent>
                    <w:p w:rsidR="00B55C40" w:rsidP="00DF2882" w14:paraId="2B8D63A1" w14:textId="77777777">
                      <w:pPr>
                        <w:rPr>
                          <w:color w:val="C00000"/>
                        </w:rPr>
                      </w:pPr>
                      <w:r>
                        <w:rPr>
                          <w:rFonts w:ascii="Cambria Math" w:hAnsi="Cambria Math" w:cs="Cambria Math"/>
                          <w:b/>
                          <w:color w:val="C00000"/>
                          <w:sz w:val="28"/>
                        </w:rPr>
                        <w:t>②</w:t>
                      </w:r>
                    </w:p>
                  </w:txbxContent>
                </v:textbox>
              </v:shape>
            </w:pict>
          </mc:Fallback>
        </mc:AlternateContent>
      </w:r>
      <w:r>
        <w:rPr>
          <w:noProof/>
          <w:lang w:eastAsia="lv-LV"/>
        </w:rPr>
        <mc:AlternateContent>
          <mc:Choice Requires="wps">
            <w:drawing>
              <wp:anchor distT="0" distB="0" distL="114300" distR="114300" simplePos="0" relativeHeight="251834368" behindDoc="0" locked="0" layoutInCell="1" allowOverlap="1">
                <wp:simplePos x="0" y="0"/>
                <wp:positionH relativeFrom="column">
                  <wp:posOffset>9105900</wp:posOffset>
                </wp:positionH>
                <wp:positionV relativeFrom="paragraph">
                  <wp:posOffset>92075</wp:posOffset>
                </wp:positionV>
                <wp:extent cx="213995" cy="285115"/>
                <wp:effectExtent l="0" t="0" r="5715" b="635"/>
                <wp:wrapNone/>
                <wp:docPr id="205" name="Text Box 2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 cy="285115"/>
                        </a:xfrm>
                        <a:prstGeom prst="rect">
                          <a:avLst/>
                        </a:prstGeom>
                        <a:noFill/>
                        <a:ln w="9525">
                          <a:noFill/>
                          <a:miter lim="800000"/>
                          <a:headEnd/>
                          <a:tailEnd/>
                        </a:ln>
                      </wps:spPr>
                      <wps:txbx>
                        <w:txbxContent>
                          <w:p w:rsidR="00B55C40" w:rsidP="00DF2882" w14:textId="77777777">
                            <w:pPr>
                              <w:rPr>
                                <w:color w:val="C00000"/>
                              </w:rPr>
                            </w:pPr>
                            <w:r>
                              <w:rPr>
                                <w:rFonts w:ascii="Cambria Math" w:hAnsi="Cambria Math" w:cs="Cambria Math"/>
                                <w:b/>
                                <w:color w:val="C00000"/>
                                <w:sz w:val="28"/>
                              </w:rPr>
                              <w:t>③</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id="Text Box 205" o:spid="_x0000_s1165" type="#_x0000_t202" style="width:16.85pt;height:22.45pt;margin-top:7.25pt;margin-left:717pt;mso-height-percent:0;mso-height-relative:margin;mso-width-percent:0;mso-width-relative:margin;mso-wrap-distance-bottom:0;mso-wrap-distance-left:9pt;mso-wrap-distance-right:9pt;mso-wrap-distance-top:0;mso-wrap-style:none;position:absolute;visibility:visible;v-text-anchor:top;z-index:251835392" filled="f" stroked="f">
                <v:textbox inset="0,0,0,0">
                  <w:txbxContent>
                    <w:p w:rsidR="00B55C40" w:rsidP="00DF2882" w14:paraId="6539D223" w14:textId="77777777">
                      <w:pPr>
                        <w:rPr>
                          <w:color w:val="C00000"/>
                        </w:rPr>
                      </w:pPr>
                      <w:r>
                        <w:rPr>
                          <w:rFonts w:ascii="Cambria Math" w:hAnsi="Cambria Math" w:cs="Cambria Math"/>
                          <w:b/>
                          <w:color w:val="C00000"/>
                          <w:sz w:val="28"/>
                        </w:rPr>
                        <w:t>③</w:t>
                      </w:r>
                    </w:p>
                  </w:txbxContent>
                </v:textbox>
              </v:shape>
            </w:pict>
          </mc:Fallback>
        </mc:AlternateContent>
      </w:r>
      <w:r>
        <w:rPr>
          <w:noProof/>
          <w:lang w:eastAsia="lv-LV"/>
        </w:rPr>
        <mc:AlternateContent>
          <mc:Choice Requires="wps">
            <w:drawing>
              <wp:anchor distT="0" distB="0" distL="114300" distR="114300" simplePos="0" relativeHeight="251840512" behindDoc="0" locked="0" layoutInCell="1" allowOverlap="1">
                <wp:simplePos x="0" y="0"/>
                <wp:positionH relativeFrom="column">
                  <wp:posOffset>2483485</wp:posOffset>
                </wp:positionH>
                <wp:positionV relativeFrom="paragraph">
                  <wp:posOffset>2945765</wp:posOffset>
                </wp:positionV>
                <wp:extent cx="213995" cy="285115"/>
                <wp:effectExtent l="0" t="0" r="5715" b="635"/>
                <wp:wrapNone/>
                <wp:docPr id="204" name="Text Box 2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 cy="285115"/>
                        </a:xfrm>
                        <a:prstGeom prst="rect">
                          <a:avLst/>
                        </a:prstGeom>
                        <a:noFill/>
                        <a:ln w="9525">
                          <a:noFill/>
                          <a:miter lim="800000"/>
                          <a:headEnd/>
                          <a:tailEnd/>
                        </a:ln>
                      </wps:spPr>
                      <wps:txbx>
                        <w:txbxContent>
                          <w:p w:rsidR="00B55C40" w:rsidP="00DF2882" w14:textId="77777777">
                            <w:pPr>
                              <w:rPr>
                                <w:color w:val="C00000"/>
                              </w:rPr>
                            </w:pPr>
                            <w:r>
                              <w:rPr>
                                <w:rFonts w:ascii="Cambria Math" w:hAnsi="Cambria Math" w:cs="Cambria Math"/>
                                <w:b/>
                                <w:color w:val="C00000"/>
                                <w:sz w:val="28"/>
                              </w:rPr>
                              <w:t>⑥</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id="Text Box 204" o:spid="_x0000_s1166" type="#_x0000_t202" style="width:16.85pt;height:22.45pt;margin-top:231.95pt;margin-left:195.55pt;mso-height-percent:0;mso-height-relative:margin;mso-width-percent:0;mso-width-relative:margin;mso-wrap-distance-bottom:0;mso-wrap-distance-left:9pt;mso-wrap-distance-right:9pt;mso-wrap-distance-top:0;mso-wrap-style:none;position:absolute;visibility:visible;v-text-anchor:top;z-index:251841536" filled="f" stroked="f">
                <v:textbox inset="0,0,0,0">
                  <w:txbxContent>
                    <w:p w:rsidR="00B55C40" w:rsidP="00DF2882" w14:paraId="7CB12558" w14:textId="77777777">
                      <w:pPr>
                        <w:rPr>
                          <w:color w:val="C00000"/>
                        </w:rPr>
                      </w:pPr>
                      <w:r>
                        <w:rPr>
                          <w:rFonts w:ascii="Cambria Math" w:hAnsi="Cambria Math" w:cs="Cambria Math"/>
                          <w:b/>
                          <w:color w:val="C00000"/>
                          <w:sz w:val="28"/>
                        </w:rPr>
                        <w:t>⑥</w:t>
                      </w:r>
                    </w:p>
                  </w:txbxContent>
                </v:textbox>
              </v:shape>
            </w:pict>
          </mc:Fallback>
        </mc:AlternateContent>
      </w:r>
      <w:r>
        <w:rPr>
          <w:noProof/>
          <w:lang w:eastAsia="lv-LV"/>
        </w:rPr>
        <mc:AlternateContent>
          <mc:Choice Requires="wps">
            <w:drawing>
              <wp:anchor distT="0" distB="0" distL="114300" distR="114300" simplePos="0" relativeHeight="251844608" behindDoc="0" locked="0" layoutInCell="1" allowOverlap="1">
                <wp:simplePos x="0" y="0"/>
                <wp:positionH relativeFrom="column">
                  <wp:posOffset>6153785</wp:posOffset>
                </wp:positionH>
                <wp:positionV relativeFrom="paragraph">
                  <wp:posOffset>5690235</wp:posOffset>
                </wp:positionV>
                <wp:extent cx="931545" cy="224790"/>
                <wp:effectExtent l="0" t="0" r="20955" b="20955"/>
                <wp:wrapNone/>
                <wp:docPr id="203" name="Text Box 2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1545" cy="224790"/>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Secinājumi</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203" o:spid="_x0000_s1167" type="#_x0000_t202" style="width:73.35pt;height:17.7pt;margin-top:448.05pt;margin-left:484.55pt;mso-height-percent:0;mso-height-relative:margin;mso-width-percent:0;mso-width-relative:margin;mso-wrap-distance-bottom:0;mso-wrap-distance-left:9pt;mso-wrap-distance-right:9pt;mso-wrap-distance-top:0;mso-wrap-style:square;position:absolute;visibility:visible;v-text-anchor:top;z-index:251845632" strokecolor="#c00000">
                <v:stroke dashstyle="dash"/>
                <v:textbox style="mso-fit-shape-to-text:t" inset="2.83pt,2.83pt,2.83pt,2.83pt">
                  <w:txbxContent>
                    <w:p w:rsidR="00B55C40" w:rsidP="00DF2882" w14:paraId="2049304E"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Secinājumi</w:t>
                      </w:r>
                    </w:p>
                  </w:txbxContent>
                </v:textbox>
              </v:shape>
            </w:pict>
          </mc:Fallback>
        </mc:AlternateContent>
      </w:r>
    </w:p>
    <w:p w:rsidR="00DF2882" w:rsidP="00DF2882" w14:paraId="2CFBA563" w14:textId="77777777">
      <w:pPr>
        <w:rPr>
          <w:rFonts w:ascii="Arial Narrow" w:hAnsi="Arial Narrow"/>
          <w:b/>
          <w:sz w:val="28"/>
        </w:rPr>
      </w:pPr>
    </w:p>
    <w:p w:rsidR="00DF2882" w:rsidP="00DF2882" w14:paraId="4D048CB9" w14:textId="77777777">
      <w:pPr>
        <w:spacing w:after="0"/>
        <w:rPr>
          <w:rFonts w:ascii="Arial Narrow" w:hAnsi="Arial Narrow"/>
          <w:b/>
          <w:sz w:val="28"/>
        </w:rPr>
        <w:sectPr w:rsidSect="008B7513">
          <w:pgSz w:w="16838" w:h="11906" w:orient="landscape"/>
          <w:pgMar w:top="397" w:right="1134" w:bottom="397" w:left="1134" w:header="709" w:footer="709" w:gutter="0"/>
          <w:cols w:space="720"/>
        </w:sectPr>
      </w:pPr>
    </w:p>
    <w:p w:rsidR="00DF2882" w:rsidP="00DF2882" w14:paraId="4297732B" w14:textId="77777777">
      <w:pPr>
        <w:rPr>
          <w:rFonts w:ascii="Times New Roman" w:eastAsia="Times New Roman" w:hAnsi="Times New Roman" w:cs="Times New Roman"/>
          <w:b/>
          <w:bCs/>
          <w:sz w:val="24"/>
          <w:szCs w:val="24"/>
          <w:lang w:eastAsia="lv-LV"/>
        </w:rPr>
        <w:sectPr>
          <w:type w:val="continuous"/>
          <w:pgSz w:w="16838" w:h="11906" w:orient="landscape"/>
          <w:pgMar w:top="1304" w:right="992" w:bottom="907" w:left="1418" w:header="425" w:footer="193" w:gutter="0"/>
          <w:pgNumType w:start="0"/>
          <w:cols w:space="720"/>
        </w:sectPr>
      </w:pPr>
      <w:r>
        <w:rPr>
          <w:noProof/>
          <w:lang w:eastAsia="lv-LV"/>
        </w:rPr>
        <mc:AlternateContent>
          <mc:Choice Requires="wps">
            <w:drawing>
              <wp:anchor distT="0" distB="0" distL="114300" distR="114300" simplePos="0" relativeHeight="251811840" behindDoc="0" locked="0" layoutInCell="1" allowOverlap="1">
                <wp:simplePos x="0" y="0"/>
                <wp:positionH relativeFrom="column">
                  <wp:posOffset>2299335</wp:posOffset>
                </wp:positionH>
                <wp:positionV relativeFrom="paragraph">
                  <wp:posOffset>91440</wp:posOffset>
                </wp:positionV>
                <wp:extent cx="931545" cy="367665"/>
                <wp:effectExtent l="0" t="0" r="20955" b="27305"/>
                <wp:wrapNone/>
                <wp:docPr id="202" name="Text Box 2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1545" cy="367665"/>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Resursu koncentrēšana</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202" o:spid="_x0000_s1168" type="#_x0000_t202" style="width:73.35pt;height:28.95pt;margin-top:7.2pt;margin-left:181.05pt;mso-height-percent:0;mso-height-relative:margin;mso-width-percent:0;mso-width-relative:margin;mso-wrap-distance-bottom:0;mso-wrap-distance-left:9pt;mso-wrap-distance-right:9pt;mso-wrap-distance-top:0;mso-wrap-style:square;position:absolute;visibility:visible;v-text-anchor:top;z-index:251812864" strokecolor="#c00000">
                <v:stroke dashstyle="dash"/>
                <v:textbox style="mso-fit-shape-to-text:t" inset="2.83pt,2.83pt,2.83pt,2.83pt">
                  <w:txbxContent>
                    <w:p w:rsidR="00B55C40" w:rsidP="00DF2882" w14:paraId="444FFC58"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Resursu koncentrēšana</w:t>
                      </w:r>
                    </w:p>
                  </w:txbxContent>
                </v:textbox>
              </v:shape>
            </w:pict>
          </mc:Fallback>
        </mc:AlternateContent>
      </w:r>
      <w:r>
        <w:rPr>
          <w:noProof/>
          <w:lang w:eastAsia="lv-LV"/>
        </w:rPr>
        <mc:AlternateContent>
          <mc:Choice Requires="wpg">
            <w:drawing>
              <wp:anchor distT="0" distB="0" distL="114300" distR="114300" simplePos="0" relativeHeight="251789312" behindDoc="0" locked="0" layoutInCell="1" allowOverlap="1">
                <wp:simplePos x="0" y="0"/>
                <wp:positionH relativeFrom="column">
                  <wp:posOffset>-109855</wp:posOffset>
                </wp:positionH>
                <wp:positionV relativeFrom="paragraph">
                  <wp:posOffset>2315845</wp:posOffset>
                </wp:positionV>
                <wp:extent cx="2632710" cy="872490"/>
                <wp:effectExtent l="0" t="0" r="15240" b="22860"/>
                <wp:wrapNone/>
                <wp:docPr id="201" name="Group 201"/>
                <wp:cNvGraphicFramePr/>
                <a:graphic xmlns:a="http://schemas.openxmlformats.org/drawingml/2006/main">
                  <a:graphicData uri="http://schemas.microsoft.com/office/word/2010/wordprocessingGroup">
                    <wpg:wgp xmlns:wpg="http://schemas.microsoft.com/office/word/2010/wordprocessingGroup">
                      <wpg:cNvGrpSpPr/>
                      <wpg:grpSpPr>
                        <a:xfrm>
                          <a:off x="0" y="0"/>
                          <a:ext cx="2632710" cy="871855"/>
                          <a:chOff x="0" y="0"/>
                          <a:chExt cx="26919" cy="9771"/>
                        </a:xfrm>
                      </wpg:grpSpPr>
                      <wps:wsp xmlns:wps="http://schemas.microsoft.com/office/word/2010/wordprocessingShape">
                        <wps:cNvPr id="392" name="Text Box 301"/>
                        <wps:cNvSpPr txBox="1">
                          <a:spLocks noChangeArrowheads="1"/>
                        </wps:cNvSpPr>
                        <wps:spPr bwMode="auto">
                          <a:xfrm>
                            <a:off x="0" y="0"/>
                            <a:ext cx="26919" cy="4357"/>
                          </a:xfrm>
                          <a:prstGeom prst="rect">
                            <a:avLst/>
                          </a:prstGeom>
                          <a:noFill/>
                          <a:ln>
                            <a:noFill/>
                          </a:ln>
                        </wps:spPr>
                        <wps:txbx>
                          <w:txbxContent>
                            <w:p w:rsidR="00B55C40" w:rsidP="00DF2882" w14:textId="77777777">
                              <w:pPr>
                                <w:spacing w:after="0" w:line="240" w:lineRule="auto"/>
                                <w:ind w:right="-14"/>
                                <w:rPr>
                                  <w:rFonts w:ascii="Arial Narrow" w:hAnsi="Arial Narrow"/>
                                  <w:b/>
                                  <w:u w:val="single"/>
                                </w:rPr>
                              </w:pPr>
                              <w:r>
                                <w:rPr>
                                  <w:rFonts w:ascii="Arial Narrow" w:hAnsi="Arial Narrow"/>
                                  <w:b/>
                                  <w:u w:val="single"/>
                                </w:rPr>
                                <w:t>Politikas veidotāji</w:t>
                              </w:r>
                            </w:p>
                          </w:txbxContent>
                        </wps:txbx>
                        <wps:bodyPr rot="0" vert="horz" wrap="square" anchor="t" anchorCtr="0" upright="1"/>
                      </wps:wsp>
                      <wps:wsp xmlns:wps="http://schemas.microsoft.com/office/word/2010/wordprocessingShape">
                        <wps:cNvPr id="393" name="Rectangle 393"/>
                        <wps:cNvSpPr/>
                        <wps:spPr bwMode="auto">
                          <a:xfrm>
                            <a:off x="345" y="258"/>
                            <a:ext cx="26572" cy="9513"/>
                          </a:xfrm>
                          <a:prstGeom prst="rect">
                            <a:avLst/>
                          </a:prstGeom>
                          <a:noFill/>
                          <a:ln w="28575">
                            <a:solidFill>
                              <a:schemeClr val="accent3">
                                <a:lumMod val="75000"/>
                                <a:lumOff val="0"/>
                              </a:schemeClr>
                            </a:solidFill>
                            <a:miter lim="800000"/>
                            <a:headEnd/>
                            <a:tailEnd/>
                          </a:ln>
                        </wps:spPr>
                        <wps:bodyPr rot="0" vert="horz" wrap="square" anchor="ctr" anchorCtr="0" upright="1"/>
                      </wps:wsp>
                      <wpg:grpSp>
                        <wpg:cNvPr id="394" name="Group 394"/>
                        <wpg:cNvGrpSpPr/>
                        <wpg:grpSpPr>
                          <a:xfrm>
                            <a:off x="775" y="3105"/>
                            <a:ext cx="25798" cy="6146"/>
                            <a:chOff x="776" y="3105"/>
                            <a:chExt cx="47986" cy="12602"/>
                          </a:xfrm>
                        </wpg:grpSpPr>
                        <pic:pic xmlns:pic="http://schemas.openxmlformats.org/drawingml/2006/picture">
                          <pic:nvPicPr>
                            <pic:cNvPr id="395" name="Picture 395"/>
                            <pic:cNvPicPr>
                              <a:picLocks noChangeAspect="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39339" y="3105"/>
                              <a:ext cx="9423" cy="12602"/>
                            </a:xfrm>
                            <a:prstGeom prst="rect">
                              <a:avLst/>
                            </a:prstGeom>
                            <a:noFill/>
                          </pic:spPr>
                        </pic:pic>
                        <pic:pic xmlns:pic="http://schemas.openxmlformats.org/drawingml/2006/picture">
                          <pic:nvPicPr>
                            <pic:cNvPr id="396" name="Picture 396"/>
                            <pic:cNvPicPr>
                              <a:picLocks noChangeAspect="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29241" y="3105"/>
                              <a:ext cx="10496" cy="11529"/>
                            </a:xfrm>
                            <a:prstGeom prst="rect">
                              <a:avLst/>
                            </a:prstGeom>
                            <a:noFill/>
                          </pic:spPr>
                        </pic:pic>
                        <pic:pic xmlns:pic="http://schemas.openxmlformats.org/drawingml/2006/picture">
                          <pic:nvPicPr>
                            <pic:cNvPr id="397" name="Picture 397"/>
                            <pic:cNvPicPr>
                              <a:picLocks noChangeAspect="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rcRect t="537"/>
                            <a:stretch>
                              <a:fillRect/>
                            </a:stretch>
                          </pic:blipFill>
                          <pic:spPr bwMode="auto">
                            <a:xfrm>
                              <a:off x="20216" y="3105"/>
                              <a:ext cx="9105" cy="11529"/>
                            </a:xfrm>
                            <a:prstGeom prst="rect">
                              <a:avLst/>
                            </a:prstGeom>
                            <a:noFill/>
                          </pic:spPr>
                        </pic:pic>
                        <pic:pic xmlns:pic="http://schemas.openxmlformats.org/drawingml/2006/picture">
                          <pic:nvPicPr>
                            <pic:cNvPr id="398" name="Picture 398"/>
                            <pic:cNvPicPr>
                              <a:picLocks noChangeAspect="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10357" y="3105"/>
                              <a:ext cx="9859" cy="11529"/>
                            </a:xfrm>
                            <a:prstGeom prst="rect">
                              <a:avLst/>
                            </a:prstGeom>
                            <a:noFill/>
                          </pic:spPr>
                        </pic:pic>
                        <pic:pic xmlns:pic="http://schemas.openxmlformats.org/drawingml/2006/picture">
                          <pic:nvPicPr>
                            <pic:cNvPr id="399" name="Picture 399"/>
                            <pic:cNvPicPr>
                              <a:picLocks noChangeAspect="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776" y="3105"/>
                              <a:ext cx="9819" cy="12245"/>
                            </a:xfrm>
                            <a:prstGeom prst="rect">
                              <a:avLst/>
                            </a:prstGeom>
                            <a:noFill/>
                          </pic:spPr>
                        </pic:pic>
                      </wpg:grpSp>
                    </wpg:wgp>
                  </a:graphicData>
                </a:graphic>
                <wp14:sizeRelH relativeFrom="page">
                  <wp14:pctWidth>0</wp14:pctWidth>
                </wp14:sizeRelH>
                <wp14:sizeRelV relativeFrom="page">
                  <wp14:pctHeight>0</wp14:pctHeight>
                </wp14:sizeRelV>
              </wp:anchor>
            </w:drawing>
          </mc:Choice>
          <mc:Fallback>
            <w:pict>
              <v:group id="Group 201" o:spid="_x0000_s1169" style="width:207.3pt;height:68.7pt;margin-top:182.35pt;margin-left:-8.65pt;position:absolute;z-index:251790336" coordsize="26919,9771">
                <v:shape id="Text Box 301" o:spid="_x0000_s1170" type="#_x0000_t202" style="width:26919;height:4357;mso-wrap-style:square;position:absolute;visibility:visible;v-text-anchor:top" filled="f" stroked="f">
                  <v:textbox>
                    <w:txbxContent>
                      <w:p w:rsidR="00B55C40" w:rsidP="00DF2882" w14:paraId="0750FB09" w14:textId="77777777">
                        <w:pPr>
                          <w:spacing w:after="0" w:line="240" w:lineRule="auto"/>
                          <w:ind w:right="-14"/>
                          <w:rPr>
                            <w:rFonts w:ascii="Arial Narrow" w:hAnsi="Arial Narrow"/>
                            <w:b/>
                            <w:u w:val="single"/>
                          </w:rPr>
                        </w:pPr>
                        <w:r>
                          <w:rPr>
                            <w:rFonts w:ascii="Arial Narrow" w:hAnsi="Arial Narrow"/>
                            <w:b/>
                            <w:u w:val="single"/>
                          </w:rPr>
                          <w:t>Politikas veidotāji</w:t>
                        </w:r>
                      </w:p>
                    </w:txbxContent>
                  </v:textbox>
                </v:shape>
                <v:rect id="Rectangle 393" o:spid="_x0000_s1171" style="width:26572;height:9513;left:345;mso-wrap-style:square;position:absolute;top:258;visibility:visible;v-text-anchor:middle" filled="f" strokecolor="#472cbb" strokeweight="2.25pt">
                  <v:path arrowok="t"/>
                </v:rect>
                <v:group id="Group 394" o:spid="_x0000_s1172" style="width:25798;height:6146;left:775;position:absolute;top:3105" coordorigin="776,3105" coordsize="47986,12602">
                  <v:shape id="Picture 395" o:spid="_x0000_s1173" type="#_x0000_t75" style="width:9423;height:12602;left:39339;mso-wrap-style:square;position:absolute;top:3105;visibility:visible">
                    <v:imagedata r:id="rId42" o:title=""/>
                    <v:path arrowok="t"/>
                  </v:shape>
                  <v:shape id="Picture 396" o:spid="_x0000_s1174" type="#_x0000_t75" style="width:10496;height:11529;left:29241;mso-wrap-style:square;position:absolute;top:3105;visibility:visible">
                    <v:imagedata r:id="rId43" o:title=""/>
                    <v:path arrowok="t"/>
                  </v:shape>
                  <v:shape id="Picture 397" o:spid="_x0000_s1175" type="#_x0000_t75" style="width:9105;height:11529;left:20216;mso-wrap-style:square;position:absolute;top:3105;visibility:visible">
                    <v:imagedata r:id="rId44" o:title="" croptop="352f"/>
                    <v:path arrowok="t"/>
                  </v:shape>
                  <v:shape id="Picture 398" o:spid="_x0000_s1176" type="#_x0000_t75" style="width:9859;height:11529;left:10357;mso-wrap-style:square;position:absolute;top:3105;visibility:visible">
                    <v:imagedata r:id="rId45" o:title=""/>
                    <v:path arrowok="t"/>
                  </v:shape>
                  <v:shape id="Picture 399" o:spid="_x0000_s1177" type="#_x0000_t75" style="width:9819;height:12245;left:776;mso-wrap-style:square;position:absolute;top:3105;visibility:visible">
                    <v:imagedata r:id="rId46" o:title=""/>
                    <v:path arrowok="t"/>
                  </v:shape>
                </v:group>
              </v:group>
            </w:pict>
          </mc:Fallback>
        </mc:AlternateContent>
      </w:r>
      <w:r>
        <w:rPr>
          <w:noProof/>
          <w:lang w:eastAsia="lv-LV"/>
        </w:rPr>
        <mc:AlternateContent>
          <mc:Choice Requires="wps">
            <w:drawing>
              <wp:anchor distT="0" distB="0" distL="114300" distR="114300" simplePos="0" relativeHeight="251793408" behindDoc="0" locked="0" layoutInCell="1" allowOverlap="1">
                <wp:simplePos x="0" y="0"/>
                <wp:positionH relativeFrom="column">
                  <wp:posOffset>3261995</wp:posOffset>
                </wp:positionH>
                <wp:positionV relativeFrom="paragraph">
                  <wp:posOffset>2268220</wp:posOffset>
                </wp:positionV>
                <wp:extent cx="2667000" cy="967105"/>
                <wp:effectExtent l="0" t="0" r="19050" b="23495"/>
                <wp:wrapNone/>
                <wp:docPr id="199" name="Text Box 1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67000" cy="967105"/>
                        </a:xfrm>
                        <a:prstGeom prst="rect">
                          <a:avLst/>
                        </a:prstGeom>
                        <a:solidFill>
                          <a:schemeClr val="accent3">
                            <a:lumMod val="60000"/>
                            <a:lumOff val="40000"/>
                          </a:schemeClr>
                        </a:solidFill>
                        <a:ln w="25400">
                          <a:solidFill>
                            <a:schemeClr val="accent3">
                              <a:lumMod val="75000"/>
                            </a:schemeClr>
                          </a:solidFill>
                          <a:miter lim="800000"/>
                          <a:headEnd/>
                          <a:tailEnd/>
                        </a:ln>
                      </wps:spPr>
                      <wps:txbx>
                        <w:txbxContent>
                          <w:p w:rsidR="00B55C40" w:rsidP="00DF2882" w14:textId="77777777">
                            <w:pPr>
                              <w:shd w:val="clear" w:color="auto" w:fill="AC9DE8" w:themeFill="accent3" w:themeFillTint="99"/>
                              <w:spacing w:after="0" w:line="240" w:lineRule="auto"/>
                              <w:ind w:left="-142" w:right="-161"/>
                              <w:jc w:val="center"/>
                              <w:rPr>
                                <w:rFonts w:ascii="Arial Narrow" w:eastAsia="SimSun" w:hAnsi="Arial Narrow" w:cs="Times New Roman"/>
                                <w:b/>
                                <w:bCs/>
                                <w:sz w:val="28"/>
                                <w:szCs w:val="24"/>
                                <w:lang w:eastAsia="zh-CN" w:bidi="lo-LA"/>
                              </w:rPr>
                            </w:pPr>
                            <w:r>
                              <w:rPr>
                                <w:rFonts w:ascii="Arial Narrow" w:eastAsia="SimSun" w:hAnsi="Arial Narrow" w:cs="Times New Roman"/>
                                <w:b/>
                                <w:bCs/>
                                <w:sz w:val="28"/>
                                <w:szCs w:val="24"/>
                                <w:lang w:eastAsia="zh-CN" w:bidi="lo-LA"/>
                              </w:rPr>
                              <w:t>Uzņēmējdarbības atklājuma princips</w:t>
                            </w:r>
                          </w:p>
                          <w:p w:rsidR="00B55C40" w:rsidP="00DF2882" w14:textId="77777777">
                            <w:pPr>
                              <w:shd w:val="clear" w:color="auto" w:fill="AC9DE8" w:themeFill="accent3" w:themeFillTint="99"/>
                              <w:spacing w:after="0" w:line="240" w:lineRule="auto"/>
                              <w:ind w:left="-142" w:right="-161"/>
                              <w:jc w:val="center"/>
                              <w:rPr>
                                <w:rFonts w:ascii="Arial Narrow" w:hAnsi="Arial Narrow"/>
                                <w:b/>
                                <w:sz w:val="10"/>
                              </w:rPr>
                            </w:pPr>
                            <w:r>
                              <w:rPr>
                                <w:rFonts w:ascii="Arial Narrow" w:eastAsia="SimSun" w:hAnsi="Arial Narrow" w:cs="Times New Roman"/>
                                <w:bCs/>
                                <w:sz w:val="18"/>
                                <w:szCs w:val="18"/>
                                <w:lang w:eastAsia="zh-CN" w:bidi="lo-LA"/>
                              </w:rPr>
                              <w:t>Mērķis –identificēt/ aktualizēt iespējamās konkurētspējas nišas katras nozaru līmenī, identificēt šķēršļus un problēmas, kā arī sniegt atgriezenisko saiti par pasākumu ieviešanas efektivitāti un nepieciešamajām izmaiņām</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199" o:spid="_x0000_s1178" type="#_x0000_t202" style="width:210pt;height:76.15pt;margin-top:178.6pt;margin-left:256.85pt;mso-height-percent:0;mso-height-relative:margin;mso-width-percent:0;mso-width-relative:margin;mso-wrap-distance-bottom:0;mso-wrap-distance-left:9pt;mso-wrap-distance-right:9pt;mso-wrap-distance-top:0;mso-wrap-style:square;position:absolute;visibility:visible;v-text-anchor:top;z-index:251794432" fillcolor="#ac9de8" strokecolor="#472cbb" strokeweight="2pt">
                <v:textbox>
                  <w:txbxContent>
                    <w:p w:rsidR="00B55C40" w:rsidP="00DF2882" w14:paraId="5220BDDC" w14:textId="77777777">
                      <w:pPr>
                        <w:shd w:val="clear" w:color="auto" w:fill="AC9DE8" w:themeFill="accent3" w:themeFillTint="99"/>
                        <w:spacing w:after="0" w:line="240" w:lineRule="auto"/>
                        <w:ind w:left="-142" w:right="-161"/>
                        <w:jc w:val="center"/>
                        <w:rPr>
                          <w:rFonts w:ascii="Arial Narrow" w:eastAsia="SimSun" w:hAnsi="Arial Narrow" w:cs="Times New Roman"/>
                          <w:b/>
                          <w:bCs/>
                          <w:sz w:val="28"/>
                          <w:szCs w:val="24"/>
                          <w:lang w:eastAsia="zh-CN" w:bidi="lo-LA"/>
                        </w:rPr>
                      </w:pPr>
                      <w:r>
                        <w:rPr>
                          <w:rFonts w:ascii="Arial Narrow" w:eastAsia="SimSun" w:hAnsi="Arial Narrow" w:cs="Times New Roman"/>
                          <w:b/>
                          <w:bCs/>
                          <w:sz w:val="28"/>
                          <w:szCs w:val="24"/>
                          <w:lang w:eastAsia="zh-CN" w:bidi="lo-LA"/>
                        </w:rPr>
                        <w:t>Uzņēmējdarbības atklājuma princips</w:t>
                      </w:r>
                    </w:p>
                    <w:p w:rsidR="00B55C40" w:rsidP="00DF2882" w14:paraId="4D2080FB" w14:textId="77777777">
                      <w:pPr>
                        <w:shd w:val="clear" w:color="auto" w:fill="AC9DE8" w:themeFill="accent3" w:themeFillTint="99"/>
                        <w:spacing w:after="0" w:line="240" w:lineRule="auto"/>
                        <w:ind w:left="-142" w:right="-161"/>
                        <w:jc w:val="center"/>
                        <w:rPr>
                          <w:rFonts w:ascii="Arial Narrow" w:hAnsi="Arial Narrow"/>
                          <w:b/>
                          <w:sz w:val="10"/>
                        </w:rPr>
                      </w:pPr>
                      <w:r>
                        <w:rPr>
                          <w:rFonts w:ascii="Arial Narrow" w:eastAsia="SimSun" w:hAnsi="Arial Narrow" w:cs="Times New Roman"/>
                          <w:bCs/>
                          <w:sz w:val="18"/>
                          <w:szCs w:val="18"/>
                          <w:lang w:eastAsia="zh-CN" w:bidi="lo-LA"/>
                        </w:rPr>
                        <w:t>Mērķis –identificēt/ aktualizēt iespējamās konkurētspējas nišas katras nozaru līmenī, identificēt šķēršļus un problēmas, kā arī sniegt atgriezenisko saiti par pasākumu ieviešanas efektivitāti un nepieciešamajām izmaiņām</w:t>
                      </w:r>
                    </w:p>
                  </w:txbxContent>
                </v:textbox>
              </v:shape>
            </w:pict>
          </mc:Fallback>
        </mc:AlternateContent>
      </w:r>
      <w:r>
        <w:rPr>
          <w:noProof/>
          <w:lang w:eastAsia="lv-LV"/>
        </w:rPr>
        <mc:AlternateContent>
          <mc:Choice Requires="wps">
            <w:drawing>
              <wp:anchor distT="0" distB="0" distL="114300" distR="114300" simplePos="0" relativeHeight="251805696" behindDoc="0" locked="0" layoutInCell="1" allowOverlap="1">
                <wp:simplePos x="0" y="0"/>
                <wp:positionH relativeFrom="column">
                  <wp:posOffset>4379595</wp:posOffset>
                </wp:positionH>
                <wp:positionV relativeFrom="paragraph">
                  <wp:posOffset>1714500</wp:posOffset>
                </wp:positionV>
                <wp:extent cx="283210" cy="428625"/>
                <wp:effectExtent l="19050" t="19050" r="40640" b="28575"/>
                <wp:wrapNone/>
                <wp:docPr id="198" name="Arrow: Down 198"/>
                <wp:cNvGraphicFramePr/>
                <a:graphic xmlns:a="http://schemas.openxmlformats.org/drawingml/2006/main">
                  <a:graphicData uri="http://schemas.microsoft.com/office/word/2010/wordprocessingShape">
                    <wps:wsp xmlns:wps="http://schemas.microsoft.com/office/word/2010/wordprocessingShape">
                      <wps:cNvSpPr/>
                      <wps:spPr bwMode="auto">
                        <a:xfrm rot="10800000">
                          <a:off x="0" y="0"/>
                          <a:ext cx="283210" cy="428625"/>
                        </a:xfrm>
                        <a:prstGeom prst="downArrow">
                          <a:avLst>
                            <a:gd name="adj1" fmla="val 59194"/>
                            <a:gd name="adj2" fmla="val 66611"/>
                          </a:avLst>
                        </a:prstGeom>
                        <a:solidFill>
                          <a:srgbClr val="FF0000"/>
                        </a:solidFill>
                        <a:ln w="12700">
                          <a:solidFill>
                            <a:schemeClr val="tx1">
                              <a:lumMod val="100000"/>
                              <a:lumOff val="0"/>
                            </a:schemeClr>
                          </a:solidFill>
                          <a:miter lim="800000"/>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shape id="Arrow: Down 198" o:spid="_x0000_s1179" type="#_x0000_t67" style="width:22.3pt;height:33.75pt;margin-top:135pt;margin-left:344.85pt;mso-height-percent:0;mso-height-relative:margin;mso-width-percent:0;mso-width-relative:margin;mso-wrap-distance-bottom:0;mso-wrap-distance-left:9pt;mso-wrap-distance-right:9pt;mso-wrap-distance-top:0;mso-wrap-style:square;position:absolute;rotation:180;visibility:visible;v-text-anchor:middle;z-index:251806720" adj="12093,4407" fillcolor="red" strokecolor="black" strokeweight="1pt">
                <v:path arrowok="t"/>
              </v:shape>
            </w:pict>
          </mc:Fallback>
        </mc:AlternateContent>
      </w:r>
      <w:r>
        <w:rPr>
          <w:noProof/>
          <w:lang w:eastAsia="lv-LV"/>
        </w:rPr>
        <mc:AlternateContent>
          <mc:Choice Requires="wps">
            <w:drawing>
              <wp:anchor distT="0" distB="0" distL="114300" distR="114300" simplePos="0" relativeHeight="251824128" behindDoc="0" locked="0" layoutInCell="1" allowOverlap="1">
                <wp:simplePos x="0" y="0"/>
                <wp:positionH relativeFrom="column">
                  <wp:posOffset>4789170</wp:posOffset>
                </wp:positionH>
                <wp:positionV relativeFrom="paragraph">
                  <wp:posOffset>1840230</wp:posOffset>
                </wp:positionV>
                <wp:extent cx="1343025" cy="367665"/>
                <wp:effectExtent l="0" t="0" r="28575" b="27305"/>
                <wp:wrapNone/>
                <wp:docPr id="197"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43025" cy="367665"/>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Ieteikumi prioritāšu maiņai, nišu aktualizēšana</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197" o:spid="_x0000_s1180" type="#_x0000_t202" style="width:105.75pt;height:28.95pt;margin-top:144.9pt;margin-left:377.1pt;mso-height-percent:0;mso-height-relative:margin;mso-width-percent:0;mso-width-relative:margin;mso-wrap-distance-bottom:0;mso-wrap-distance-left:9pt;mso-wrap-distance-right:9pt;mso-wrap-distance-top:0;mso-wrap-style:square;position:absolute;visibility:visible;v-text-anchor:top;z-index:251825152" strokecolor="#c00000">
                <v:stroke dashstyle="dash"/>
                <v:textbox style="mso-fit-shape-to-text:t" inset="2.83pt,2.83pt,2.83pt,2.83pt">
                  <w:txbxContent>
                    <w:p w:rsidR="00B55C40" w:rsidP="00DF2882" w14:paraId="06483BE8"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Ieteikumi prioritāšu maiņai, nišu aktualizēšana</w:t>
                      </w:r>
                    </w:p>
                  </w:txbxContent>
                </v:textbox>
              </v:shape>
            </w:pict>
          </mc:Fallback>
        </mc:AlternateContent>
      </w:r>
      <w:r>
        <w:rPr>
          <w:noProof/>
          <w:lang w:eastAsia="lv-LV"/>
        </w:rPr>
        <mc:AlternateContent>
          <mc:Choice Requires="wps">
            <w:drawing>
              <wp:anchor distT="0" distB="0" distL="114300" distR="114300" simplePos="0" relativeHeight="251828224" behindDoc="0" locked="0" layoutInCell="1" allowOverlap="1">
                <wp:simplePos x="0" y="0"/>
                <wp:positionH relativeFrom="column">
                  <wp:posOffset>2292350</wp:posOffset>
                </wp:positionH>
                <wp:positionV relativeFrom="paragraph">
                  <wp:posOffset>2888615</wp:posOffset>
                </wp:positionV>
                <wp:extent cx="931545" cy="224790"/>
                <wp:effectExtent l="0" t="0" r="20955" b="20955"/>
                <wp:wrapNone/>
                <wp:docPr id="194" name="Text Box 1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1545" cy="224790"/>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Priekšlikumi</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194" o:spid="_x0000_s1181" type="#_x0000_t202" style="width:73.35pt;height:17.7pt;margin-top:227.45pt;margin-left:180.5pt;mso-height-percent:0;mso-height-relative:margin;mso-width-percent:0;mso-width-relative:margin;mso-wrap-distance-bottom:0;mso-wrap-distance-left:9pt;mso-wrap-distance-right:9pt;mso-wrap-distance-top:0;mso-wrap-style:square;position:absolute;visibility:visible;v-text-anchor:top;z-index:251829248" strokecolor="#c00000">
                <v:stroke dashstyle="dash"/>
                <v:textbox style="mso-fit-shape-to-text:t" inset="2.83pt,2.83pt,2.83pt,2.83pt">
                  <w:txbxContent>
                    <w:p w:rsidR="00B55C40" w:rsidP="00DF2882" w14:paraId="5142D086"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Priekšlikumi</w:t>
                      </w:r>
                    </w:p>
                  </w:txbxContent>
                </v:textbox>
              </v:shape>
            </w:pict>
          </mc:Fallback>
        </mc:AlternateContent>
      </w:r>
      <w:r>
        <w:rPr>
          <w:noProof/>
          <w:lang w:eastAsia="lv-LV"/>
        </w:rPr>
        <mc:AlternateContent>
          <mc:Choice Requires="wps">
            <w:drawing>
              <wp:anchor distT="0" distB="0" distL="114300" distR="114300" simplePos="0" relativeHeight="251842560" behindDoc="0" locked="0" layoutInCell="1" allowOverlap="1">
                <wp:simplePos x="0" y="0"/>
                <wp:positionH relativeFrom="column">
                  <wp:posOffset>4122420</wp:posOffset>
                </wp:positionH>
                <wp:positionV relativeFrom="paragraph">
                  <wp:posOffset>3041650</wp:posOffset>
                </wp:positionV>
                <wp:extent cx="213995" cy="285115"/>
                <wp:effectExtent l="0" t="0" r="5715" b="635"/>
                <wp:wrapNone/>
                <wp:docPr id="192" name="Text Box 1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 cy="285115"/>
                        </a:xfrm>
                        <a:prstGeom prst="rect">
                          <a:avLst/>
                        </a:prstGeom>
                        <a:noFill/>
                        <a:ln w="9525">
                          <a:noFill/>
                          <a:miter lim="800000"/>
                          <a:headEnd/>
                          <a:tailEnd/>
                        </a:ln>
                      </wps:spPr>
                      <wps:txbx>
                        <w:txbxContent>
                          <w:p w:rsidR="00B55C40" w:rsidP="00DF2882" w14:textId="77777777">
                            <w:pPr>
                              <w:rPr>
                                <w:color w:val="C00000"/>
                              </w:rPr>
                            </w:pPr>
                            <w:r>
                              <w:rPr>
                                <w:rFonts w:ascii="Cambria Math" w:hAnsi="Cambria Math" w:cs="Cambria Math"/>
                                <w:b/>
                                <w:color w:val="C00000"/>
                                <w:sz w:val="28"/>
                              </w:rPr>
                              <w:t>⑦</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id="Text Box 192" o:spid="_x0000_s1182" type="#_x0000_t202" style="width:16.85pt;height:22.45pt;margin-top:239.5pt;margin-left:324.6pt;mso-height-percent:0;mso-height-relative:margin;mso-width-percent:0;mso-width-relative:margin;mso-wrap-distance-bottom:0;mso-wrap-distance-left:9pt;mso-wrap-distance-right:9pt;mso-wrap-distance-top:0;mso-wrap-style:none;position:absolute;visibility:visible;v-text-anchor:top;z-index:251843584" filled="f" stroked="f">
                <v:textbox inset="0,0,0,0">
                  <w:txbxContent>
                    <w:p w:rsidR="00B55C40" w:rsidP="00DF2882" w14:paraId="2AC6C21C" w14:textId="77777777">
                      <w:pPr>
                        <w:rPr>
                          <w:color w:val="C00000"/>
                        </w:rPr>
                      </w:pPr>
                      <w:r>
                        <w:rPr>
                          <w:rFonts w:ascii="Cambria Math" w:hAnsi="Cambria Math" w:cs="Cambria Math"/>
                          <w:b/>
                          <w:color w:val="C00000"/>
                          <w:sz w:val="28"/>
                        </w:rPr>
                        <w:t>⑦</w:t>
                      </w:r>
                    </w:p>
                  </w:txbxContent>
                </v:textbox>
              </v:shape>
            </w:pict>
          </mc:Fallback>
        </mc:AlternateContent>
      </w:r>
      <w:r>
        <w:rPr>
          <w:noProof/>
          <w:lang w:eastAsia="lv-LV"/>
        </w:rPr>
        <mc:AlternateContent>
          <mc:Choice Requires="wps">
            <w:drawing>
              <wp:anchor distT="0" distB="0" distL="114300" distR="114300" simplePos="0" relativeHeight="251846656" behindDoc="0" locked="0" layoutInCell="1" allowOverlap="1">
                <wp:simplePos x="0" y="0"/>
                <wp:positionH relativeFrom="column">
                  <wp:posOffset>69215</wp:posOffset>
                </wp:positionH>
                <wp:positionV relativeFrom="paragraph">
                  <wp:posOffset>1994535</wp:posOffset>
                </wp:positionV>
                <wp:extent cx="1323340" cy="224790"/>
                <wp:effectExtent l="0" t="0" r="10160" b="20955"/>
                <wp:wrapNone/>
                <wp:docPr id="2076" name="Text Box 20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3340" cy="224790"/>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Izmaiņas, ja nepieciešams</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2076" o:spid="_x0000_s1183" type="#_x0000_t202" style="width:104.2pt;height:17.7pt;margin-top:157.05pt;margin-left:5.45pt;mso-height-percent:0;mso-height-relative:margin;mso-width-percent:0;mso-width-relative:margin;mso-wrap-distance-bottom:0;mso-wrap-distance-left:9pt;mso-wrap-distance-right:9pt;mso-wrap-distance-top:0;mso-wrap-style:square;position:absolute;visibility:visible;v-text-anchor:top;z-index:251847680" strokecolor="#c00000">
                <v:stroke dashstyle="dash"/>
                <v:textbox style="mso-fit-shape-to-text:t" inset="2.83pt,2.83pt,2.83pt,2.83pt">
                  <w:txbxContent>
                    <w:p w:rsidR="00B55C40" w:rsidP="00DF2882" w14:paraId="07F60249"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Izmaiņas, ja nepieciešams</w:t>
                      </w:r>
                    </w:p>
                  </w:txbxContent>
                </v:textbox>
              </v:shape>
            </w:pict>
          </mc:Fallback>
        </mc:AlternateContent>
      </w:r>
      <w:r>
        <w:rPr>
          <w:noProof/>
          <w:lang w:eastAsia="lv-LV"/>
        </w:rPr>
        <w:drawing>
          <wp:anchor distT="0" distB="0" distL="114300" distR="114300" simplePos="0" relativeHeight="251776000" behindDoc="0" locked="0" layoutInCell="1" allowOverlap="1">
            <wp:simplePos x="0" y="0"/>
            <wp:positionH relativeFrom="column">
              <wp:posOffset>6565265</wp:posOffset>
            </wp:positionH>
            <wp:positionV relativeFrom="paragraph">
              <wp:posOffset>3851275</wp:posOffset>
            </wp:positionV>
            <wp:extent cx="2296795" cy="1485265"/>
            <wp:effectExtent l="0" t="0" r="8255" b="635"/>
            <wp:wrapNone/>
            <wp:docPr id="2075" name="Picture 2075"/>
            <wp:cNvGraphicFramePr/>
            <a:graphic xmlns:a="http://schemas.openxmlformats.org/drawingml/2006/main">
              <a:graphicData uri="http://schemas.openxmlformats.org/drawingml/2006/picture">
                <pic:pic xmlns:pic="http://schemas.openxmlformats.org/drawingml/2006/picture">
                  <pic:nvPicPr>
                    <pic:cNvPr id="1789301106" name="Picture 34834"/>
                    <pic:cNvPicPr>
                      <a:picLocks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l="18985" t="23056" r="18622" b="12469"/>
                    <a:stretch>
                      <a:fillRect/>
                    </a:stretch>
                  </pic:blipFill>
                  <pic:spPr bwMode="auto">
                    <a:xfrm>
                      <a:off x="0" y="0"/>
                      <a:ext cx="2296795" cy="14852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lv-LV"/>
        </w:rPr>
        <mc:AlternateContent>
          <mc:Choice Requires="wps">
            <w:drawing>
              <wp:anchor distT="0" distB="0" distL="114300" distR="114300" simplePos="0" relativeHeight="251803648" behindDoc="0" locked="0" layoutInCell="1" allowOverlap="1">
                <wp:simplePos x="0" y="0"/>
                <wp:positionH relativeFrom="column">
                  <wp:posOffset>6279515</wp:posOffset>
                </wp:positionH>
                <wp:positionV relativeFrom="paragraph">
                  <wp:posOffset>3957320</wp:posOffset>
                </wp:positionV>
                <wp:extent cx="2901950" cy="1447165"/>
                <wp:effectExtent l="0" t="0" r="12700" b="19685"/>
                <wp:wrapNone/>
                <wp:docPr id="2074" name="Rectangle 2074"/>
                <wp:cNvGraphicFramePr/>
                <a:graphic xmlns:a="http://schemas.openxmlformats.org/drawingml/2006/main">
                  <a:graphicData uri="http://schemas.microsoft.com/office/word/2010/wordprocessingShape">
                    <wps:wsp xmlns:wps="http://schemas.microsoft.com/office/word/2010/wordprocessingShape">
                      <wps:cNvSpPr/>
                      <wps:spPr>
                        <a:xfrm>
                          <a:off x="0" y="0"/>
                          <a:ext cx="2901315" cy="1446530"/>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074" o:spid="_x0000_s1184" style="width:228.5pt;height:113.95pt;margin-top:311.6pt;margin-left:494.45pt;mso-height-percent:0;mso-height-relative:margin;mso-width-percent:0;mso-width-relative:margin;mso-wrap-distance-bottom:0;mso-wrap-distance-left:9pt;mso-wrap-distance-right:9pt;mso-wrap-distance-top:0;mso-wrap-style:square;position:absolute;visibility:visible;v-text-anchor:middle;z-index:251804672" filled="f" strokecolor="#472cbb" strokeweight="1pt">
                <v:path arrowok="t"/>
              </v:rect>
            </w:pict>
          </mc:Fallback>
        </mc:AlternateContent>
      </w:r>
      <w:r>
        <w:rPr>
          <w:noProof/>
          <w:lang w:eastAsia="lv-LV"/>
        </w:rPr>
        <mc:AlternateContent>
          <mc:Choice Requires="wps">
            <w:drawing>
              <wp:anchor distT="0" distB="0" distL="114300" distR="114300" simplePos="0" relativeHeight="251836416" behindDoc="0" locked="0" layoutInCell="1" allowOverlap="1">
                <wp:simplePos x="0" y="0"/>
                <wp:positionH relativeFrom="column">
                  <wp:posOffset>8905875</wp:posOffset>
                </wp:positionH>
                <wp:positionV relativeFrom="paragraph">
                  <wp:posOffset>4822190</wp:posOffset>
                </wp:positionV>
                <wp:extent cx="213995" cy="285115"/>
                <wp:effectExtent l="0" t="0" r="5715" b="635"/>
                <wp:wrapNone/>
                <wp:docPr id="2073" name="Text Box 20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 cy="285115"/>
                        </a:xfrm>
                        <a:prstGeom prst="rect">
                          <a:avLst/>
                        </a:prstGeom>
                        <a:noFill/>
                        <a:ln w="9525">
                          <a:noFill/>
                          <a:miter lim="800000"/>
                          <a:headEnd/>
                          <a:tailEnd/>
                        </a:ln>
                      </wps:spPr>
                      <wps:txbx>
                        <w:txbxContent>
                          <w:p w:rsidR="00B55C40" w:rsidP="00DF2882" w14:textId="77777777">
                            <w:pPr>
                              <w:rPr>
                                <w:color w:val="C00000"/>
                              </w:rPr>
                            </w:pPr>
                            <w:r>
                              <w:rPr>
                                <w:rFonts w:ascii="Cambria Math" w:hAnsi="Cambria Math" w:cs="Cambria Math"/>
                                <w:b/>
                                <w:color w:val="C00000"/>
                                <w:sz w:val="28"/>
                              </w:rPr>
                              <w:t>④</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id="Text Box 2073" o:spid="_x0000_s1185" type="#_x0000_t202" style="width:16.85pt;height:22.45pt;margin-top:379.7pt;margin-left:701.25pt;mso-height-percent:0;mso-height-relative:margin;mso-width-percent:0;mso-width-relative:margin;mso-wrap-distance-bottom:0;mso-wrap-distance-left:9pt;mso-wrap-distance-right:9pt;mso-wrap-distance-top:0;mso-wrap-style:none;position:absolute;visibility:visible;v-text-anchor:top;z-index:251837440" filled="f" stroked="f">
                <v:textbox inset="0,0,0,0">
                  <w:txbxContent>
                    <w:p w:rsidR="00B55C40" w:rsidP="00DF2882" w14:paraId="51EA9953" w14:textId="77777777">
                      <w:pPr>
                        <w:rPr>
                          <w:color w:val="C00000"/>
                        </w:rPr>
                      </w:pPr>
                      <w:r>
                        <w:rPr>
                          <w:rFonts w:ascii="Cambria Math" w:hAnsi="Cambria Math" w:cs="Cambria Math"/>
                          <w:b/>
                          <w:color w:val="C00000"/>
                          <w:sz w:val="28"/>
                        </w:rPr>
                        <w:t>④</w:t>
                      </w:r>
                    </w:p>
                  </w:txbxContent>
                </v:textbox>
              </v:shape>
            </w:pict>
          </mc:Fallback>
        </mc:AlternateContent>
      </w:r>
      <w:r>
        <w:rPr>
          <w:noProof/>
          <w:lang w:eastAsia="lv-LV"/>
        </w:rPr>
        <mc:AlternateContent>
          <mc:Choice Requires="wps">
            <w:drawing>
              <wp:anchor distT="0" distB="0" distL="114300" distR="114300" simplePos="0" relativeHeight="251850752" behindDoc="0" locked="0" layoutInCell="1" allowOverlap="1">
                <wp:simplePos x="0" y="0"/>
                <wp:positionH relativeFrom="column">
                  <wp:posOffset>6390640</wp:posOffset>
                </wp:positionH>
                <wp:positionV relativeFrom="paragraph">
                  <wp:posOffset>4171950</wp:posOffset>
                </wp:positionV>
                <wp:extent cx="1367790" cy="340360"/>
                <wp:effectExtent l="0" t="0" r="3810" b="2540"/>
                <wp:wrapNone/>
                <wp:docPr id="2072" name="Text Box 20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67790" cy="340360"/>
                        </a:xfrm>
                        <a:prstGeom prst="rect">
                          <a:avLst/>
                        </a:prstGeom>
                        <a:solidFill>
                          <a:schemeClr val="accent1">
                            <a:lumMod val="75000"/>
                          </a:schemeClr>
                        </a:solidFill>
                        <a:ln w="9525">
                          <a:noFill/>
                          <a:prstDash val="dash"/>
                          <a:miter lim="800000"/>
                          <a:headEnd/>
                          <a:tailEnd/>
                        </a:ln>
                      </wps:spPr>
                      <wps:txbx>
                        <w:txbxContent>
                          <w:p w:rsidR="00B55C40" w:rsidP="00DF2882" w14:textId="77777777">
                            <w:pPr>
                              <w:spacing w:after="0" w:line="240" w:lineRule="auto"/>
                              <w:jc w:val="center"/>
                              <w:rPr>
                                <w:rFonts w:ascii="Arial Narrow" w:hAnsi="Arial Narrow"/>
                                <w:b/>
                                <w:color w:val="FFFFFF" w:themeColor="background1"/>
                                <w:sz w:val="32"/>
                                <w:szCs w:val="20"/>
                              </w:rPr>
                            </w:pPr>
                            <w:r>
                              <w:rPr>
                                <w:rFonts w:ascii="Arial Narrow" w:hAnsi="Arial Narrow"/>
                                <w:b/>
                                <w:color w:val="FFFFFF" w:themeColor="background1"/>
                                <w:sz w:val="32"/>
                                <w:szCs w:val="20"/>
                              </w:rPr>
                              <w:t>MONITORINGS</w:t>
                            </w:r>
                          </w:p>
                        </w:txbxContent>
                      </wps:txbx>
                      <wps:bodyPr rot="0" vert="horz" wrap="square" lIns="36000" tIns="36000" rIns="36000" bIns="36000" anchor="t" anchorCtr="0"/>
                    </wps:wsp>
                  </a:graphicData>
                </a:graphic>
                <wp14:sizeRelH relativeFrom="margin">
                  <wp14:pctWidth>0</wp14:pctWidth>
                </wp14:sizeRelH>
                <wp14:sizeRelV relativeFrom="margin">
                  <wp14:pctHeight>0</wp14:pctHeight>
                </wp14:sizeRelV>
              </wp:anchor>
            </w:drawing>
          </mc:Choice>
          <mc:Fallback>
            <w:pict>
              <v:shape id="Text Box 2072" o:spid="_x0000_s1186" type="#_x0000_t202" style="width:107.7pt;height:26.8pt;margin-top:328.5pt;margin-left:503.2pt;mso-height-percent:0;mso-height-relative:margin;mso-width-percent:0;mso-width-relative:margin;mso-wrap-distance-bottom:0;mso-wrap-distance-left:9pt;mso-wrap-distance-right:9pt;mso-wrap-distance-top:0;mso-wrap-style:square;position:absolute;visibility:visible;v-text-anchor:top;z-index:251851776" fillcolor="#6d1d6a" stroked="f">
                <v:stroke dashstyle="dash"/>
                <v:textbox inset="2.83pt,2.83pt,2.83pt,2.83pt">
                  <w:txbxContent>
                    <w:p w:rsidR="00B55C40" w:rsidP="00DF2882" w14:paraId="6319DD02" w14:textId="77777777">
                      <w:pPr>
                        <w:spacing w:after="0" w:line="240" w:lineRule="auto"/>
                        <w:jc w:val="center"/>
                        <w:rPr>
                          <w:rFonts w:ascii="Arial Narrow" w:hAnsi="Arial Narrow"/>
                          <w:b/>
                          <w:color w:val="FFFFFF" w:themeColor="background1"/>
                          <w:sz w:val="32"/>
                          <w:szCs w:val="20"/>
                        </w:rPr>
                      </w:pPr>
                      <w:r>
                        <w:rPr>
                          <w:rFonts w:ascii="Arial Narrow" w:hAnsi="Arial Narrow"/>
                          <w:b/>
                          <w:color w:val="FFFFFF" w:themeColor="background1"/>
                          <w:sz w:val="32"/>
                          <w:szCs w:val="20"/>
                        </w:rPr>
                        <w:t>MONITORINGS</w:t>
                      </w:r>
                    </w:p>
                  </w:txbxContent>
                </v:textbox>
              </v:shape>
            </w:pict>
          </mc:Fallback>
        </mc:AlternateContent>
      </w:r>
      <w:r>
        <w:rPr>
          <w:noProof/>
          <w:lang w:eastAsia="lv-LV"/>
        </w:rPr>
        <mc:AlternateContent>
          <mc:Choice Requires="wps">
            <w:drawing>
              <wp:anchor distT="0" distB="0" distL="114300" distR="114300" simplePos="0" relativeHeight="251781120" behindDoc="0" locked="0" layoutInCell="1" allowOverlap="1">
                <wp:simplePos x="0" y="0"/>
                <wp:positionH relativeFrom="column">
                  <wp:posOffset>-389255</wp:posOffset>
                </wp:positionH>
                <wp:positionV relativeFrom="paragraph">
                  <wp:posOffset>3980180</wp:posOffset>
                </wp:positionV>
                <wp:extent cx="3267710" cy="1582420"/>
                <wp:effectExtent l="0" t="0" r="27940" b="17780"/>
                <wp:wrapNone/>
                <wp:docPr id="2071" name="Text Box 20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67710" cy="1582420"/>
                        </a:xfrm>
                        <a:prstGeom prst="rect">
                          <a:avLst/>
                        </a:prstGeom>
                        <a:solidFill>
                          <a:srgbClr val="FFFFFF"/>
                        </a:solidFill>
                        <a:ln w="9525">
                          <a:solidFill>
                            <a:schemeClr val="accent3">
                              <a:lumMod val="75000"/>
                            </a:schemeClr>
                          </a:solidFill>
                          <a:miter lim="800000"/>
                          <a:headEnd/>
                          <a:tailEnd/>
                        </a:ln>
                      </wps:spPr>
                      <wps:txbx>
                        <w:txbxContent>
                          <w:p w:rsidR="00B55C40" w:rsidP="00DF2882" w14:textId="77777777">
                            <w:pPr>
                              <w:spacing w:after="0" w:line="240" w:lineRule="auto"/>
                              <w:ind w:left="284" w:hanging="284"/>
                              <w:rPr>
                                <w:rFonts w:ascii="Arial Narrow" w:hAnsi="Arial Narrow"/>
                                <w:sz w:val="20"/>
                                <w:szCs w:val="20"/>
                              </w:rPr>
                            </w:pPr>
                            <w:r>
                              <w:rPr>
                                <w:rFonts w:ascii="Cambria Math" w:hAnsi="Cambria Math" w:cs="Cambria Math"/>
                                <w:sz w:val="20"/>
                                <w:szCs w:val="20"/>
                              </w:rPr>
                              <w:t>①</w:t>
                            </w:r>
                            <w:r>
                              <w:rPr>
                                <w:rFonts w:ascii="Arial Narrow" w:hAnsi="Arial Narrow"/>
                                <w:sz w:val="20"/>
                                <w:szCs w:val="20"/>
                              </w:rPr>
                              <w:t xml:space="preserve"> Instrumenti inovācijas sistēmas problēmu risināšanai</w:t>
                            </w:r>
                          </w:p>
                          <w:p w:rsidR="00B55C40" w:rsidP="00DF2882" w14:textId="77777777">
                            <w:pPr>
                              <w:spacing w:after="0" w:line="240" w:lineRule="auto"/>
                              <w:ind w:left="284" w:hanging="284"/>
                              <w:rPr>
                                <w:rFonts w:ascii="Arial Narrow" w:hAnsi="Arial Narrow"/>
                                <w:sz w:val="20"/>
                                <w:szCs w:val="20"/>
                              </w:rPr>
                            </w:pPr>
                            <w:r>
                              <w:rPr>
                                <w:rFonts w:ascii="Cambria Math" w:hAnsi="Cambria Math" w:cs="Cambria Math"/>
                                <w:sz w:val="20"/>
                                <w:szCs w:val="20"/>
                              </w:rPr>
                              <w:t>②</w:t>
                            </w:r>
                            <w:r>
                              <w:rPr>
                                <w:rFonts w:ascii="Arial Narrow" w:hAnsi="Arial Narrow"/>
                                <w:sz w:val="20"/>
                                <w:szCs w:val="20"/>
                              </w:rPr>
                              <w:t xml:space="preserve"> Prioritārās zināšanu apakšnozares ar vislielāko potenciālu tautsaimniecības konkurētspējas uzlabošanā</w:t>
                            </w:r>
                          </w:p>
                          <w:p w:rsidR="00B55C40" w:rsidP="00DF2882" w14:textId="77777777">
                            <w:pPr>
                              <w:spacing w:after="0" w:line="240" w:lineRule="auto"/>
                              <w:ind w:left="284" w:hanging="284"/>
                              <w:rPr>
                                <w:rFonts w:ascii="Arial Narrow" w:hAnsi="Arial Narrow"/>
                                <w:sz w:val="20"/>
                                <w:szCs w:val="20"/>
                              </w:rPr>
                            </w:pPr>
                            <w:r>
                              <w:rPr>
                                <w:rFonts w:ascii="Cambria Math" w:hAnsi="Cambria Math" w:cs="Cambria Math"/>
                                <w:sz w:val="20"/>
                                <w:szCs w:val="20"/>
                              </w:rPr>
                              <w:t>③</w:t>
                            </w:r>
                            <w:r>
                              <w:rPr>
                                <w:rFonts w:ascii="Arial Narrow" w:hAnsi="Arial Narrow"/>
                                <w:sz w:val="20"/>
                                <w:szCs w:val="20"/>
                              </w:rPr>
                              <w:t xml:space="preserve"> Monitoringa rādītāji makro un mikro līmeņa ietekmes novērtēšanai</w:t>
                            </w:r>
                          </w:p>
                          <w:p w:rsidR="00B55C40" w:rsidP="00DF2882" w14:textId="77777777">
                            <w:pPr>
                              <w:spacing w:after="0" w:line="240" w:lineRule="auto"/>
                              <w:ind w:left="284" w:hanging="284"/>
                              <w:rPr>
                                <w:rFonts w:ascii="Arial Narrow" w:hAnsi="Arial Narrow"/>
                                <w:b/>
                                <w:color w:val="C00000"/>
                                <w:sz w:val="20"/>
                                <w:szCs w:val="20"/>
                              </w:rPr>
                            </w:pPr>
                            <w:r>
                              <w:rPr>
                                <w:rFonts w:ascii="Cambria Math" w:hAnsi="Cambria Math" w:cs="Cambria Math"/>
                                <w:color w:val="C00000"/>
                                <w:sz w:val="20"/>
                                <w:szCs w:val="20"/>
                              </w:rPr>
                              <w:t>④</w:t>
                            </w:r>
                            <w:r>
                              <w:rPr>
                                <w:rFonts w:ascii="Arial Narrow" w:hAnsi="Arial Narrow"/>
                                <w:color w:val="C00000"/>
                                <w:sz w:val="20"/>
                                <w:szCs w:val="20"/>
                              </w:rPr>
                              <w:t xml:space="preserve"> </w:t>
                            </w:r>
                            <w:r>
                              <w:rPr>
                                <w:rFonts w:ascii="Arial Narrow" w:hAnsi="Arial Narrow"/>
                                <w:b/>
                                <w:color w:val="C00000"/>
                                <w:sz w:val="20"/>
                                <w:szCs w:val="20"/>
                              </w:rPr>
                              <w:t>Monitorings - Ziņojumu sagatavošana par RIS3 makro un mikro līmeņa rādītāju izpildi</w:t>
                            </w:r>
                          </w:p>
                          <w:p w:rsidR="00B55C40" w:rsidP="00DF2882" w14:textId="77777777">
                            <w:pPr>
                              <w:spacing w:after="0" w:line="240" w:lineRule="auto"/>
                              <w:ind w:left="284" w:hanging="284"/>
                              <w:rPr>
                                <w:rFonts w:ascii="Arial Narrow" w:hAnsi="Arial Narrow"/>
                                <w:sz w:val="20"/>
                                <w:szCs w:val="20"/>
                              </w:rPr>
                            </w:pPr>
                            <w:r>
                              <w:rPr>
                                <w:rFonts w:ascii="Cambria Math" w:hAnsi="Cambria Math" w:cs="Cambria Math"/>
                                <w:sz w:val="20"/>
                                <w:szCs w:val="20"/>
                              </w:rPr>
                              <w:t>⑤</w:t>
                            </w:r>
                            <w:r>
                              <w:rPr>
                                <w:rFonts w:ascii="Arial Narrow" w:hAnsi="Arial Narrow"/>
                                <w:sz w:val="20"/>
                                <w:szCs w:val="20"/>
                              </w:rPr>
                              <w:t xml:space="preserve"> Ziņojumu un secinājumu prezentēšana LPISP</w:t>
                            </w:r>
                          </w:p>
                          <w:p w:rsidR="00B55C40" w:rsidP="00DF2882" w14:textId="77777777">
                            <w:pPr>
                              <w:spacing w:after="0" w:line="240" w:lineRule="auto"/>
                              <w:ind w:left="284" w:hanging="284"/>
                              <w:rPr>
                                <w:rFonts w:ascii="Arial Narrow" w:hAnsi="Arial Narrow"/>
                                <w:sz w:val="20"/>
                                <w:szCs w:val="20"/>
                              </w:rPr>
                            </w:pPr>
                            <w:r>
                              <w:rPr>
                                <w:rFonts w:ascii="Cambria Math" w:hAnsi="Cambria Math" w:cs="Cambria Math"/>
                                <w:sz w:val="20"/>
                                <w:szCs w:val="20"/>
                              </w:rPr>
                              <w:t>⑥</w:t>
                            </w:r>
                            <w:r>
                              <w:rPr>
                                <w:rFonts w:ascii="Arial Narrow" w:hAnsi="Arial Narrow"/>
                                <w:sz w:val="20"/>
                                <w:szCs w:val="20"/>
                              </w:rPr>
                              <w:t xml:space="preserve"> RIS3 īstenošanā iesaistītās ministrijas</w:t>
                            </w:r>
                          </w:p>
                          <w:p w:rsidR="00B55C40" w:rsidP="00DF2882" w14:textId="77777777">
                            <w:pPr>
                              <w:spacing w:after="0" w:line="240" w:lineRule="auto"/>
                              <w:ind w:left="284" w:hanging="284"/>
                              <w:rPr>
                                <w:rFonts w:ascii="Arial Narrow" w:hAnsi="Arial Narrow"/>
                                <w:sz w:val="20"/>
                                <w:szCs w:val="20"/>
                              </w:rPr>
                            </w:pPr>
                            <w:r>
                              <w:rPr>
                                <w:rFonts w:ascii="Cambria Math" w:hAnsi="Cambria Math" w:cs="Cambria Math"/>
                                <w:sz w:val="20"/>
                                <w:szCs w:val="20"/>
                              </w:rPr>
                              <w:t>⑦</w:t>
                            </w:r>
                            <w:r>
                              <w:rPr>
                                <w:rFonts w:ascii="Arial Narrow" w:hAnsi="Arial Narrow"/>
                                <w:sz w:val="20"/>
                                <w:szCs w:val="20"/>
                              </w:rPr>
                              <w:t xml:space="preserve"> Uzņēmējdarbības atklājuma princips, diskusiju platforma</w:t>
                            </w:r>
                          </w:p>
                          <w:p w:rsidR="00B55C40" w:rsidP="00DF2882" w14:textId="77777777">
                            <w:pPr>
                              <w:spacing w:after="0" w:line="240" w:lineRule="auto"/>
                              <w:ind w:left="426" w:hanging="426"/>
                              <w:rPr>
                                <w:rFonts w:ascii="Arial Narrow" w:hAnsi="Arial Narrow"/>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071" o:spid="_x0000_s1187" type="#_x0000_t202" style="width:257.3pt;height:124.6pt;margin-top:313.4pt;margin-left:-30.65pt;mso-height-percent:0;mso-height-relative:margin;mso-width-percent:0;mso-width-relative:margin;mso-wrap-distance-bottom:0;mso-wrap-distance-left:9pt;mso-wrap-distance-right:9pt;mso-wrap-distance-top:0;mso-wrap-style:square;position:absolute;visibility:visible;v-text-anchor:top;z-index:251782144" strokecolor="#472cbb">
                <v:textbox>
                  <w:txbxContent>
                    <w:p w:rsidR="00B55C40" w:rsidP="00DF2882" w14:paraId="2EE209E2" w14:textId="77777777">
                      <w:pPr>
                        <w:spacing w:after="0" w:line="240" w:lineRule="auto"/>
                        <w:ind w:left="284" w:hanging="284"/>
                        <w:rPr>
                          <w:rFonts w:ascii="Arial Narrow" w:hAnsi="Arial Narrow"/>
                          <w:sz w:val="20"/>
                          <w:szCs w:val="20"/>
                        </w:rPr>
                      </w:pPr>
                      <w:r>
                        <w:rPr>
                          <w:rFonts w:ascii="Cambria Math" w:hAnsi="Cambria Math" w:cs="Cambria Math"/>
                          <w:sz w:val="20"/>
                          <w:szCs w:val="20"/>
                        </w:rPr>
                        <w:t>①</w:t>
                      </w:r>
                      <w:r>
                        <w:rPr>
                          <w:rFonts w:ascii="Arial Narrow" w:hAnsi="Arial Narrow"/>
                          <w:sz w:val="20"/>
                          <w:szCs w:val="20"/>
                        </w:rPr>
                        <w:t xml:space="preserve"> Instrumenti inovācijas sistēmas problēmu risināšanai</w:t>
                      </w:r>
                    </w:p>
                    <w:p w:rsidR="00B55C40" w:rsidP="00DF2882" w14:paraId="30A1DC93" w14:textId="77777777">
                      <w:pPr>
                        <w:spacing w:after="0" w:line="240" w:lineRule="auto"/>
                        <w:ind w:left="284" w:hanging="284"/>
                        <w:rPr>
                          <w:rFonts w:ascii="Arial Narrow" w:hAnsi="Arial Narrow"/>
                          <w:sz w:val="20"/>
                          <w:szCs w:val="20"/>
                        </w:rPr>
                      </w:pPr>
                      <w:r>
                        <w:rPr>
                          <w:rFonts w:ascii="Cambria Math" w:hAnsi="Cambria Math" w:cs="Cambria Math"/>
                          <w:sz w:val="20"/>
                          <w:szCs w:val="20"/>
                        </w:rPr>
                        <w:t>②</w:t>
                      </w:r>
                      <w:r>
                        <w:rPr>
                          <w:rFonts w:ascii="Arial Narrow" w:hAnsi="Arial Narrow"/>
                          <w:sz w:val="20"/>
                          <w:szCs w:val="20"/>
                        </w:rPr>
                        <w:t xml:space="preserve"> Prioritārās zināšanu apakšnozares ar vislielāko potenciālu tautsaimniecības konkurētspējas uzlabošanā</w:t>
                      </w:r>
                    </w:p>
                    <w:p w:rsidR="00B55C40" w:rsidP="00DF2882" w14:paraId="4C97B317" w14:textId="77777777">
                      <w:pPr>
                        <w:spacing w:after="0" w:line="240" w:lineRule="auto"/>
                        <w:ind w:left="284" w:hanging="284"/>
                        <w:rPr>
                          <w:rFonts w:ascii="Arial Narrow" w:hAnsi="Arial Narrow"/>
                          <w:sz w:val="20"/>
                          <w:szCs w:val="20"/>
                        </w:rPr>
                      </w:pPr>
                      <w:r>
                        <w:rPr>
                          <w:rFonts w:ascii="Cambria Math" w:hAnsi="Cambria Math" w:cs="Cambria Math"/>
                          <w:sz w:val="20"/>
                          <w:szCs w:val="20"/>
                        </w:rPr>
                        <w:t>③</w:t>
                      </w:r>
                      <w:r>
                        <w:rPr>
                          <w:rFonts w:ascii="Arial Narrow" w:hAnsi="Arial Narrow"/>
                          <w:sz w:val="20"/>
                          <w:szCs w:val="20"/>
                        </w:rPr>
                        <w:t xml:space="preserve"> Monitoringa rādītāji makro un mikro līmeņa ietekmes novērtēšanai</w:t>
                      </w:r>
                    </w:p>
                    <w:p w:rsidR="00B55C40" w:rsidP="00DF2882" w14:paraId="72BE6254" w14:textId="77777777">
                      <w:pPr>
                        <w:spacing w:after="0" w:line="240" w:lineRule="auto"/>
                        <w:ind w:left="284" w:hanging="284"/>
                        <w:rPr>
                          <w:rFonts w:ascii="Arial Narrow" w:hAnsi="Arial Narrow"/>
                          <w:b/>
                          <w:color w:val="C00000"/>
                          <w:sz w:val="20"/>
                          <w:szCs w:val="20"/>
                        </w:rPr>
                      </w:pPr>
                      <w:r>
                        <w:rPr>
                          <w:rFonts w:ascii="Cambria Math" w:hAnsi="Cambria Math" w:cs="Cambria Math"/>
                          <w:color w:val="C00000"/>
                          <w:sz w:val="20"/>
                          <w:szCs w:val="20"/>
                        </w:rPr>
                        <w:t>④</w:t>
                      </w:r>
                      <w:r>
                        <w:rPr>
                          <w:rFonts w:ascii="Arial Narrow" w:hAnsi="Arial Narrow"/>
                          <w:color w:val="C00000"/>
                          <w:sz w:val="20"/>
                          <w:szCs w:val="20"/>
                        </w:rPr>
                        <w:t xml:space="preserve"> </w:t>
                      </w:r>
                      <w:r>
                        <w:rPr>
                          <w:rFonts w:ascii="Arial Narrow" w:hAnsi="Arial Narrow"/>
                          <w:b/>
                          <w:color w:val="C00000"/>
                          <w:sz w:val="20"/>
                          <w:szCs w:val="20"/>
                        </w:rPr>
                        <w:t>Monitorings - Ziņojumu sagatavošana par RIS3 makro un mikro līmeņa rādītāju izpildi</w:t>
                      </w:r>
                    </w:p>
                    <w:p w:rsidR="00B55C40" w:rsidP="00DF2882" w14:paraId="0CCF1CB7" w14:textId="77777777">
                      <w:pPr>
                        <w:spacing w:after="0" w:line="240" w:lineRule="auto"/>
                        <w:ind w:left="284" w:hanging="284"/>
                        <w:rPr>
                          <w:rFonts w:ascii="Arial Narrow" w:hAnsi="Arial Narrow"/>
                          <w:sz w:val="20"/>
                          <w:szCs w:val="20"/>
                        </w:rPr>
                      </w:pPr>
                      <w:r>
                        <w:rPr>
                          <w:rFonts w:ascii="Cambria Math" w:hAnsi="Cambria Math" w:cs="Cambria Math"/>
                          <w:sz w:val="20"/>
                          <w:szCs w:val="20"/>
                        </w:rPr>
                        <w:t>⑤</w:t>
                      </w:r>
                      <w:r>
                        <w:rPr>
                          <w:rFonts w:ascii="Arial Narrow" w:hAnsi="Arial Narrow"/>
                          <w:sz w:val="20"/>
                          <w:szCs w:val="20"/>
                        </w:rPr>
                        <w:t xml:space="preserve"> Ziņojumu un secinājumu prezentēšana LPISP</w:t>
                      </w:r>
                    </w:p>
                    <w:p w:rsidR="00B55C40" w:rsidP="00DF2882" w14:paraId="008D570D" w14:textId="77777777">
                      <w:pPr>
                        <w:spacing w:after="0" w:line="240" w:lineRule="auto"/>
                        <w:ind w:left="284" w:hanging="284"/>
                        <w:rPr>
                          <w:rFonts w:ascii="Arial Narrow" w:hAnsi="Arial Narrow"/>
                          <w:sz w:val="20"/>
                          <w:szCs w:val="20"/>
                        </w:rPr>
                      </w:pPr>
                      <w:r>
                        <w:rPr>
                          <w:rFonts w:ascii="Cambria Math" w:hAnsi="Cambria Math" w:cs="Cambria Math"/>
                          <w:sz w:val="20"/>
                          <w:szCs w:val="20"/>
                        </w:rPr>
                        <w:t>⑥</w:t>
                      </w:r>
                      <w:r>
                        <w:rPr>
                          <w:rFonts w:ascii="Arial Narrow" w:hAnsi="Arial Narrow"/>
                          <w:sz w:val="20"/>
                          <w:szCs w:val="20"/>
                        </w:rPr>
                        <w:t xml:space="preserve"> RIS3 īstenošanā iesaistītās ministrijas</w:t>
                      </w:r>
                    </w:p>
                    <w:p w:rsidR="00B55C40" w:rsidP="00DF2882" w14:paraId="49513489" w14:textId="77777777">
                      <w:pPr>
                        <w:spacing w:after="0" w:line="240" w:lineRule="auto"/>
                        <w:ind w:left="284" w:hanging="284"/>
                        <w:rPr>
                          <w:rFonts w:ascii="Arial Narrow" w:hAnsi="Arial Narrow"/>
                          <w:sz w:val="20"/>
                          <w:szCs w:val="20"/>
                        </w:rPr>
                      </w:pPr>
                      <w:r>
                        <w:rPr>
                          <w:rFonts w:ascii="Cambria Math" w:hAnsi="Cambria Math" w:cs="Cambria Math"/>
                          <w:sz w:val="20"/>
                          <w:szCs w:val="20"/>
                        </w:rPr>
                        <w:t>⑦</w:t>
                      </w:r>
                      <w:r>
                        <w:rPr>
                          <w:rFonts w:ascii="Arial Narrow" w:hAnsi="Arial Narrow"/>
                          <w:sz w:val="20"/>
                          <w:szCs w:val="20"/>
                        </w:rPr>
                        <w:t xml:space="preserve"> Uzņēmējdarbības atklājuma princips, diskusiju platforma</w:t>
                      </w:r>
                    </w:p>
                    <w:p w:rsidR="00B55C40" w:rsidP="00DF2882" w14:paraId="4B59490E" w14:textId="77777777">
                      <w:pPr>
                        <w:spacing w:after="0" w:line="240" w:lineRule="auto"/>
                        <w:ind w:left="426" w:hanging="426"/>
                        <w:rPr>
                          <w:rFonts w:ascii="Arial Narrow" w:hAnsi="Arial Narrow"/>
                          <w:sz w:val="20"/>
                          <w:szCs w:val="20"/>
                        </w:rPr>
                      </w:pPr>
                    </w:p>
                  </w:txbxContent>
                </v:textbox>
              </v:shape>
            </w:pict>
          </mc:Fallback>
        </mc:AlternateContent>
      </w:r>
      <w:r>
        <w:rPr>
          <w:noProof/>
          <w:lang w:eastAsia="lv-LV"/>
        </w:rPr>
        <mc:AlternateContent>
          <mc:Choice Requires="wps">
            <w:drawing>
              <wp:anchor distT="0" distB="0" distL="114300" distR="114300" simplePos="0" relativeHeight="251785216" behindDoc="0" locked="0" layoutInCell="1" allowOverlap="1">
                <wp:simplePos x="0" y="0"/>
                <wp:positionH relativeFrom="column">
                  <wp:posOffset>2976245</wp:posOffset>
                </wp:positionH>
                <wp:positionV relativeFrom="paragraph">
                  <wp:posOffset>4230370</wp:posOffset>
                </wp:positionV>
                <wp:extent cx="3063875" cy="1123950"/>
                <wp:effectExtent l="0" t="0" r="22225" b="19050"/>
                <wp:wrapNone/>
                <wp:docPr id="2070" name="Text Box 20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63875" cy="1123950"/>
                        </a:xfrm>
                        <a:prstGeom prst="rect">
                          <a:avLst/>
                        </a:prstGeom>
                        <a:solidFill>
                          <a:schemeClr val="bg2"/>
                        </a:solidFill>
                        <a:ln w="25400">
                          <a:solidFill>
                            <a:schemeClr val="accent3">
                              <a:lumMod val="75000"/>
                            </a:schemeClr>
                          </a:solidFill>
                        </a:ln>
                      </wps:spPr>
                      <wps:txbx>
                        <w:txbxContent>
                          <w:p w:rsidR="00B55C40" w:rsidP="00DF2882" w14:textId="77777777">
                            <w:pPr>
                              <w:shd w:val="clear" w:color="auto" w:fill="EAE5EB" w:themeFill="background2"/>
                              <w:snapToGrid w:val="0"/>
                              <w:spacing w:after="0" w:line="240" w:lineRule="auto"/>
                              <w:jc w:val="center"/>
                              <w:rPr>
                                <w:rFonts w:ascii="Arial Narrow" w:eastAsia="SimSun" w:hAnsi="Arial Narrow" w:cs="Times New Roman"/>
                                <w:b/>
                                <w:bCs/>
                                <w:sz w:val="28"/>
                                <w:szCs w:val="19"/>
                                <w:lang w:eastAsia="zh-CN" w:bidi="lo-LA"/>
                              </w:rPr>
                            </w:pPr>
                            <w:r>
                              <w:rPr>
                                <w:rFonts w:ascii="Arial Narrow" w:eastAsia="SimSun" w:hAnsi="Arial Narrow" w:cs="Times New Roman"/>
                                <w:b/>
                                <w:bCs/>
                                <w:sz w:val="28"/>
                                <w:szCs w:val="19"/>
                                <w:lang w:eastAsia="zh-CN" w:bidi="lo-LA"/>
                              </w:rPr>
                              <w:t>Latvijas pētniecības un inovācijas stratēģiskā padome (LPISP)</w:t>
                            </w:r>
                          </w:p>
                          <w:p w:rsidR="00B55C40" w:rsidP="00DF2882" w14:textId="77777777">
                            <w:pPr>
                              <w:shd w:val="clear" w:color="auto" w:fill="EAE5EB" w:themeFill="background2"/>
                              <w:snapToGrid w:val="0"/>
                              <w:spacing w:after="0" w:line="240" w:lineRule="auto"/>
                              <w:jc w:val="both"/>
                              <w:rPr>
                                <w:rFonts w:ascii="Arial Narrow" w:eastAsia="SimSun" w:hAnsi="Arial Narrow" w:cs="Times New Roman"/>
                                <w:b/>
                                <w:bCs/>
                                <w:sz w:val="18"/>
                                <w:szCs w:val="19"/>
                                <w:lang w:eastAsia="zh-CN" w:bidi="lo-LA"/>
                              </w:rPr>
                            </w:pPr>
                            <w:r>
                              <w:rPr>
                                <w:rFonts w:ascii="Arial Narrow" w:eastAsia="SimSun" w:hAnsi="Arial Narrow" w:cs="Times New Roman"/>
                                <w:bCs/>
                                <w:sz w:val="18"/>
                                <w:szCs w:val="19"/>
                                <w:lang w:eastAsia="zh-CN" w:bidi="lo-LA"/>
                              </w:rPr>
                              <w:t>(nodrošina sadarbības platformu starp valsts pārvaldes institūcijām, zinātniekiem, uzņēmējiem un pētniecības aktivitāšu finansētājiem, koordinē institūciju un iesaistīto pušu sadarbību RIS3 sagatavošanas, īstenošanas un uzraudzības jomā).</w:t>
                            </w:r>
                          </w:p>
                          <w:p w:rsidR="00B55C40" w:rsidP="00DF2882" w14:textId="77777777">
                            <w:pPr>
                              <w:shd w:val="clear" w:color="auto" w:fill="EAE5EB" w:themeFill="background2"/>
                              <w:spacing w:after="0" w:line="240" w:lineRule="auto"/>
                              <w:ind w:left="-142" w:right="-161"/>
                              <w:jc w:val="center"/>
                              <w:rPr>
                                <w:rFonts w:ascii="Arial Narrow" w:hAnsi="Arial Narrow"/>
                                <w:b/>
                                <w:sz w:val="14"/>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2070" o:spid="_x0000_s1188" type="#_x0000_t202" style="width:241.25pt;height:88.5pt;margin-top:333.1pt;margin-left:234.35pt;mso-height-percent:0;mso-height-relative:margin;mso-width-percent:0;mso-width-relative:margin;mso-wrap-distance-bottom:0;mso-wrap-distance-left:9pt;mso-wrap-distance-right:9pt;mso-wrap-distance-top:0;mso-wrap-style:square;position:absolute;visibility:visible;v-text-anchor:top;z-index:251786240" fillcolor="#eae5eb" strokecolor="#472cbb" strokeweight="2pt">
                <v:textbox>
                  <w:txbxContent>
                    <w:p w:rsidR="00B55C40" w:rsidP="00DF2882" w14:paraId="3513338B" w14:textId="77777777">
                      <w:pPr>
                        <w:shd w:val="clear" w:color="auto" w:fill="EAE5EB" w:themeFill="background2"/>
                        <w:snapToGrid w:val="0"/>
                        <w:spacing w:after="0" w:line="240" w:lineRule="auto"/>
                        <w:jc w:val="center"/>
                        <w:rPr>
                          <w:rFonts w:ascii="Arial Narrow" w:eastAsia="SimSun" w:hAnsi="Arial Narrow" w:cs="Times New Roman"/>
                          <w:b/>
                          <w:bCs/>
                          <w:sz w:val="28"/>
                          <w:szCs w:val="19"/>
                          <w:lang w:eastAsia="zh-CN" w:bidi="lo-LA"/>
                        </w:rPr>
                      </w:pPr>
                      <w:r>
                        <w:rPr>
                          <w:rFonts w:ascii="Arial Narrow" w:eastAsia="SimSun" w:hAnsi="Arial Narrow" w:cs="Times New Roman"/>
                          <w:b/>
                          <w:bCs/>
                          <w:sz w:val="28"/>
                          <w:szCs w:val="19"/>
                          <w:lang w:eastAsia="zh-CN" w:bidi="lo-LA"/>
                        </w:rPr>
                        <w:t>Latvijas pētniecības un inovācijas stratēģiskā padome (LPISP)</w:t>
                      </w:r>
                    </w:p>
                    <w:p w:rsidR="00B55C40" w:rsidP="00DF2882" w14:paraId="3CAD2A3F" w14:textId="77777777">
                      <w:pPr>
                        <w:shd w:val="clear" w:color="auto" w:fill="EAE5EB" w:themeFill="background2"/>
                        <w:snapToGrid w:val="0"/>
                        <w:spacing w:after="0" w:line="240" w:lineRule="auto"/>
                        <w:jc w:val="both"/>
                        <w:rPr>
                          <w:rFonts w:ascii="Arial Narrow" w:eastAsia="SimSun" w:hAnsi="Arial Narrow" w:cs="Times New Roman"/>
                          <w:b/>
                          <w:bCs/>
                          <w:sz w:val="18"/>
                          <w:szCs w:val="19"/>
                          <w:lang w:eastAsia="zh-CN" w:bidi="lo-LA"/>
                        </w:rPr>
                      </w:pPr>
                      <w:r>
                        <w:rPr>
                          <w:rFonts w:ascii="Arial Narrow" w:eastAsia="SimSun" w:hAnsi="Arial Narrow" w:cs="Times New Roman"/>
                          <w:bCs/>
                          <w:sz w:val="18"/>
                          <w:szCs w:val="19"/>
                          <w:lang w:eastAsia="zh-CN" w:bidi="lo-LA"/>
                        </w:rPr>
                        <w:t>(nodrošina sadarbības platformu starp valsts pārvaldes institūcijām, zinātniekiem, uzņēmējiem un pētniecības aktivitāšu finansētājiem, koordinē institūciju un iesaistīto pušu sadarbību RIS3 sagatavošanas, īstenošanas un uzraudzības jomā).</w:t>
                      </w:r>
                    </w:p>
                    <w:p w:rsidR="00B55C40" w:rsidP="00DF2882" w14:paraId="5A3A890E" w14:textId="77777777">
                      <w:pPr>
                        <w:shd w:val="clear" w:color="auto" w:fill="EAE5EB" w:themeFill="background2"/>
                        <w:spacing w:after="0" w:line="240" w:lineRule="auto"/>
                        <w:ind w:left="-142" w:right="-161"/>
                        <w:jc w:val="center"/>
                        <w:rPr>
                          <w:rFonts w:ascii="Arial Narrow" w:hAnsi="Arial Narrow"/>
                          <w:b/>
                          <w:sz w:val="14"/>
                        </w:rPr>
                      </w:pPr>
                    </w:p>
                  </w:txbxContent>
                </v:textbox>
              </v:shape>
            </w:pict>
          </mc:Fallback>
        </mc:AlternateContent>
      </w:r>
      <w:r>
        <w:rPr>
          <w:noProof/>
          <w:lang w:eastAsia="lv-LV"/>
        </w:rPr>
        <mc:AlternateContent>
          <mc:Choice Requires="wps">
            <w:drawing>
              <wp:anchor distT="0" distB="0" distL="114300" distR="114300" simplePos="0" relativeHeight="251817984" behindDoc="0" locked="0" layoutInCell="1" allowOverlap="1">
                <wp:simplePos x="0" y="0"/>
                <wp:positionH relativeFrom="column">
                  <wp:posOffset>1658620</wp:posOffset>
                </wp:positionH>
                <wp:positionV relativeFrom="paragraph">
                  <wp:posOffset>3604260</wp:posOffset>
                </wp:positionV>
                <wp:extent cx="1313180" cy="224790"/>
                <wp:effectExtent l="0" t="0" r="20320" b="20955"/>
                <wp:wrapNone/>
                <wp:docPr id="2054" name="Text Box 20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13180" cy="224790"/>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Stratēģiskie uzdevumi</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2054" o:spid="_x0000_s1189" type="#_x0000_t202" style="width:103.4pt;height:17.7pt;margin-top:283.8pt;margin-left:130.6pt;mso-height-percent:0;mso-height-relative:margin;mso-width-percent:0;mso-width-relative:margin;mso-wrap-distance-bottom:0;mso-wrap-distance-left:9pt;mso-wrap-distance-right:9pt;mso-wrap-distance-top:0;mso-wrap-style:square;position:absolute;visibility:visible;v-text-anchor:top;z-index:251819008" strokecolor="#c00000">
                <v:stroke dashstyle="dash"/>
                <v:textbox style="mso-fit-shape-to-text:t" inset="2.83pt,2.83pt,2.83pt,2.83pt">
                  <w:txbxContent>
                    <w:p w:rsidR="00B55C40" w:rsidP="00DF2882" w14:paraId="6CFE1845"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Stratēģiskie uzdevumi</w:t>
                      </w:r>
                    </w:p>
                  </w:txbxContent>
                </v:textbox>
              </v:shape>
            </w:pict>
          </mc:Fallback>
        </mc:AlternateContent>
      </w:r>
      <w:r>
        <w:rPr>
          <w:noProof/>
          <w:lang w:eastAsia="lv-LV"/>
        </w:rPr>
        <mc:AlternateContent>
          <mc:Choice Requires="wps">
            <w:drawing>
              <wp:anchor distT="0" distB="0" distL="114300" distR="114300" simplePos="0" relativeHeight="251838464" behindDoc="0" locked="0" layoutInCell="1" allowOverlap="1">
                <wp:simplePos x="0" y="0"/>
                <wp:positionH relativeFrom="column">
                  <wp:posOffset>5768340</wp:posOffset>
                </wp:positionH>
                <wp:positionV relativeFrom="paragraph">
                  <wp:posOffset>4347845</wp:posOffset>
                </wp:positionV>
                <wp:extent cx="213995" cy="285115"/>
                <wp:effectExtent l="0" t="0" r="5715" b="635"/>
                <wp:wrapNone/>
                <wp:docPr id="2052" name="Text Box 20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995" cy="285115"/>
                        </a:xfrm>
                        <a:prstGeom prst="rect">
                          <a:avLst/>
                        </a:prstGeom>
                        <a:noFill/>
                        <a:ln w="9525">
                          <a:noFill/>
                          <a:miter lim="800000"/>
                          <a:headEnd/>
                          <a:tailEnd/>
                        </a:ln>
                      </wps:spPr>
                      <wps:txbx>
                        <w:txbxContent>
                          <w:p w:rsidR="00B55C40" w:rsidP="00DF2882" w14:textId="77777777">
                            <w:pPr>
                              <w:rPr>
                                <w:color w:val="C00000"/>
                              </w:rPr>
                            </w:pPr>
                            <w:r>
                              <w:rPr>
                                <w:rFonts w:ascii="Cambria Math" w:hAnsi="Cambria Math" w:cs="Cambria Math"/>
                                <w:b/>
                                <w:color w:val="C00000"/>
                                <w:sz w:val="28"/>
                              </w:rPr>
                              <w:t>⑤</w:t>
                            </w:r>
                          </w:p>
                        </w:txbxContent>
                      </wps:txbx>
                      <wps:bodyPr rot="0" vert="horz" wrap="none" lIns="0" tIns="0" rIns="0" bIns="0" anchor="t" anchorCtr="0"/>
                    </wps:wsp>
                  </a:graphicData>
                </a:graphic>
                <wp14:sizeRelH relativeFrom="margin">
                  <wp14:pctWidth>0</wp14:pctWidth>
                </wp14:sizeRelH>
                <wp14:sizeRelV relativeFrom="margin">
                  <wp14:pctHeight>0</wp14:pctHeight>
                </wp14:sizeRelV>
              </wp:anchor>
            </w:drawing>
          </mc:Choice>
          <mc:Fallback>
            <w:pict>
              <v:shape id="Text Box 2052" o:spid="_x0000_s1190" type="#_x0000_t202" style="width:16.85pt;height:22.45pt;margin-top:342.35pt;margin-left:454.2pt;mso-height-percent:0;mso-height-relative:margin;mso-width-percent:0;mso-width-relative:margin;mso-wrap-distance-bottom:0;mso-wrap-distance-left:9pt;mso-wrap-distance-right:9pt;mso-wrap-distance-top:0;mso-wrap-style:none;position:absolute;visibility:visible;v-text-anchor:top;z-index:251839488" filled="f" stroked="f">
                <v:textbox inset="0,0,0,0">
                  <w:txbxContent>
                    <w:p w:rsidR="00B55C40" w:rsidP="00DF2882" w14:paraId="7836CF8A" w14:textId="77777777">
                      <w:pPr>
                        <w:rPr>
                          <w:color w:val="C00000"/>
                        </w:rPr>
                      </w:pPr>
                      <w:r>
                        <w:rPr>
                          <w:rFonts w:ascii="Cambria Math" w:hAnsi="Cambria Math" w:cs="Cambria Math"/>
                          <w:b/>
                          <w:color w:val="C00000"/>
                          <w:sz w:val="28"/>
                        </w:rPr>
                        <w:t>⑤</w:t>
                      </w:r>
                    </w:p>
                  </w:txbxContent>
                </v:textbox>
              </v:shape>
            </w:pict>
          </mc:Fallback>
        </mc:AlternateContent>
      </w:r>
      <w:r>
        <w:rPr>
          <w:noProof/>
          <w:lang w:eastAsia="lv-LV"/>
        </w:rPr>
        <mc:AlternateContent>
          <mc:Choice Requires="wps">
            <w:drawing>
              <wp:anchor distT="0" distB="0" distL="114300" distR="114300" simplePos="0" relativeHeight="251848704" behindDoc="0" locked="0" layoutInCell="1" allowOverlap="1">
                <wp:simplePos x="0" y="0"/>
                <wp:positionH relativeFrom="column">
                  <wp:posOffset>2733040</wp:posOffset>
                </wp:positionH>
                <wp:positionV relativeFrom="paragraph">
                  <wp:posOffset>3689985</wp:posOffset>
                </wp:positionV>
                <wp:extent cx="291465" cy="670560"/>
                <wp:effectExtent l="0" t="94297" r="0" b="147638"/>
                <wp:wrapNone/>
                <wp:docPr id="2051" name="Arrow: Down 2051"/>
                <wp:cNvGraphicFramePr/>
                <a:graphic xmlns:a="http://schemas.openxmlformats.org/drawingml/2006/main">
                  <a:graphicData uri="http://schemas.microsoft.com/office/word/2010/wordprocessingShape">
                    <wps:wsp xmlns:wps="http://schemas.microsoft.com/office/word/2010/wordprocessingShape">
                      <wps:cNvSpPr/>
                      <wps:spPr>
                        <a:xfrm rot="7726634">
                          <a:off x="0" y="0"/>
                          <a:ext cx="291465" cy="670560"/>
                        </a:xfrm>
                        <a:prstGeom prst="downArrow">
                          <a:avLst>
                            <a:gd name="adj1" fmla="val 50000"/>
                            <a:gd name="adj2" fmla="val 86398"/>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Down 2051" o:spid="_x0000_s1191" type="#_x0000_t67" style="width:22.95pt;height:52.8pt;margin-top:290.55pt;margin-left:215.2pt;mso-height-percent:0;mso-height-relative:margin;mso-width-percent:0;mso-width-relative:margin;mso-wrap-distance-bottom:0;mso-wrap-distance-left:9pt;mso-wrap-distance-right:9pt;mso-wrap-distance-top:0;mso-wrap-style:square;position:absolute;rotation:8439545fd;visibility:visible;v-text-anchor:middle;z-index:251849728" adj="13488" fillcolor="red" strokecolor="black" strokeweight="1pt">
                <v:path arrowok="t"/>
              </v:shape>
            </w:pict>
          </mc:Fallback>
        </mc:AlternateContent>
      </w:r>
      <w:r>
        <w:rPr>
          <w:noProof/>
          <w:lang w:eastAsia="lv-LV"/>
        </w:rPr>
        <mc:AlternateContent>
          <mc:Choice Requires="wps">
            <w:drawing>
              <wp:anchor distT="0" distB="0" distL="114300" distR="114300" simplePos="0" relativeHeight="251813888" behindDoc="0" locked="0" layoutInCell="1" allowOverlap="1">
                <wp:simplePos x="0" y="0"/>
                <wp:positionH relativeFrom="column">
                  <wp:posOffset>5200015</wp:posOffset>
                </wp:positionH>
                <wp:positionV relativeFrom="paragraph">
                  <wp:posOffset>80645</wp:posOffset>
                </wp:positionV>
                <wp:extent cx="931545" cy="367665"/>
                <wp:effectExtent l="0" t="0" r="20955" b="27305"/>
                <wp:wrapNone/>
                <wp:docPr id="2050" name="Text Box 20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1545" cy="367665"/>
                        </a:xfrm>
                        <a:prstGeom prst="rect">
                          <a:avLst/>
                        </a:prstGeom>
                        <a:solidFill>
                          <a:srgbClr val="FFFFFF"/>
                        </a:solidFill>
                        <a:ln w="9525">
                          <a:solidFill>
                            <a:srgbClr val="C00000"/>
                          </a:solidFill>
                          <a:prstDash val="dash"/>
                          <a:miter lim="800000"/>
                          <a:headEnd/>
                          <a:tailEnd/>
                        </a:ln>
                      </wps:spPr>
                      <wps:txbx>
                        <w:txbxContent>
                          <w:p w:rsidR="00B55C40" w:rsidP="00DF2882"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Sasniedzamie rezultāti</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 id="Text Box 2050" o:spid="_x0000_s1192" type="#_x0000_t202" style="width:73.35pt;height:28.95pt;margin-top:6.35pt;margin-left:409.45pt;mso-height-percent:0;mso-height-relative:margin;mso-width-percent:0;mso-width-relative:margin;mso-wrap-distance-bottom:0;mso-wrap-distance-left:9pt;mso-wrap-distance-right:9pt;mso-wrap-distance-top:0;mso-wrap-style:square;position:absolute;visibility:visible;v-text-anchor:top;z-index:251814912" strokecolor="#c00000">
                <v:stroke dashstyle="dash"/>
                <v:textbox style="mso-fit-shape-to-text:t" inset="2.83pt,2.83pt,2.83pt,2.83pt">
                  <w:txbxContent>
                    <w:p w:rsidR="00B55C40" w:rsidP="00DF2882" w14:paraId="41D468AD" w14:textId="77777777">
                      <w:pPr>
                        <w:spacing w:after="0" w:line="240" w:lineRule="auto"/>
                        <w:jc w:val="center"/>
                        <w:rPr>
                          <w:rFonts w:ascii="Arial Narrow" w:hAnsi="Arial Narrow"/>
                          <w:color w:val="C00000"/>
                          <w:sz w:val="20"/>
                          <w:szCs w:val="20"/>
                        </w:rPr>
                      </w:pPr>
                      <w:r>
                        <w:rPr>
                          <w:rFonts w:ascii="Arial Narrow" w:hAnsi="Arial Narrow"/>
                          <w:color w:val="C00000"/>
                          <w:sz w:val="20"/>
                          <w:szCs w:val="20"/>
                        </w:rPr>
                        <w:t>Sasniedzamie rezultāti</w:t>
                      </w:r>
                    </w:p>
                  </w:txbxContent>
                </v:textbox>
              </v:shape>
            </w:pict>
          </mc:Fallback>
        </mc:AlternateContent>
      </w:r>
    </w:p>
    <w:p w:rsidR="00FE3AB2" w:rsidRPr="00883473" w:rsidP="00FE3AB2" w14:paraId="472A09EB" w14:textId="77777777">
      <w:pPr>
        <w:pStyle w:val="Heading1"/>
        <w:shd w:val="clear" w:color="auto" w:fill="6D1D6A" w:themeFill="accent1" w:themeFillShade="BF"/>
        <w:spacing w:before="0" w:line="240" w:lineRule="auto"/>
        <w:rPr>
          <w:rFonts w:ascii="Candara" w:eastAsia="Times New Roman" w:hAnsi="Candara"/>
          <w:b/>
          <w:color w:val="FFFFFF" w:themeColor="background1"/>
          <w:lang w:eastAsia="lv-LV"/>
        </w:rPr>
      </w:pPr>
      <w:bookmarkStart w:id="36" w:name="_Toc483604194"/>
      <w:bookmarkStart w:id="37" w:name="_Toc484445193"/>
      <w:bookmarkStart w:id="38" w:name="_Toc256000009"/>
      <w:bookmarkStart w:id="39" w:name="_Toc256000025"/>
      <w:r>
        <w:rPr>
          <w:rFonts w:ascii="Candara" w:eastAsia="Times New Roman" w:hAnsi="Candara"/>
          <w:b/>
          <w:color w:val="FFFFFF" w:themeColor="background1"/>
          <w:lang w:eastAsia="lv-LV"/>
        </w:rPr>
        <w:t xml:space="preserve">7. </w:t>
      </w:r>
      <w:r w:rsidRPr="00883473">
        <w:rPr>
          <w:rFonts w:ascii="Candara" w:eastAsia="Times New Roman" w:hAnsi="Candara"/>
          <w:b/>
          <w:color w:val="FFFFFF" w:themeColor="background1"/>
          <w:lang w:eastAsia="lv-LV"/>
        </w:rPr>
        <w:t>MĒRĶA RĀDĪTĀJ</w:t>
      </w:r>
      <w:r>
        <w:rPr>
          <w:rFonts w:ascii="Candara" w:eastAsia="Times New Roman" w:hAnsi="Candara"/>
          <w:b/>
          <w:color w:val="FFFFFF" w:themeColor="background1"/>
          <w:lang w:eastAsia="lv-LV"/>
        </w:rPr>
        <w:t>U HIERARHIJA</w:t>
      </w:r>
      <w:bookmarkEnd w:id="39"/>
      <w:bookmarkEnd w:id="38"/>
      <w:bookmarkEnd w:id="36"/>
      <w:bookmarkEnd w:id="37"/>
    </w:p>
    <w:p w:rsidR="00FE3AB2" w:rsidRPr="00076601" w:rsidP="00525E53" w14:paraId="32CB5949" w14:textId="77777777">
      <w:pPr>
        <w:spacing w:after="0" w:line="240" w:lineRule="auto"/>
        <w:rPr>
          <w:rFonts w:ascii="Times New Roman" w:eastAsia="Times New Roman" w:hAnsi="Times New Roman" w:cs="Times New Roman"/>
          <w:b/>
          <w:bCs/>
          <w:sz w:val="20"/>
          <w:szCs w:val="24"/>
          <w:lang w:eastAsia="lv-LV"/>
        </w:rPr>
      </w:pPr>
    </w:p>
    <w:p w:rsidR="00525E53" w:rsidP="00525E53" w14:paraId="3E2D01FD" w14:textId="77777777">
      <w:pPr>
        <w:spacing w:after="0" w:line="240" w:lineRule="auto"/>
        <w:rPr>
          <w:rFonts w:ascii="Candara" w:eastAsia="Times New Roman" w:hAnsi="Candara" w:cs="Times New Roman"/>
          <w:spacing w:val="-6"/>
          <w:lang w:bidi="lo-LA"/>
        </w:rPr>
      </w:pPr>
      <w:r w:rsidRPr="00BF2970">
        <w:rPr>
          <w:rFonts w:ascii="Candara" w:eastAsia="Times New Roman" w:hAnsi="Candara" w:cs="Times New Roman"/>
          <w:spacing w:val="-6"/>
          <w:lang w:bidi="lo-LA"/>
        </w:rPr>
        <w:t>Mērķi visu līmeņu politikas plānošanas dokumentos ir saskaņoti.</w:t>
      </w:r>
    </w:p>
    <w:p w:rsidR="00FE3AB2" w:rsidRPr="00076601" w:rsidP="00525E53" w14:paraId="5FB210CA" w14:textId="77777777">
      <w:pPr>
        <w:spacing w:after="0"/>
        <w:rPr>
          <w:rFonts w:ascii="Times New Roman" w:eastAsia="Times New Roman" w:hAnsi="Times New Roman" w:cs="Times New Roman"/>
          <w:b/>
          <w:bCs/>
          <w:sz w:val="8"/>
          <w:szCs w:val="24"/>
          <w:lang w:eastAsia="lv-LV"/>
        </w:rPr>
      </w:pPr>
    </w:p>
    <w:p w:rsidR="00296348" w:rsidP="00525E53" w14:paraId="4D3AF2F8" w14:textId="77777777">
      <w:pPr>
        <w:snapToGrid w:val="0"/>
        <w:spacing w:after="40" w:line="240" w:lineRule="auto"/>
        <w:jc w:val="center"/>
        <w:rPr>
          <w:rFonts w:ascii="Candara" w:eastAsia="SimSun" w:hAnsi="Candara" w:cs="Times New Roman"/>
          <w:lang w:eastAsia="zh-CN" w:bidi="lo-LA"/>
        </w:rPr>
      </w:pPr>
      <w:r>
        <w:rPr>
          <w:noProof/>
          <w:lang w:eastAsia="lv-LV"/>
        </w:rPr>
        <w:drawing>
          <wp:inline distT="0" distB="0" distL="0" distR="0">
            <wp:extent cx="5495027" cy="3246919"/>
            <wp:effectExtent l="0" t="0" r="0" b="0"/>
            <wp:docPr id="91456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3037" name=""/>
                    <pic:cNvPicPr/>
                  </pic:nvPicPr>
                  <pic:blipFill>
                    <a:blip xmlns:r="http://schemas.openxmlformats.org/officeDocument/2006/relationships" r:embed="rId48"/>
                    <a:srcRect l="15761" t="25797" r="23518" b="10422"/>
                    <a:stretch>
                      <a:fillRect/>
                    </a:stretch>
                  </pic:blipFill>
                  <pic:spPr bwMode="auto">
                    <a:xfrm>
                      <a:off x="0" y="0"/>
                      <a:ext cx="5542203" cy="32747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25E53" w:rsidRPr="00525E53" w:rsidP="00214364" w14:paraId="6987E8E9" w14:textId="77777777">
      <w:pPr>
        <w:snapToGrid w:val="0"/>
        <w:spacing w:after="40" w:line="240" w:lineRule="auto"/>
        <w:ind w:firstLine="426"/>
        <w:jc w:val="both"/>
        <w:rPr>
          <w:rFonts w:ascii="Candara" w:eastAsia="SimSun" w:hAnsi="Candara" w:cs="Times New Roman"/>
          <w:sz w:val="8"/>
          <w:szCs w:val="8"/>
          <w:lang w:eastAsia="zh-CN" w:bidi="lo-LA"/>
        </w:rPr>
      </w:pPr>
    </w:p>
    <w:p w:rsidR="00FE3AB2" w:rsidP="00214364" w14:paraId="1DFF242A" w14:textId="77777777">
      <w:pPr>
        <w:snapToGrid w:val="0"/>
        <w:spacing w:after="40" w:line="240" w:lineRule="auto"/>
        <w:ind w:firstLine="426"/>
        <w:jc w:val="both"/>
        <w:rPr>
          <w:rFonts w:ascii="Candara" w:eastAsia="SimSun" w:hAnsi="Candara"/>
          <w:b/>
          <w:lang w:eastAsia="zh-CN" w:bidi="lo-LA"/>
        </w:rPr>
      </w:pPr>
      <w:r>
        <w:rPr>
          <w:rFonts w:ascii="Candara" w:eastAsia="SimSun" w:hAnsi="Candara" w:cs="Times New Roman"/>
          <w:lang w:eastAsia="zh-CN" w:bidi="lo-LA"/>
        </w:rPr>
        <w:t>RIS3 m</w:t>
      </w:r>
      <w:r w:rsidRPr="00076601">
        <w:rPr>
          <w:rFonts w:ascii="Candara" w:eastAsia="SimSun" w:hAnsi="Candara" w:cs="Times New Roman"/>
          <w:lang w:eastAsia="zh-CN" w:bidi="lo-LA"/>
        </w:rPr>
        <w:t xml:space="preserve">onitoringa sistēmas mērķis ir nodrošināt publisko ieguldījumu RIS3 mērķu sasniegšanā efektivitāti, ilgtspēju un sabiedrisko vērtību. Tās uzdevums dot iespēju lēmumu pieņēmējiem novērtēt ieguldījumu ietekmi un nepieciešamības gadījumā veikt izmaiņas stratēģijā vai tās īstenošanas instrumentos. </w:t>
      </w:r>
      <w:r w:rsidRPr="00076601">
        <w:rPr>
          <w:rFonts w:ascii="Candara" w:eastAsia="SimSun" w:hAnsi="Candara" w:cs="Times New Roman"/>
          <w:bCs/>
          <w:lang w:eastAsia="zh-CN" w:bidi="lo-LA"/>
        </w:rPr>
        <w:t>Monitoringa sistēma ir veidota</w:t>
      </w:r>
      <w:r w:rsidR="003C19AB">
        <w:rPr>
          <w:rFonts w:ascii="Candara" w:eastAsia="SimSun" w:hAnsi="Candara" w:cs="Times New Roman"/>
          <w:bCs/>
          <w:lang w:eastAsia="zh-CN" w:bidi="lo-LA"/>
        </w:rPr>
        <w:t>,</w:t>
      </w:r>
      <w:r w:rsidRPr="00076601">
        <w:rPr>
          <w:rFonts w:ascii="Candara" w:eastAsia="SimSun" w:hAnsi="Candara" w:cs="Times New Roman"/>
          <w:lang w:eastAsia="zh-CN" w:bidi="lo-LA"/>
        </w:rPr>
        <w:t xml:space="preserve"> lai sekotu RIS3 mērķu sasniegšanai </w:t>
      </w:r>
      <w:r w:rsidRPr="00076601">
        <w:rPr>
          <w:rFonts w:ascii="Candara" w:eastAsia="SimSun" w:hAnsi="Candara" w:cs="Times New Roman"/>
          <w:bCs/>
          <w:lang w:eastAsia="zh-CN" w:bidi="lo-LA"/>
        </w:rPr>
        <w:t>trīs līmeņos:</w:t>
      </w:r>
      <w:r>
        <w:rPr>
          <w:rFonts w:ascii="Candara" w:eastAsia="SimSun" w:hAnsi="Candara" w:cs="Times New Roman"/>
          <w:bCs/>
          <w:lang w:eastAsia="zh-CN" w:bidi="lo-LA"/>
        </w:rPr>
        <w:t xml:space="preserve"> </w:t>
      </w:r>
      <w:r w:rsidRPr="00076601">
        <w:rPr>
          <w:rFonts w:ascii="Candara" w:eastAsia="SimSun" w:hAnsi="Candara"/>
          <w:lang w:eastAsia="zh-CN" w:bidi="lo-LA"/>
        </w:rPr>
        <w:t xml:space="preserve">RIS3 </w:t>
      </w:r>
      <w:r w:rsidRPr="00076601">
        <w:rPr>
          <w:rFonts w:ascii="Candara" w:eastAsia="SimSun" w:hAnsi="Candara"/>
          <w:bCs/>
          <w:lang w:eastAsia="zh-CN" w:bidi="lo-LA"/>
        </w:rPr>
        <w:t>virsmērķi,</w:t>
      </w:r>
      <w:r w:rsidRPr="00076601">
        <w:rPr>
          <w:rFonts w:ascii="Candara" w:eastAsia="SimSun" w:hAnsi="Candara"/>
          <w:lang w:eastAsia="zh-CN" w:bidi="lo-LA"/>
        </w:rPr>
        <w:t xml:space="preserve"> RIS3 makro līmeņa </w:t>
      </w:r>
      <w:r w:rsidRPr="00076601">
        <w:rPr>
          <w:rFonts w:ascii="Candara" w:eastAsia="SimSun" w:hAnsi="Candara"/>
          <w:bCs/>
          <w:lang w:eastAsia="zh-CN" w:bidi="lo-LA"/>
        </w:rPr>
        <w:t>rādītāji,</w:t>
      </w:r>
      <w:r w:rsidRPr="00076601">
        <w:rPr>
          <w:rFonts w:ascii="Candara" w:eastAsia="SimSun" w:hAnsi="Candara"/>
          <w:lang w:eastAsia="zh-CN" w:bidi="lo-LA"/>
        </w:rPr>
        <w:t xml:space="preserve"> </w:t>
      </w:r>
      <w:r w:rsidRPr="00076601">
        <w:rPr>
          <w:rFonts w:ascii="Candara" w:eastAsia="SimSun" w:hAnsi="Candara"/>
          <w:bCs/>
          <w:lang w:eastAsia="zh-CN" w:bidi="lo-LA"/>
        </w:rPr>
        <w:t>RIS3 mikro līmeņa rādītāji</w:t>
      </w:r>
      <w:r w:rsidRPr="00076601">
        <w:rPr>
          <w:rFonts w:ascii="Candara" w:eastAsia="SimSun" w:hAnsi="Candara"/>
          <w:lang w:eastAsia="zh-CN" w:bidi="lo-LA"/>
        </w:rPr>
        <w:t>.</w:t>
      </w:r>
    </w:p>
    <w:p w:rsidR="00C11AF8" w:rsidRPr="00214364" w:rsidP="00214364" w14:paraId="601B19DA" w14:textId="77777777">
      <w:pPr>
        <w:tabs>
          <w:tab w:val="left" w:pos="284"/>
          <w:tab w:val="left" w:pos="709"/>
        </w:tabs>
        <w:spacing w:after="0" w:line="240" w:lineRule="auto"/>
        <w:ind w:firstLine="426"/>
        <w:jc w:val="both"/>
        <w:rPr>
          <w:rFonts w:ascii="Candara" w:eastAsia="Times New Roman" w:hAnsi="Candara"/>
          <w:lang w:eastAsia="lv-LV"/>
        </w:rPr>
      </w:pPr>
      <w:r w:rsidRPr="00214364">
        <w:rPr>
          <w:rFonts w:ascii="Candara" w:eastAsia="Times New Roman" w:hAnsi="Candara"/>
          <w:lang w:eastAsia="lv-LV"/>
        </w:rPr>
        <w:t>RIS3 sekmīgākam monitoringam veikti b</w:t>
      </w:r>
      <w:r w:rsidRPr="00214364" w:rsidR="009E63BC">
        <w:rPr>
          <w:rFonts w:ascii="Candara" w:eastAsia="Times New Roman" w:hAnsi="Candara"/>
          <w:lang w:eastAsia="lv-LV"/>
        </w:rPr>
        <w:t xml:space="preserve">ūtiski datu vākšanas uzlabojumi: </w:t>
      </w:r>
    </w:p>
    <w:p w:rsidR="00DB6F4D" w:rsidRPr="00214364" w:rsidP="00214364" w14:paraId="0ABB9BB0" w14:textId="77777777">
      <w:pPr>
        <w:spacing w:after="0" w:line="240" w:lineRule="auto"/>
        <w:ind w:left="709" w:hanging="283"/>
        <w:jc w:val="both"/>
        <w:rPr>
          <w:rFonts w:ascii="Candara" w:hAnsi="Candara"/>
          <w:lang w:eastAsia="lv-LV"/>
        </w:rPr>
      </w:pPr>
      <w:r w:rsidRPr="00214364">
        <w:rPr>
          <w:rFonts w:ascii="Candara" w:eastAsia="Times New Roman" w:hAnsi="Candara"/>
          <w:lang w:eastAsia="lv-LV"/>
        </w:rPr>
        <w:t>1)</w:t>
      </w:r>
      <w:r w:rsidR="00214364">
        <w:rPr>
          <w:rFonts w:ascii="Candara" w:eastAsia="Times New Roman" w:hAnsi="Candara"/>
          <w:lang w:eastAsia="lv-LV"/>
        </w:rPr>
        <w:tab/>
      </w:r>
      <w:r w:rsidRPr="00214364" w:rsidR="003C19AB">
        <w:rPr>
          <w:rFonts w:ascii="Candara" w:hAnsi="Candara"/>
          <w:lang w:eastAsia="lv-LV"/>
        </w:rPr>
        <w:t>CSP pētniecības un inovācijas apsekojuma datu paplašinājums, sākot ar 2017.gadu</w:t>
      </w:r>
      <w:r w:rsidRPr="00214364">
        <w:rPr>
          <w:rFonts w:ascii="Candara" w:hAnsi="Candara"/>
          <w:lang w:eastAsia="lv-LV"/>
        </w:rPr>
        <w:t xml:space="preserve">. Paplašinātais pētniecības apsekojums aptvers datus (a) par izdevumiem pētnieciskajām darbībām sadalījumā pa finanšu avotiem un pa ekonomiskās darbības veidiem NACE 2.red. 2 zīmju līmenī, (b) par zinātniskajiem darbiniekiem sadalījumā pa sektoriem un pētniecības jomām. </w:t>
      </w:r>
      <w:r w:rsidRPr="00214364" w:rsidR="00C11AF8">
        <w:rPr>
          <w:rFonts w:ascii="Candara" w:hAnsi="Candara"/>
          <w:lang w:eastAsia="lv-LV"/>
        </w:rPr>
        <w:t>Paplašinātā inovācijas apsekojuma ietvaros tiks iegūti dati par inovatīvi aktīvajiem uzņēmumiem pa ekonomiskās darbības veidiem NACE 2.red. 2 zīmju līmenī, kā arī sadalījumā pa plānošanas reģioniem.</w:t>
      </w:r>
    </w:p>
    <w:p w:rsidR="00C11AF8" w:rsidRPr="00214364" w:rsidP="00214364" w14:paraId="5A505A18" w14:textId="77777777">
      <w:pPr>
        <w:spacing w:after="0" w:line="240" w:lineRule="auto"/>
        <w:ind w:left="709" w:hanging="283"/>
        <w:jc w:val="both"/>
        <w:rPr>
          <w:rFonts w:ascii="Candara" w:hAnsi="Candara"/>
          <w:lang w:eastAsia="lv-LV"/>
        </w:rPr>
      </w:pPr>
      <w:r>
        <w:rPr>
          <w:rFonts w:ascii="Candara" w:hAnsi="Candara"/>
          <w:lang w:eastAsia="lv-LV"/>
        </w:rPr>
        <w:t>2)</w:t>
      </w:r>
      <w:r>
        <w:rPr>
          <w:rFonts w:ascii="Candara" w:hAnsi="Candara"/>
          <w:lang w:eastAsia="lv-LV"/>
        </w:rPr>
        <w:tab/>
      </w:r>
      <w:r w:rsidRPr="00214364" w:rsidR="003C19AB">
        <w:rPr>
          <w:rFonts w:ascii="Candara" w:hAnsi="Candara"/>
          <w:lang w:eastAsia="lv-LV"/>
        </w:rPr>
        <w:t xml:space="preserve">Zinātņu doktoru tālākās karjeras apsekojums 2016.gadā; </w:t>
      </w:r>
    </w:p>
    <w:p w:rsidR="003C19AB" w:rsidRPr="00214364" w:rsidP="00214364" w14:paraId="579D3C89" w14:textId="77777777">
      <w:pPr>
        <w:spacing w:after="0" w:line="240" w:lineRule="auto"/>
        <w:ind w:left="709" w:hanging="283"/>
        <w:jc w:val="both"/>
        <w:rPr>
          <w:rFonts w:ascii="Candara" w:hAnsi="Candara"/>
          <w:lang w:eastAsia="lv-LV"/>
        </w:rPr>
      </w:pPr>
      <w:r>
        <w:rPr>
          <w:rFonts w:ascii="Candara" w:hAnsi="Candara"/>
          <w:lang w:eastAsia="lv-LV"/>
        </w:rPr>
        <w:t>3)</w:t>
      </w:r>
      <w:r>
        <w:rPr>
          <w:rFonts w:ascii="Candara" w:hAnsi="Candara"/>
          <w:lang w:eastAsia="lv-LV"/>
        </w:rPr>
        <w:tab/>
      </w:r>
      <w:r w:rsidRPr="00214364">
        <w:rPr>
          <w:rFonts w:ascii="Candara" w:hAnsi="Candara"/>
          <w:lang w:eastAsia="lv-LV"/>
        </w:rPr>
        <w:t>Nacionālās zinātniskās darbības</w:t>
      </w:r>
      <w:r w:rsidR="00B554AC">
        <w:rPr>
          <w:rFonts w:ascii="Candara" w:hAnsi="Candara"/>
          <w:lang w:eastAsia="lv-LV"/>
        </w:rPr>
        <w:t xml:space="preserve"> informācijas</w:t>
      </w:r>
      <w:r w:rsidRPr="00214364">
        <w:rPr>
          <w:rFonts w:ascii="Candara" w:hAnsi="Candara"/>
          <w:lang w:eastAsia="lv-LV"/>
        </w:rPr>
        <w:t xml:space="preserve"> sistēmas un studentu un absolventu reģistra izveide.</w:t>
      </w:r>
    </w:p>
    <w:p w:rsidR="00214364" w:rsidRPr="00214364" w:rsidP="00214364" w14:paraId="46282A3D" w14:textId="77777777">
      <w:pPr>
        <w:spacing w:after="0" w:line="240" w:lineRule="auto"/>
        <w:ind w:firstLine="426"/>
        <w:jc w:val="both"/>
        <w:rPr>
          <w:rFonts w:ascii="Candara" w:eastAsia="Times New Roman" w:hAnsi="Candara"/>
          <w:sz w:val="8"/>
          <w:szCs w:val="8"/>
          <w:lang w:eastAsia="lv-LV"/>
        </w:rPr>
      </w:pPr>
    </w:p>
    <w:p w:rsidR="003C19AB" w:rsidP="00214364" w14:paraId="0DE9312B" w14:textId="06BE2EBC">
      <w:pPr>
        <w:spacing w:after="0" w:line="240" w:lineRule="auto"/>
        <w:ind w:firstLine="426"/>
        <w:jc w:val="both"/>
        <w:rPr>
          <w:rFonts w:ascii="Candara" w:eastAsia="Times New Roman" w:hAnsi="Candara"/>
          <w:lang w:eastAsia="lv-LV"/>
        </w:rPr>
      </w:pPr>
      <w:r w:rsidRPr="00214364">
        <w:rPr>
          <w:rFonts w:ascii="Candara" w:eastAsia="Times New Roman" w:hAnsi="Candara"/>
          <w:lang w:eastAsia="lv-LV"/>
        </w:rPr>
        <w:t xml:space="preserve">Papildus īstenoti vairāki tematiskie izvērtējumi, kas sniegs informāciju </w:t>
      </w:r>
      <w:r w:rsidR="00E33F68">
        <w:rPr>
          <w:rFonts w:ascii="Candara" w:eastAsia="Times New Roman" w:hAnsi="Candara"/>
          <w:lang w:eastAsia="lv-LV"/>
        </w:rPr>
        <w:t xml:space="preserve">turpmākajam </w:t>
      </w:r>
      <w:r w:rsidRPr="00214364">
        <w:rPr>
          <w:rFonts w:ascii="Candara" w:eastAsia="Times New Roman" w:hAnsi="Candara"/>
          <w:lang w:eastAsia="lv-LV"/>
        </w:rPr>
        <w:t xml:space="preserve">RIS3 monitoringam un tālāko lēmumu pieņemšanai, t.sk. </w:t>
      </w:r>
      <w:r w:rsidRPr="00214364" w:rsidR="00914049">
        <w:rPr>
          <w:rFonts w:ascii="Candara" w:eastAsia="Times New Roman" w:hAnsi="Candara"/>
          <w:lang w:eastAsia="lv-LV"/>
        </w:rPr>
        <w:t>Starptautiskās Rekonstrukcijas un attīstības bankas (Pasaules Bankas) eksperti veic pētījumu Latvijas augstākās izglītības institūciju pārvaldības pilnveidei un augstākās izglītības modernizācijai,</w:t>
      </w:r>
      <w:r w:rsidR="00914049">
        <w:rPr>
          <w:rFonts w:ascii="Candara" w:eastAsia="Times New Roman" w:hAnsi="Candara"/>
          <w:lang w:eastAsia="lv-LV"/>
        </w:rPr>
        <w:t xml:space="preserve"> 2017. gada III un IV ceturksnī noslēdzies</w:t>
      </w:r>
      <w:r w:rsidRPr="00214364" w:rsidR="00914049">
        <w:rPr>
          <w:rFonts w:ascii="Candara" w:eastAsia="Times New Roman" w:hAnsi="Candara"/>
          <w:lang w:eastAsia="lv-LV"/>
        </w:rPr>
        <w:t xml:space="preserve"> </w:t>
      </w:r>
      <w:r w:rsidRPr="00214364">
        <w:rPr>
          <w:rFonts w:ascii="Candara" w:eastAsia="Times New Roman" w:hAnsi="Candara"/>
          <w:lang w:eastAsia="lv-LV"/>
        </w:rPr>
        <w:t xml:space="preserve">ES fondu plānošanas perioda 2007.-2013.gadam  ieguldījumu P&amp;I </w:t>
      </w:r>
      <w:r w:rsidRPr="00214364">
        <w:rPr>
          <w:rFonts w:ascii="Candara" w:eastAsia="Times New Roman" w:hAnsi="Candara"/>
          <w:i/>
          <w:lang w:eastAsia="lv-LV"/>
        </w:rPr>
        <w:t>ex-post</w:t>
      </w:r>
      <w:r w:rsidRPr="00214364">
        <w:rPr>
          <w:rFonts w:ascii="Candara" w:eastAsia="Times New Roman" w:hAnsi="Candara"/>
          <w:lang w:eastAsia="lv-LV"/>
        </w:rPr>
        <w:t xml:space="preserve"> izvērtējums, augstākās izglītības institūciju ES valodu un kopīgo doktorantūras programmu izvērtējums, kā arī Latvijas zinātnes </w:t>
      </w:r>
      <w:r w:rsidR="00B554AC">
        <w:rPr>
          <w:rFonts w:ascii="Candara" w:eastAsia="Times New Roman" w:hAnsi="Candara"/>
          <w:lang w:eastAsia="lv-LV"/>
        </w:rPr>
        <w:t xml:space="preserve">un inovāciju </w:t>
      </w:r>
      <w:r w:rsidRPr="00214364">
        <w:rPr>
          <w:rFonts w:ascii="Candara" w:eastAsia="Times New Roman" w:hAnsi="Candara"/>
          <w:lang w:eastAsia="lv-LV"/>
        </w:rPr>
        <w:t>finansēšanas sistēmas efektivitātes izvērtējums, ko veic</w:t>
      </w:r>
      <w:r w:rsidR="00914049">
        <w:rPr>
          <w:rFonts w:ascii="Candara" w:eastAsia="Times New Roman" w:hAnsi="Candara"/>
          <w:lang w:eastAsia="lv-LV"/>
        </w:rPr>
        <w:t xml:space="preserve">a </w:t>
      </w:r>
      <w:r w:rsidR="00216077">
        <w:rPr>
          <w:rFonts w:ascii="Candara" w:eastAsia="Times New Roman" w:hAnsi="Candara"/>
          <w:lang w:eastAsia="lv-LV"/>
        </w:rPr>
        <w:t>Eiropas Komisijas</w:t>
      </w:r>
      <w:r w:rsidRPr="00214364" w:rsidR="00216077">
        <w:rPr>
          <w:rFonts w:ascii="Candara" w:eastAsia="Times New Roman" w:hAnsi="Candara"/>
          <w:lang w:eastAsia="lv-LV"/>
        </w:rPr>
        <w:t xml:space="preserve"> </w:t>
      </w:r>
      <w:r w:rsidRPr="003F7800" w:rsidR="00216077">
        <w:rPr>
          <w:rFonts w:ascii="Candara" w:eastAsia="Candara" w:hAnsi="Candara" w:cs="Candara"/>
          <w:i/>
        </w:rPr>
        <w:t>Horizo</w:t>
      </w:r>
      <w:r w:rsidR="00216077">
        <w:rPr>
          <w:rFonts w:ascii="Candara" w:eastAsia="Candara" w:hAnsi="Candara" w:cs="Candara"/>
          <w:i/>
        </w:rPr>
        <w:t xml:space="preserve">n 2020 Policy Support Facility </w:t>
      </w:r>
      <w:r w:rsidR="00216077">
        <w:rPr>
          <w:rFonts w:ascii="Candara" w:eastAsia="Times New Roman" w:hAnsi="Candara"/>
          <w:lang w:eastAsia="lv-LV"/>
        </w:rPr>
        <w:t xml:space="preserve"> ekspertu grupa</w:t>
      </w:r>
      <w:r w:rsidRPr="00214364">
        <w:rPr>
          <w:rFonts w:ascii="Candara" w:eastAsia="Times New Roman" w:hAnsi="Candara"/>
          <w:lang w:eastAsia="lv-LV"/>
        </w:rPr>
        <w:t>.</w:t>
      </w:r>
    </w:p>
    <w:p w:rsidR="00DF2882" w:rsidP="00214364" w14:paraId="460FEB47" w14:textId="77777777">
      <w:pPr>
        <w:snapToGrid w:val="0"/>
        <w:spacing w:after="0" w:line="240" w:lineRule="auto"/>
        <w:ind w:firstLine="426"/>
        <w:jc w:val="both"/>
        <w:rPr>
          <w:rFonts w:ascii="Candara" w:eastAsia="SimSun" w:hAnsi="Candara" w:cs="Times New Roman"/>
          <w:lang w:eastAsia="zh-CN" w:bidi="lo-LA"/>
        </w:rPr>
      </w:pPr>
      <w:r w:rsidRPr="00517AA1">
        <w:rPr>
          <w:rFonts w:ascii="Candara" w:eastAsia="SimSun" w:hAnsi="Candara" w:cs="Times New Roman"/>
          <w:lang w:eastAsia="zh-CN" w:bidi="lo-LA"/>
        </w:rPr>
        <w:t>Virzību uz RIS3 virsmērķu sasniegšanu raksturo kopējie ieguldījumi P&amp;A (% no IKP), pozīcija Eirop</w:t>
      </w:r>
      <w:r w:rsidR="00214364">
        <w:rPr>
          <w:rFonts w:ascii="Candara" w:eastAsia="SimSun" w:hAnsi="Candara" w:cs="Times New Roman"/>
          <w:lang w:eastAsia="zh-CN" w:bidi="lo-LA"/>
        </w:rPr>
        <w:t xml:space="preserve">as inovāciju rādītāju grupā un </w:t>
      </w:r>
      <w:r w:rsidRPr="00517AA1">
        <w:rPr>
          <w:rFonts w:ascii="Candara" w:eastAsia="SimSun" w:hAnsi="Candara" w:cs="Times New Roman"/>
          <w:lang w:eastAsia="zh-CN" w:bidi="lo-LA"/>
        </w:rPr>
        <w:t xml:space="preserve">produktivitāte apstrādes rūpniecībā. Lai gan Latvijai ir izdevies no pieticīga snieguma inovāciju rādītāju grupā pakāpties uz vidēju, galvenais ekonomikas zināšanu un tehnoloģiju ietilpības rādītājs – ieguldījumi P&amp;A </w:t>
      </w:r>
      <w:r w:rsidR="007A2BAA">
        <w:rPr>
          <w:rFonts w:ascii="Candara" w:eastAsia="SimSun" w:hAnsi="Candara" w:cs="Times New Roman"/>
          <w:lang w:eastAsia="zh-CN" w:bidi="lo-LA"/>
        </w:rPr>
        <w:t xml:space="preserve">– </w:t>
      </w:r>
      <w:r w:rsidRPr="00517AA1">
        <w:rPr>
          <w:rFonts w:ascii="Candara" w:eastAsia="SimSun" w:hAnsi="Candara" w:cs="Times New Roman"/>
          <w:lang w:eastAsia="zh-CN" w:bidi="lo-LA"/>
        </w:rPr>
        <w:t>ir negatīvs un apstrādes rūpniecības produktivitāte nav mainījusies. Ieguldījumi P&amp;A parāda gan valsts un privātā sektora investīcijas pētniecībā, gan arī atspoguļo ekonomikas zināšanu ietilpības līmeni.</w:t>
      </w:r>
    </w:p>
    <w:p w:rsidR="00FE3AB2" w:rsidP="00214364" w14:paraId="6BC1E685" w14:textId="77777777">
      <w:pPr>
        <w:snapToGrid w:val="0"/>
        <w:spacing w:after="0" w:line="240" w:lineRule="auto"/>
        <w:ind w:firstLine="426"/>
        <w:jc w:val="both"/>
        <w:rPr>
          <w:rFonts w:ascii="Candara" w:hAnsi="Candara"/>
          <w:lang w:bidi="lo-LA"/>
        </w:rPr>
      </w:pPr>
      <w:r>
        <w:rPr>
          <w:rFonts w:ascii="Candara" w:hAnsi="Candara"/>
          <w:lang w:bidi="lo-LA"/>
        </w:rPr>
        <w:t>Tā kā RIS3 virsmērķu un makro līmeņa mērķu rādītāj</w:t>
      </w:r>
      <w:r w:rsidRPr="008B2C92">
        <w:rPr>
          <w:rFonts w:ascii="Candara" w:hAnsi="Candara"/>
          <w:lang w:bidi="lo-LA"/>
        </w:rPr>
        <w:t xml:space="preserve">i </w:t>
      </w:r>
      <w:r>
        <w:rPr>
          <w:rFonts w:ascii="Candara" w:hAnsi="Candara"/>
          <w:lang w:bidi="lo-LA"/>
        </w:rPr>
        <w:t xml:space="preserve">ir arī vidējā termiņa politikas plānošanas dokumentu mērķa rādītāji, </w:t>
      </w:r>
      <w:r w:rsidRPr="008B2C92">
        <w:rPr>
          <w:rFonts w:ascii="Candara" w:hAnsi="Candara"/>
          <w:lang w:bidi="lo-LA"/>
        </w:rPr>
        <w:t xml:space="preserve">virzība uz </w:t>
      </w:r>
      <w:r>
        <w:rPr>
          <w:rFonts w:ascii="Candara" w:hAnsi="Candara"/>
          <w:lang w:bidi="lo-LA"/>
        </w:rPr>
        <w:t>RIS3 mērķu sasniegšanu ir vērtēta šo politikas plānošanas dokumentu kontekstā.</w:t>
      </w:r>
    </w:p>
    <w:p w:rsidR="00CA58DE" w:rsidRPr="00296348" w:rsidP="00296348" w14:paraId="08B57375" w14:textId="77777777">
      <w:pPr>
        <w:pStyle w:val="Heading1"/>
        <w:shd w:val="clear" w:color="auto" w:fill="6D1D6A" w:themeFill="accent1" w:themeFillShade="BF"/>
        <w:rPr>
          <w:rFonts w:ascii="Candara" w:eastAsia="Times New Roman" w:hAnsi="Candara"/>
          <w:b/>
          <w:color w:val="FFFFFF" w:themeColor="background1"/>
          <w:lang w:eastAsia="lv-LV"/>
        </w:rPr>
      </w:pPr>
      <w:bookmarkStart w:id="40" w:name="_Toc484445194"/>
      <w:bookmarkStart w:id="41" w:name="_Toc256000010"/>
      <w:bookmarkStart w:id="42" w:name="_Toc256000026"/>
      <w:r>
        <w:rPr>
          <w:rFonts w:ascii="Candara" w:eastAsia="Times New Roman" w:hAnsi="Candara"/>
          <w:b/>
          <w:color w:val="FFFFFF" w:themeColor="background1"/>
          <w:lang w:eastAsia="lv-LV"/>
        </w:rPr>
        <w:t xml:space="preserve">8. </w:t>
      </w:r>
      <w:r w:rsidRPr="00B4303E" w:rsidR="00B4303E">
        <w:rPr>
          <w:rFonts w:ascii="Candara" w:eastAsia="Times New Roman" w:hAnsi="Candara"/>
          <w:b/>
          <w:color w:val="FFFFFF" w:themeColor="background1"/>
          <w:lang w:eastAsia="lv-LV"/>
        </w:rPr>
        <w:t xml:space="preserve">POLITIKAS REZULTĀTU </w:t>
      </w:r>
      <w:r w:rsidR="00B4303E">
        <w:rPr>
          <w:rFonts w:ascii="Candara" w:eastAsia="Times New Roman" w:hAnsi="Candara"/>
          <w:b/>
          <w:color w:val="FFFFFF" w:themeColor="background1"/>
          <w:lang w:eastAsia="lv-LV"/>
        </w:rPr>
        <w:t>MĒRĶU SASNIEGŠANAS RĀDĪTĀJI</w:t>
      </w:r>
      <w:bookmarkEnd w:id="42"/>
      <w:bookmarkEnd w:id="41"/>
      <w:bookmarkEnd w:id="40"/>
    </w:p>
    <w:p w:rsidR="00636EF4" w:rsidP="008A2FD0" w14:paraId="341AFBCA" w14:textId="77777777">
      <w:pPr>
        <w:spacing w:after="0"/>
        <w:ind w:firstLine="426"/>
        <w:jc w:val="both"/>
        <w:rPr>
          <w:rFonts w:ascii="Candara" w:hAnsi="Candara"/>
          <w:lang w:bidi="lo-LA"/>
        </w:rPr>
      </w:pPr>
      <w:r w:rsidRPr="008D43FE">
        <w:rPr>
          <w:rFonts w:ascii="Candara" w:hAnsi="Candara"/>
          <w:lang w:bidi="lo-LA"/>
        </w:rPr>
        <w:t>Virzību uz RIS3 virsmērķu sasniegšanu raksturo kopējie ieguldījum</w:t>
      </w:r>
      <w:r>
        <w:rPr>
          <w:rFonts w:ascii="Candara" w:hAnsi="Candara"/>
          <w:lang w:bidi="lo-LA"/>
        </w:rPr>
        <w:t>u</w:t>
      </w:r>
      <w:r w:rsidRPr="008D43FE">
        <w:rPr>
          <w:rFonts w:ascii="Candara" w:hAnsi="Candara"/>
          <w:lang w:bidi="lo-LA"/>
        </w:rPr>
        <w:t xml:space="preserve"> P&amp;A (% no IKP)</w:t>
      </w:r>
      <w:r>
        <w:rPr>
          <w:rFonts w:ascii="Candara" w:hAnsi="Candara"/>
          <w:lang w:bidi="lo-LA"/>
        </w:rPr>
        <w:t xml:space="preserve"> pieaugums un struktūras maiņa</w:t>
      </w:r>
      <w:r w:rsidRPr="008D43FE">
        <w:rPr>
          <w:rFonts w:ascii="Candara" w:hAnsi="Candara"/>
          <w:lang w:bidi="lo-LA"/>
        </w:rPr>
        <w:t xml:space="preserve">, </w:t>
      </w:r>
      <w:r>
        <w:rPr>
          <w:rFonts w:ascii="Candara" w:hAnsi="Candara"/>
          <w:lang w:bidi="lo-LA"/>
        </w:rPr>
        <w:t xml:space="preserve">izmaiņas Latvijas </w:t>
      </w:r>
      <w:r w:rsidRPr="008D43FE">
        <w:rPr>
          <w:rFonts w:ascii="Candara" w:hAnsi="Candara"/>
          <w:lang w:bidi="lo-LA"/>
        </w:rPr>
        <w:t>pozīcij</w:t>
      </w:r>
      <w:r>
        <w:rPr>
          <w:rFonts w:ascii="Candara" w:hAnsi="Candara"/>
          <w:lang w:bidi="lo-LA"/>
        </w:rPr>
        <w:t>ā</w:t>
      </w:r>
      <w:r w:rsidRPr="008D43FE">
        <w:rPr>
          <w:rFonts w:ascii="Candara" w:hAnsi="Candara"/>
          <w:lang w:bidi="lo-LA"/>
        </w:rPr>
        <w:t xml:space="preserve"> Eiropas inovāciju rādītāju grupā un produktivitāte</w:t>
      </w:r>
      <w:r>
        <w:rPr>
          <w:rFonts w:ascii="Candara" w:hAnsi="Candara"/>
          <w:lang w:bidi="lo-LA"/>
        </w:rPr>
        <w:t>s pieaugums</w:t>
      </w:r>
      <w:r w:rsidRPr="008D43FE">
        <w:rPr>
          <w:rFonts w:ascii="Candara" w:hAnsi="Candara"/>
          <w:lang w:bidi="lo-LA"/>
        </w:rPr>
        <w:t xml:space="preserve"> apstrādes rūpniecībā. Lai gan Latvijai ir izdevies no pieticīga snieguma inovāciju rādītāju grupā pakāpties uz vidēju, tas ir noticis galvenokārt pateicoties 2007-2013.gadā veiktajiem ES fondu ieguldījumiem cilvēkresursos u</w:t>
      </w:r>
      <w:r>
        <w:rPr>
          <w:rFonts w:ascii="Candara" w:hAnsi="Candara"/>
          <w:lang w:bidi="lo-LA"/>
        </w:rPr>
        <w:t xml:space="preserve">n iekārtās Latvijas </w:t>
      </w:r>
      <w:r w:rsidRPr="00DF2882">
        <w:rPr>
          <w:rFonts w:ascii="Candara" w:hAnsi="Candara"/>
          <w:lang w:bidi="lo-LA"/>
        </w:rPr>
        <w:t>uzņēmumos</w:t>
      </w:r>
      <w:r>
        <w:rPr>
          <w:rFonts w:ascii="Candara" w:hAnsi="Candara"/>
          <w:lang w:bidi="lo-LA"/>
        </w:rPr>
        <w:t>.</w:t>
      </w:r>
    </w:p>
    <w:p w:rsidR="00D40E84" w:rsidRPr="00525E53" w:rsidP="008A2FD0" w14:paraId="0A3A3546" w14:textId="77777777">
      <w:pPr>
        <w:spacing w:after="0"/>
        <w:jc w:val="both"/>
        <w:rPr>
          <w:rFonts w:ascii="Candara" w:hAnsi="Candara"/>
          <w:sz w:val="2"/>
        </w:rPr>
      </w:pPr>
    </w:p>
    <w:p w:rsidR="00C7324C" w:rsidRPr="00D40E84" w:rsidP="00D9709D" w14:paraId="761A7D71" w14:textId="77777777">
      <w:pPr>
        <w:spacing w:after="0" w:line="240" w:lineRule="auto"/>
        <w:jc w:val="center"/>
        <w:rPr>
          <w:rFonts w:ascii="Candara" w:hAnsi="Candara"/>
          <w:b/>
        </w:rPr>
      </w:pPr>
      <w:r w:rsidRPr="00A15392">
        <w:rPr>
          <w:rFonts w:ascii="Candara" w:hAnsi="Candara"/>
          <w:b/>
        </w:rPr>
        <w:t>5.attēls. R</w:t>
      </w:r>
      <w:r w:rsidR="00D40E84">
        <w:rPr>
          <w:rFonts w:ascii="Candara" w:hAnsi="Candara"/>
          <w:b/>
        </w:rPr>
        <w:t>IS3 mērķa sasniegšanas rādītāji</w:t>
      </w:r>
    </w:p>
    <w:tbl>
      <w:tblPr>
        <w:tblW w:w="5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7"/>
        <w:gridCol w:w="3078"/>
        <w:gridCol w:w="868"/>
        <w:gridCol w:w="911"/>
        <w:gridCol w:w="1104"/>
        <w:gridCol w:w="771"/>
        <w:gridCol w:w="1413"/>
        <w:gridCol w:w="1513"/>
        <w:gridCol w:w="468"/>
      </w:tblGrid>
      <w:tr w14:paraId="3FAF8EB9" w14:textId="77777777" w:rsidTr="00525E53">
        <w:tblPrEx>
          <w:tblW w:w="5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jc w:val="center"/>
        </w:trPr>
        <w:tc>
          <w:tcPr>
            <w:tcW w:w="322" w:type="pct"/>
            <w:shd w:val="clear" w:color="auto" w:fill="6D1D6B" w:themeFill="accent1" w:themeFillShade="BF"/>
            <w:tcMar>
              <w:left w:w="57" w:type="dxa"/>
              <w:right w:w="57" w:type="dxa"/>
            </w:tcMar>
          </w:tcPr>
          <w:p w:rsidR="00C7324C" w:rsidRPr="00525E53" w:rsidP="00B86F69" w14:paraId="714B4F09" w14:textId="77777777">
            <w:pPr>
              <w:pStyle w:val="TableText"/>
              <w:spacing w:line="238" w:lineRule="auto"/>
              <w:jc w:val="center"/>
              <w:rPr>
                <w:rFonts w:ascii="Candara" w:hAnsi="Candara"/>
                <w:b/>
                <w:color w:val="FFFFFF" w:themeColor="background1"/>
                <w:spacing w:val="-8"/>
                <w:sz w:val="20"/>
                <w:szCs w:val="18"/>
                <w:lang w:bidi="lo-LA"/>
              </w:rPr>
            </w:pPr>
            <w:r w:rsidRPr="00525E53">
              <w:rPr>
                <w:rFonts w:ascii="Candara" w:hAnsi="Candara"/>
                <w:sz w:val="20"/>
              </w:rPr>
              <w:br w:type="page"/>
            </w:r>
          </w:p>
        </w:tc>
        <w:tc>
          <w:tcPr>
            <w:tcW w:w="1422" w:type="pct"/>
            <w:shd w:val="clear" w:color="auto" w:fill="6D1D6B" w:themeFill="accent1" w:themeFillShade="BF"/>
            <w:tcMar>
              <w:left w:w="57" w:type="dxa"/>
              <w:right w:w="57" w:type="dxa"/>
            </w:tcMar>
            <w:vAlign w:val="center"/>
          </w:tcPr>
          <w:p w:rsidR="00C7324C" w:rsidRPr="00214364" w:rsidP="00B86F69" w14:paraId="7123F731" w14:textId="77777777">
            <w:pPr>
              <w:pStyle w:val="TableText"/>
              <w:spacing w:line="238" w:lineRule="auto"/>
              <w:jc w:val="center"/>
              <w:rPr>
                <w:rFonts w:ascii="Candara" w:hAnsi="Candara"/>
                <w:b/>
                <w:color w:val="FFFFFF" w:themeColor="background1"/>
                <w:spacing w:val="-8"/>
                <w:sz w:val="18"/>
                <w:szCs w:val="18"/>
                <w:lang w:bidi="lo-LA"/>
              </w:rPr>
            </w:pPr>
            <w:r w:rsidRPr="00214364">
              <w:rPr>
                <w:rFonts w:ascii="Candara" w:hAnsi="Candara"/>
                <w:b/>
                <w:color w:val="FFFFFF" w:themeColor="background1"/>
                <w:spacing w:val="-8"/>
                <w:sz w:val="18"/>
                <w:szCs w:val="18"/>
                <w:lang w:bidi="lo-LA"/>
              </w:rPr>
              <w:t>Mērķa sasniegšanas rādītāji</w:t>
            </w:r>
          </w:p>
        </w:tc>
        <w:tc>
          <w:tcPr>
            <w:tcW w:w="401" w:type="pct"/>
            <w:shd w:val="clear" w:color="auto" w:fill="6D1D6B" w:themeFill="accent1" w:themeFillShade="BF"/>
            <w:tcMar>
              <w:left w:w="57" w:type="dxa"/>
              <w:right w:w="57" w:type="dxa"/>
            </w:tcMar>
            <w:vAlign w:val="center"/>
          </w:tcPr>
          <w:p w:rsidR="00C7324C" w:rsidRPr="00214364" w:rsidP="00B86F69" w14:paraId="0BCEF470" w14:textId="77777777">
            <w:pPr>
              <w:pStyle w:val="TableText"/>
              <w:spacing w:line="238" w:lineRule="auto"/>
              <w:jc w:val="center"/>
              <w:rPr>
                <w:rFonts w:ascii="Candara" w:hAnsi="Candara"/>
                <w:b/>
                <w:color w:val="FFFFFF" w:themeColor="background1"/>
                <w:spacing w:val="-8"/>
                <w:sz w:val="18"/>
                <w:szCs w:val="18"/>
              </w:rPr>
            </w:pPr>
            <w:r w:rsidRPr="00214364">
              <w:rPr>
                <w:rFonts w:ascii="Candara" w:hAnsi="Candara"/>
                <w:b/>
                <w:color w:val="FFFFFF" w:themeColor="background1"/>
                <w:spacing w:val="-8"/>
                <w:sz w:val="18"/>
                <w:szCs w:val="18"/>
              </w:rPr>
              <w:t>2010</w:t>
            </w:r>
          </w:p>
        </w:tc>
        <w:tc>
          <w:tcPr>
            <w:tcW w:w="421" w:type="pct"/>
            <w:shd w:val="clear" w:color="auto" w:fill="6D1D6B" w:themeFill="accent1" w:themeFillShade="BF"/>
            <w:tcMar>
              <w:left w:w="57" w:type="dxa"/>
              <w:right w:w="57" w:type="dxa"/>
            </w:tcMar>
            <w:vAlign w:val="center"/>
          </w:tcPr>
          <w:p w:rsidR="00C7324C" w:rsidRPr="00214364" w:rsidP="00B86F69" w14:paraId="1D8413E1" w14:textId="77777777">
            <w:pPr>
              <w:pStyle w:val="TableText"/>
              <w:spacing w:line="238" w:lineRule="auto"/>
              <w:jc w:val="center"/>
              <w:rPr>
                <w:rFonts w:ascii="Candara" w:hAnsi="Candara"/>
                <w:b/>
                <w:color w:val="FFFFFF" w:themeColor="background1"/>
                <w:spacing w:val="-8"/>
                <w:sz w:val="18"/>
                <w:szCs w:val="18"/>
              </w:rPr>
            </w:pPr>
            <w:r w:rsidRPr="00214364">
              <w:rPr>
                <w:rFonts w:ascii="Candara" w:hAnsi="Candara"/>
                <w:b/>
                <w:color w:val="FFFFFF" w:themeColor="background1"/>
                <w:spacing w:val="-8"/>
                <w:sz w:val="18"/>
                <w:szCs w:val="18"/>
              </w:rPr>
              <w:t>2013</w:t>
            </w:r>
          </w:p>
        </w:tc>
        <w:tc>
          <w:tcPr>
            <w:tcW w:w="510" w:type="pct"/>
            <w:shd w:val="clear" w:color="auto" w:fill="C00000"/>
            <w:tcMar>
              <w:left w:w="57" w:type="dxa"/>
              <w:right w:w="57" w:type="dxa"/>
            </w:tcMar>
            <w:vAlign w:val="center"/>
          </w:tcPr>
          <w:p w:rsidR="00C7324C" w:rsidRPr="00214364" w:rsidP="00B86F69" w14:paraId="6EFB5223" w14:textId="77777777">
            <w:pPr>
              <w:pStyle w:val="TableText"/>
              <w:spacing w:line="238" w:lineRule="auto"/>
              <w:jc w:val="center"/>
              <w:rPr>
                <w:rFonts w:ascii="Candara" w:hAnsi="Candara"/>
                <w:b/>
                <w:color w:val="FFFFFF" w:themeColor="background1"/>
                <w:spacing w:val="-8"/>
                <w:sz w:val="18"/>
                <w:szCs w:val="18"/>
              </w:rPr>
            </w:pPr>
            <w:r w:rsidRPr="00214364">
              <w:rPr>
                <w:rFonts w:ascii="Candara" w:hAnsi="Candara"/>
                <w:b/>
                <w:color w:val="FFFFFF" w:themeColor="background1"/>
                <w:spacing w:val="-8"/>
                <w:sz w:val="18"/>
                <w:szCs w:val="18"/>
              </w:rPr>
              <w:t>Fakts</w:t>
            </w:r>
          </w:p>
        </w:tc>
        <w:tc>
          <w:tcPr>
            <w:tcW w:w="356" w:type="pct"/>
            <w:shd w:val="clear" w:color="auto" w:fill="C00000"/>
            <w:tcMar>
              <w:left w:w="57" w:type="dxa"/>
              <w:right w:w="57" w:type="dxa"/>
            </w:tcMar>
            <w:vAlign w:val="center"/>
          </w:tcPr>
          <w:p w:rsidR="00C7324C" w:rsidRPr="00214364" w:rsidP="00B86F69" w14:paraId="3A8AF9C8" w14:textId="77777777">
            <w:pPr>
              <w:pStyle w:val="TableText"/>
              <w:spacing w:line="238" w:lineRule="auto"/>
              <w:jc w:val="center"/>
              <w:rPr>
                <w:rFonts w:ascii="Candara" w:hAnsi="Candara"/>
                <w:b/>
                <w:color w:val="FFFFFF" w:themeColor="background1"/>
                <w:spacing w:val="-8"/>
                <w:sz w:val="18"/>
                <w:szCs w:val="18"/>
              </w:rPr>
            </w:pPr>
            <w:r w:rsidRPr="00214364">
              <w:rPr>
                <w:rFonts w:ascii="Candara" w:hAnsi="Candara"/>
                <w:b/>
                <w:color w:val="FFFFFF" w:themeColor="background1"/>
                <w:spacing w:val="-8"/>
                <w:sz w:val="18"/>
                <w:szCs w:val="18"/>
              </w:rPr>
              <w:t>Progress</w:t>
            </w:r>
          </w:p>
        </w:tc>
        <w:tc>
          <w:tcPr>
            <w:tcW w:w="653" w:type="pct"/>
            <w:shd w:val="clear" w:color="auto" w:fill="6D1D6B" w:themeFill="accent1" w:themeFillShade="BF"/>
            <w:tcMar>
              <w:left w:w="57" w:type="dxa"/>
              <w:right w:w="57" w:type="dxa"/>
            </w:tcMar>
            <w:vAlign w:val="center"/>
          </w:tcPr>
          <w:p w:rsidR="00C7324C" w:rsidRPr="00214364" w:rsidP="00B86F69" w14:paraId="009D4B3F" w14:textId="77777777">
            <w:pPr>
              <w:pStyle w:val="TableText"/>
              <w:spacing w:line="238" w:lineRule="auto"/>
              <w:jc w:val="center"/>
              <w:rPr>
                <w:rFonts w:ascii="Candara" w:hAnsi="Candara"/>
                <w:b/>
                <w:color w:val="FFFFFF" w:themeColor="background1"/>
                <w:spacing w:val="-8"/>
                <w:sz w:val="18"/>
                <w:szCs w:val="18"/>
              </w:rPr>
            </w:pPr>
            <w:r w:rsidRPr="00214364">
              <w:rPr>
                <w:rFonts w:ascii="Candara" w:hAnsi="Candara"/>
                <w:b/>
                <w:color w:val="FFFFFF" w:themeColor="background1"/>
                <w:spacing w:val="-8"/>
                <w:sz w:val="18"/>
                <w:szCs w:val="18"/>
              </w:rPr>
              <w:t>2020</w:t>
            </w:r>
          </w:p>
        </w:tc>
        <w:tc>
          <w:tcPr>
            <w:tcW w:w="699" w:type="pct"/>
            <w:shd w:val="clear" w:color="auto" w:fill="6D1D6B" w:themeFill="accent1" w:themeFillShade="BF"/>
            <w:tcMar>
              <w:left w:w="57" w:type="dxa"/>
              <w:right w:w="57" w:type="dxa"/>
            </w:tcMar>
          </w:tcPr>
          <w:p w:rsidR="00C7324C" w:rsidRPr="00214364" w:rsidP="00B86F69" w14:paraId="2D5C5E58" w14:textId="77777777">
            <w:pPr>
              <w:pStyle w:val="TableText"/>
              <w:spacing w:line="238" w:lineRule="auto"/>
              <w:jc w:val="center"/>
              <w:rPr>
                <w:rFonts w:ascii="Candara" w:hAnsi="Candara"/>
                <w:b/>
                <w:color w:val="FFFFFF" w:themeColor="background1"/>
                <w:spacing w:val="-8"/>
                <w:sz w:val="18"/>
                <w:szCs w:val="18"/>
              </w:rPr>
            </w:pPr>
            <w:r w:rsidRPr="00214364">
              <w:rPr>
                <w:rFonts w:ascii="Candara" w:hAnsi="Candara"/>
                <w:b/>
                <w:color w:val="FFFFFF" w:themeColor="background1"/>
                <w:spacing w:val="-8"/>
                <w:sz w:val="18"/>
                <w:szCs w:val="18"/>
              </w:rPr>
              <w:t>Politikas plānošanas dokuments</w:t>
            </w:r>
          </w:p>
        </w:tc>
        <w:tc>
          <w:tcPr>
            <w:tcW w:w="216" w:type="pct"/>
            <w:shd w:val="clear" w:color="auto" w:fill="6D1D6B" w:themeFill="accent1" w:themeFillShade="BF"/>
          </w:tcPr>
          <w:p w:rsidR="00C7324C" w:rsidRPr="00214364" w:rsidP="00B86F69" w14:paraId="4B9C211F" w14:textId="77777777">
            <w:pPr>
              <w:pStyle w:val="TableText"/>
              <w:spacing w:line="238" w:lineRule="auto"/>
              <w:jc w:val="center"/>
              <w:rPr>
                <w:rFonts w:ascii="Candara" w:hAnsi="Candara"/>
                <w:b/>
                <w:color w:val="FFFFFF" w:themeColor="background1"/>
                <w:spacing w:val="-8"/>
                <w:sz w:val="18"/>
                <w:szCs w:val="18"/>
              </w:rPr>
            </w:pPr>
          </w:p>
        </w:tc>
      </w:tr>
      <w:tr w14:paraId="45F08C16" w14:textId="77777777" w:rsidTr="00525E53">
        <w:tblPrEx>
          <w:tblW w:w="5459" w:type="pct"/>
          <w:jc w:val="center"/>
          <w:tblLayout w:type="fixed"/>
          <w:tblLook w:val="00A0"/>
        </w:tblPrEx>
        <w:trPr>
          <w:jc w:val="center"/>
        </w:trPr>
        <w:tc>
          <w:tcPr>
            <w:tcW w:w="322" w:type="pct"/>
            <w:tcMar>
              <w:left w:w="57" w:type="dxa"/>
              <w:right w:w="57" w:type="dxa"/>
            </w:tcMar>
          </w:tcPr>
          <w:p w:rsidR="00852583" w:rsidRPr="00525E53" w:rsidP="00B86F69" w14:paraId="4D0312F1" w14:textId="77777777">
            <w:pPr>
              <w:pStyle w:val="TableText"/>
              <w:spacing w:line="238" w:lineRule="auto"/>
              <w:jc w:val="left"/>
              <w:rPr>
                <w:rFonts w:ascii="Candara" w:hAnsi="Candara"/>
                <w:color w:val="000000" w:themeColor="text1"/>
                <w:spacing w:val="-8"/>
                <w:sz w:val="20"/>
                <w:szCs w:val="18"/>
              </w:rPr>
            </w:pPr>
          </w:p>
        </w:tc>
        <w:tc>
          <w:tcPr>
            <w:tcW w:w="1422" w:type="pct"/>
            <w:tcMar>
              <w:left w:w="57" w:type="dxa"/>
              <w:right w:w="57" w:type="dxa"/>
            </w:tcMar>
            <w:vAlign w:val="center"/>
          </w:tcPr>
          <w:p w:rsidR="00852583" w:rsidRPr="00214364" w:rsidP="00B86F69" w14:paraId="09FA8930"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 xml:space="preserve">Eiropas inovāciju rādītāju grupa </w:t>
            </w:r>
            <w:r w:rsidRPr="00214364">
              <w:rPr>
                <w:rFonts w:ascii="Candara" w:hAnsi="Candara"/>
                <w:color w:val="000000" w:themeColor="text1"/>
                <w:spacing w:val="-8"/>
                <w:sz w:val="18"/>
                <w:szCs w:val="18"/>
              </w:rPr>
              <w:br/>
            </w:r>
            <w:r w:rsidRPr="00214364">
              <w:rPr>
                <w:rFonts w:ascii="Candara" w:hAnsi="Candara"/>
                <w:spacing w:val="-8"/>
                <w:sz w:val="18"/>
                <w:szCs w:val="18"/>
              </w:rPr>
              <w:t>(EIS pozīcija)</w:t>
            </w:r>
          </w:p>
        </w:tc>
        <w:tc>
          <w:tcPr>
            <w:tcW w:w="401" w:type="pct"/>
            <w:tcMar>
              <w:left w:w="57" w:type="dxa"/>
              <w:right w:w="57" w:type="dxa"/>
            </w:tcMar>
            <w:vAlign w:val="center"/>
          </w:tcPr>
          <w:p w:rsidR="00852583" w:rsidRPr="00214364" w:rsidP="00B86F69" w14:paraId="6B6D9D8C"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„modest”</w:t>
            </w:r>
          </w:p>
        </w:tc>
        <w:tc>
          <w:tcPr>
            <w:tcW w:w="421" w:type="pct"/>
            <w:tcMar>
              <w:left w:w="57" w:type="dxa"/>
              <w:right w:w="57" w:type="dxa"/>
            </w:tcMar>
            <w:vAlign w:val="center"/>
          </w:tcPr>
          <w:p w:rsidR="00852583" w:rsidRPr="00214364" w:rsidP="00B86F69" w14:paraId="6741FD04"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„modest”</w:t>
            </w:r>
          </w:p>
        </w:tc>
        <w:tc>
          <w:tcPr>
            <w:tcW w:w="510" w:type="pct"/>
            <w:shd w:val="clear" w:color="auto" w:fill="D9D9D9" w:themeFill="background1" w:themeFillShade="D9"/>
            <w:tcMar>
              <w:left w:w="57" w:type="dxa"/>
              <w:right w:w="57" w:type="dxa"/>
            </w:tcMar>
            <w:vAlign w:val="center"/>
          </w:tcPr>
          <w:p w:rsidR="00852583" w:rsidRPr="00214364" w:rsidP="00B86F69" w14:paraId="699477B7"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„moderate” (2016)</w:t>
            </w:r>
          </w:p>
        </w:tc>
        <w:tc>
          <w:tcPr>
            <w:tcW w:w="356" w:type="pct"/>
            <w:shd w:val="clear" w:color="auto" w:fill="D9D9D9" w:themeFill="background1" w:themeFillShade="D9"/>
            <w:tcMar>
              <w:left w:w="57" w:type="dxa"/>
              <w:right w:w="57" w:type="dxa"/>
            </w:tcMar>
            <w:vAlign w:val="center"/>
          </w:tcPr>
          <w:p w:rsidR="00852583" w:rsidRPr="00525E53" w:rsidP="00B86F69" w14:paraId="7FC18B95" w14:textId="77777777">
            <w:pPr>
              <w:pStyle w:val="TableText"/>
              <w:spacing w:line="238" w:lineRule="auto"/>
              <w:jc w:val="center"/>
              <w:rPr>
                <w:rFonts w:ascii="Candara" w:hAnsi="Candara"/>
                <w:color w:val="000000" w:themeColor="text1"/>
                <w:spacing w:val="-8"/>
                <w:szCs w:val="18"/>
              </w:rPr>
            </w:pPr>
            <w:r w:rsidRPr="00525E53">
              <w:rPr>
                <w:rFonts w:ascii="Wingdings 3" w:hAnsi="Wingdings 3"/>
                <w:color w:val="463F90" w:themeColor="accent4" w:themeShade="BF"/>
                <w:spacing w:val="-8"/>
                <w:szCs w:val="18"/>
              </w:rPr>
              <w:sym w:font="Wingdings 3" w:char="F084"/>
            </w:r>
          </w:p>
        </w:tc>
        <w:tc>
          <w:tcPr>
            <w:tcW w:w="653" w:type="pct"/>
            <w:tcMar>
              <w:left w:w="57" w:type="dxa"/>
              <w:right w:w="57" w:type="dxa"/>
            </w:tcMar>
            <w:vAlign w:val="center"/>
          </w:tcPr>
          <w:p w:rsidR="00852583" w:rsidRPr="00214364" w:rsidP="00B86F69" w14:paraId="3F14C6BE"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„moderate”</w:t>
            </w:r>
          </w:p>
        </w:tc>
        <w:tc>
          <w:tcPr>
            <w:tcW w:w="699" w:type="pct"/>
            <w:tcMar>
              <w:left w:w="57" w:type="dxa"/>
              <w:right w:w="57" w:type="dxa"/>
            </w:tcMar>
            <w:vAlign w:val="center"/>
          </w:tcPr>
          <w:p w:rsidR="00852583" w:rsidRPr="00214364" w:rsidP="00B86F69" w14:paraId="1B194B5B" w14:textId="77777777">
            <w:pPr>
              <w:pStyle w:val="TableText"/>
              <w:spacing w:line="238" w:lineRule="auto"/>
              <w:ind w:right="-110"/>
              <w:jc w:val="center"/>
              <w:rPr>
                <w:rFonts w:ascii="Candara" w:hAnsi="Candara"/>
                <w:color w:val="000000" w:themeColor="text1"/>
                <w:spacing w:val="-8"/>
                <w:sz w:val="18"/>
                <w:szCs w:val="20"/>
              </w:rPr>
            </w:pPr>
            <w:r w:rsidRPr="00214364">
              <w:rPr>
                <w:rFonts w:ascii="Candara" w:hAnsi="Candara"/>
                <w:sz w:val="18"/>
                <w:szCs w:val="20"/>
              </w:rPr>
              <w:t>ZTAI</w:t>
            </w:r>
            <w:r w:rsidR="00E33F68">
              <w:rPr>
                <w:rFonts w:ascii="Candara" w:hAnsi="Candara"/>
                <w:sz w:val="18"/>
                <w:szCs w:val="20"/>
              </w:rPr>
              <w:t>P</w:t>
            </w:r>
            <w:r>
              <w:rPr>
                <w:rStyle w:val="FootnoteReference"/>
                <w:rFonts w:ascii="Candara" w:hAnsi="Candara"/>
                <w:sz w:val="18"/>
                <w:szCs w:val="20"/>
              </w:rPr>
              <w:footnoteReference w:id="10"/>
            </w:r>
          </w:p>
        </w:tc>
        <w:tc>
          <w:tcPr>
            <w:tcW w:w="216" w:type="pct"/>
            <w:vMerge w:val="restart"/>
            <w:textDirection w:val="btLr"/>
            <w:vAlign w:val="center"/>
          </w:tcPr>
          <w:p w:rsidR="00852583" w:rsidRPr="00214364" w:rsidP="00B86F69" w14:paraId="346C9DDA" w14:textId="77777777">
            <w:pPr>
              <w:pStyle w:val="TableText"/>
              <w:spacing w:line="238" w:lineRule="auto"/>
              <w:ind w:left="113" w:right="113"/>
              <w:jc w:val="center"/>
              <w:rPr>
                <w:rFonts w:ascii="Candara" w:hAnsi="Candara"/>
                <w:sz w:val="18"/>
                <w:szCs w:val="20"/>
              </w:rPr>
            </w:pPr>
            <w:r w:rsidRPr="00214364">
              <w:rPr>
                <w:rFonts w:ascii="Candara" w:hAnsi="Candara"/>
                <w:sz w:val="18"/>
                <w:szCs w:val="20"/>
              </w:rPr>
              <w:t>RIS3 virsmērķi</w:t>
            </w:r>
          </w:p>
        </w:tc>
      </w:tr>
      <w:tr w14:paraId="56AAB367"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852583" w:rsidRPr="00525E53" w:rsidP="00B86F69" w14:paraId="383B044E" w14:textId="77777777">
            <w:pPr>
              <w:pStyle w:val="TableText"/>
              <w:spacing w:line="238" w:lineRule="auto"/>
              <w:jc w:val="left"/>
              <w:rPr>
                <w:rFonts w:ascii="Candara" w:hAnsi="Candara"/>
                <w:color w:val="000000" w:themeColor="text1"/>
                <w:spacing w:val="-8"/>
                <w:sz w:val="20"/>
                <w:szCs w:val="18"/>
              </w:rPr>
            </w:pP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4B20F5C8" w14:textId="77777777">
            <w:pPr>
              <w:pStyle w:val="TableText"/>
              <w:spacing w:line="238" w:lineRule="auto"/>
              <w:jc w:val="left"/>
              <w:rPr>
                <w:rFonts w:ascii="Candara" w:hAnsi="Candara"/>
                <w:color w:val="000000" w:themeColor="text1"/>
                <w:spacing w:val="-8"/>
                <w:sz w:val="18"/>
                <w:szCs w:val="18"/>
              </w:rPr>
            </w:pPr>
            <w:r w:rsidRPr="00214364">
              <w:rPr>
                <w:rFonts w:ascii="Candara" w:hAnsi="Candara"/>
                <w:spacing w:val="-8"/>
                <w:sz w:val="18"/>
                <w:szCs w:val="18"/>
                <w:lang w:bidi="lo-LA"/>
              </w:rPr>
              <w:t>Ieguldījumi pētniecībā un attīstībā 2020.gadā sasniedz 1,5% no IKP</w:t>
            </w:r>
            <w:r w:rsidRPr="00214364" w:rsidR="0014008B">
              <w:rPr>
                <w:rFonts w:ascii="Candara" w:hAnsi="Candara"/>
                <w:spacing w:val="-8"/>
                <w:sz w:val="18"/>
                <w:szCs w:val="18"/>
                <w:lang w:bidi="lo-LA"/>
              </w:rPr>
              <w:t xml:space="preserve"> (%)</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4A81E481"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0,6</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7428037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0,6</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214364" w:rsidP="00B86F69" w14:paraId="3E1943C5"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0,</w:t>
            </w:r>
            <w:r w:rsidR="00946865">
              <w:rPr>
                <w:rFonts w:ascii="Candara" w:hAnsi="Candara"/>
                <w:color w:val="000000" w:themeColor="text1"/>
                <w:spacing w:val="-8"/>
                <w:sz w:val="18"/>
                <w:szCs w:val="18"/>
              </w:rPr>
              <w:t>44</w:t>
            </w:r>
          </w:p>
          <w:p w:rsidR="00852583" w:rsidRPr="00214364" w:rsidP="00946865" w14:paraId="6A49B31B"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w:t>
            </w:r>
            <w:r w:rsidRPr="00214364" w:rsidR="00946865">
              <w:rPr>
                <w:rFonts w:ascii="Candara" w:hAnsi="Candara"/>
                <w:color w:val="000000" w:themeColor="text1"/>
                <w:spacing w:val="-8"/>
                <w:sz w:val="18"/>
                <w:szCs w:val="18"/>
              </w:rPr>
              <w:t>201</w:t>
            </w:r>
            <w:r w:rsidR="00946865">
              <w:rPr>
                <w:rFonts w:ascii="Candara" w:hAnsi="Candara"/>
                <w:color w:val="000000" w:themeColor="text1"/>
                <w:spacing w:val="-8"/>
                <w:sz w:val="18"/>
                <w:szCs w:val="18"/>
              </w:rPr>
              <w:t>6</w:t>
            </w:r>
            <w:r w:rsidRPr="00214364">
              <w:rPr>
                <w:rFonts w:ascii="Candara" w:hAnsi="Candara"/>
                <w:color w:val="000000" w:themeColor="text1"/>
                <w:spacing w:val="-8"/>
                <w:sz w:val="18"/>
                <w:szCs w:val="18"/>
              </w:rPr>
              <w:t>)</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525E53" w:rsidP="00B86F69" w14:paraId="28690B25"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C00000"/>
                <w:spacing w:val="-8"/>
                <w:szCs w:val="18"/>
              </w:rPr>
              <w:sym w:font="Wingdings 3" w:char="F082"/>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60DD5957"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1,5</w:t>
            </w:r>
          </w:p>
        </w:tc>
        <w:tc>
          <w:tcPr>
            <w:tcW w:w="699" w:type="pct"/>
            <w:tcBorders>
              <w:top w:val="single" w:sz="4" w:space="0" w:color="auto"/>
              <w:left w:val="single" w:sz="4" w:space="0" w:color="auto"/>
              <w:bottom w:val="single" w:sz="4" w:space="0" w:color="auto"/>
            </w:tcBorders>
            <w:tcMar>
              <w:left w:w="57" w:type="dxa"/>
              <w:right w:w="57" w:type="dxa"/>
            </w:tcMar>
            <w:vAlign w:val="center"/>
          </w:tcPr>
          <w:p w:rsidR="00852583" w:rsidRPr="00214364" w:rsidP="00B86F69" w14:paraId="26B942B6"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E33F68">
              <w:rPr>
                <w:rFonts w:ascii="Candara" w:hAnsi="Candara"/>
                <w:sz w:val="18"/>
                <w:szCs w:val="20"/>
              </w:rPr>
              <w:t>P</w:t>
            </w:r>
            <w:r w:rsidRPr="00214364">
              <w:rPr>
                <w:rFonts w:ascii="Candara" w:hAnsi="Candara"/>
                <w:sz w:val="18"/>
                <w:szCs w:val="20"/>
              </w:rPr>
              <w:t>, NIP, NRP</w:t>
            </w:r>
          </w:p>
        </w:tc>
        <w:tc>
          <w:tcPr>
            <w:tcW w:w="216" w:type="pct"/>
            <w:vMerge/>
          </w:tcPr>
          <w:p w:rsidR="00852583" w:rsidRPr="00214364" w:rsidP="00B86F69" w14:paraId="2C410D5F" w14:textId="77777777">
            <w:pPr>
              <w:pStyle w:val="TableText"/>
              <w:spacing w:line="238" w:lineRule="auto"/>
              <w:ind w:right="-110"/>
              <w:jc w:val="center"/>
              <w:rPr>
                <w:rFonts w:ascii="Candara" w:hAnsi="Candara"/>
                <w:sz w:val="18"/>
                <w:szCs w:val="20"/>
              </w:rPr>
            </w:pPr>
          </w:p>
        </w:tc>
      </w:tr>
      <w:tr w14:paraId="08C420AB"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852583" w:rsidRPr="00525E53" w:rsidP="00B86F69" w14:paraId="6DB1519A" w14:textId="77777777">
            <w:pPr>
              <w:pStyle w:val="TableText"/>
              <w:spacing w:line="238" w:lineRule="auto"/>
              <w:jc w:val="left"/>
              <w:rPr>
                <w:rFonts w:ascii="Candara" w:hAnsi="Candara"/>
                <w:color w:val="000000" w:themeColor="text1"/>
                <w:spacing w:val="-8"/>
                <w:sz w:val="20"/>
                <w:szCs w:val="18"/>
              </w:rPr>
            </w:pP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tcPr>
          <w:p w:rsidR="00852583" w:rsidRPr="00214364" w:rsidP="00B86F69" w14:paraId="46948352" w14:textId="77777777">
            <w:pPr>
              <w:spacing w:after="0" w:line="238" w:lineRule="auto"/>
              <w:rPr>
                <w:rFonts w:ascii="Candara" w:eastAsia="Times New Roman" w:hAnsi="Candara" w:cs="Times New Roman"/>
                <w:bCs/>
                <w:iCs/>
                <w:noProof/>
                <w:color w:val="000000" w:themeColor="text1"/>
                <w:spacing w:val="-8"/>
                <w:sz w:val="18"/>
                <w:szCs w:val="20"/>
                <w:lang w:eastAsia="lv-LV" w:bidi="lo-LA"/>
              </w:rPr>
            </w:pPr>
            <w:r w:rsidRPr="00214364">
              <w:rPr>
                <w:rFonts w:ascii="Candara" w:eastAsia="Times New Roman" w:hAnsi="Candara" w:cs="Times New Roman"/>
                <w:bCs/>
                <w:iCs/>
                <w:noProof/>
                <w:color w:val="000000" w:themeColor="text1"/>
                <w:spacing w:val="-8"/>
                <w:sz w:val="18"/>
                <w:szCs w:val="20"/>
                <w:lang w:eastAsia="lv-LV" w:bidi="lo-LA"/>
              </w:rPr>
              <w:t>Produktivitāte apstrādes rūpniecībā (EUR uz 1 strādājošo)</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4A7EBCBA" w14:textId="77777777">
            <w:pPr>
              <w:spacing w:after="0" w:line="238" w:lineRule="auto"/>
              <w:jc w:val="center"/>
              <w:rPr>
                <w:rFonts w:ascii="Candara" w:eastAsia="Times New Roman" w:hAnsi="Candara" w:cs="Times New Roman"/>
                <w:bCs/>
                <w:iCs/>
                <w:noProof/>
                <w:color w:val="000000" w:themeColor="text1"/>
                <w:spacing w:val="-8"/>
                <w:sz w:val="18"/>
                <w:szCs w:val="20"/>
                <w:lang w:eastAsia="lv-LV" w:bidi="lo-LA"/>
              </w:rPr>
            </w:pPr>
            <w:r w:rsidRPr="00214364">
              <w:rPr>
                <w:rFonts w:ascii="Candara" w:eastAsia="Times New Roman" w:hAnsi="Candara" w:cs="Times New Roman"/>
                <w:bCs/>
                <w:iCs/>
                <w:noProof/>
                <w:color w:val="000000" w:themeColor="text1"/>
                <w:spacing w:val="-8"/>
                <w:sz w:val="18"/>
                <w:szCs w:val="20"/>
                <w:lang w:eastAsia="lv-LV" w:bidi="lo-LA"/>
              </w:rPr>
              <w:t>18,5</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7B1B0089" w14:textId="77777777">
            <w:pPr>
              <w:spacing w:after="0" w:line="238" w:lineRule="auto"/>
              <w:jc w:val="center"/>
              <w:rPr>
                <w:rFonts w:ascii="Candara" w:eastAsia="Times New Roman" w:hAnsi="Candara" w:cs="Times New Roman"/>
                <w:bCs/>
                <w:iCs/>
                <w:noProof/>
                <w:color w:val="000000" w:themeColor="text1"/>
                <w:spacing w:val="-8"/>
                <w:sz w:val="18"/>
                <w:szCs w:val="20"/>
                <w:lang w:eastAsia="lv-LV" w:bidi="lo-LA"/>
              </w:rPr>
            </w:pPr>
            <w:r w:rsidRPr="00214364">
              <w:rPr>
                <w:rFonts w:ascii="Candara" w:eastAsia="Times New Roman" w:hAnsi="Candara" w:cs="Times New Roman"/>
                <w:bCs/>
                <w:iCs/>
                <w:noProof/>
                <w:color w:val="000000" w:themeColor="text1"/>
                <w:spacing w:val="-8"/>
                <w:sz w:val="18"/>
                <w:szCs w:val="20"/>
                <w:lang w:eastAsia="lv-LV" w:bidi="lo-LA"/>
              </w:rPr>
              <w:t>20,3</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214364" w:rsidP="00B86F69" w14:paraId="55F08739" w14:textId="77777777">
            <w:pPr>
              <w:spacing w:after="0" w:line="238" w:lineRule="auto"/>
              <w:jc w:val="center"/>
              <w:rPr>
                <w:rFonts w:ascii="Candara" w:eastAsia="Times New Roman" w:hAnsi="Candara" w:cs="Times New Roman"/>
                <w:bCs/>
                <w:iCs/>
                <w:noProof/>
                <w:color w:val="000000" w:themeColor="text1"/>
                <w:spacing w:val="-8"/>
                <w:sz w:val="18"/>
                <w:szCs w:val="20"/>
                <w:lang w:eastAsia="lv-LV" w:bidi="lo-LA"/>
              </w:rPr>
            </w:pPr>
            <w:r w:rsidRPr="00214364">
              <w:rPr>
                <w:rFonts w:ascii="Candara" w:eastAsia="Times New Roman" w:hAnsi="Candara" w:cs="Times New Roman"/>
                <w:bCs/>
                <w:iCs/>
                <w:noProof/>
                <w:color w:val="000000" w:themeColor="text1"/>
                <w:spacing w:val="-8"/>
                <w:sz w:val="18"/>
                <w:szCs w:val="20"/>
                <w:lang w:eastAsia="lv-LV" w:bidi="lo-LA"/>
              </w:rPr>
              <w:t>23,6</w:t>
            </w:r>
          </w:p>
          <w:p w:rsidR="00852583" w:rsidRPr="00214364" w:rsidP="00B86F69" w14:paraId="07806E80"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20"/>
                <w:lang w:bidi="lo-LA"/>
              </w:rPr>
              <w:t>(2016)</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525E53" w:rsidP="00B86F69" w14:paraId="651BE157" w14:textId="77777777">
            <w:pPr>
              <w:pStyle w:val="TableText"/>
              <w:spacing w:line="238" w:lineRule="auto"/>
              <w:jc w:val="center"/>
              <w:rPr>
                <w:rFonts w:ascii="Candara" w:hAnsi="Candara"/>
                <w:color w:val="C00000"/>
                <w:spacing w:val="-8"/>
                <w:szCs w:val="18"/>
              </w:rPr>
            </w:pPr>
            <w:r w:rsidRPr="00525E53">
              <w:rPr>
                <w:rFonts w:ascii="Wingdings 3" w:hAnsi="Wingdings 3"/>
                <w:color w:val="463F90" w:themeColor="accent4" w:themeShade="BF"/>
                <w:spacing w:val="-8"/>
                <w:szCs w:val="18"/>
              </w:rPr>
              <w:sym w:font="Wingdings 3" w:char="F084"/>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79A0B35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20"/>
                <w:lang w:bidi="lo-LA"/>
              </w:rPr>
              <w:t>29 000</w:t>
            </w:r>
          </w:p>
        </w:tc>
        <w:tc>
          <w:tcPr>
            <w:tcW w:w="699" w:type="pct"/>
            <w:tcBorders>
              <w:top w:val="single" w:sz="4" w:space="0" w:color="auto"/>
              <w:left w:val="single" w:sz="4" w:space="0" w:color="auto"/>
              <w:bottom w:val="single" w:sz="4" w:space="0" w:color="auto"/>
            </w:tcBorders>
            <w:tcMar>
              <w:left w:w="57" w:type="dxa"/>
              <w:right w:w="57" w:type="dxa"/>
            </w:tcMar>
            <w:vAlign w:val="center"/>
          </w:tcPr>
          <w:p w:rsidR="00852583" w:rsidRPr="00214364" w:rsidP="00B86F69" w14:paraId="250C667F" w14:textId="77777777">
            <w:pPr>
              <w:pStyle w:val="TableText"/>
              <w:spacing w:line="238" w:lineRule="auto"/>
              <w:ind w:right="-110"/>
              <w:jc w:val="center"/>
              <w:rPr>
                <w:rFonts w:ascii="Candara" w:hAnsi="Candara"/>
                <w:sz w:val="18"/>
                <w:szCs w:val="20"/>
              </w:rPr>
            </w:pPr>
          </w:p>
        </w:tc>
        <w:tc>
          <w:tcPr>
            <w:tcW w:w="216" w:type="pct"/>
            <w:vMerge/>
            <w:tcBorders>
              <w:bottom w:val="single" w:sz="4" w:space="0" w:color="auto"/>
            </w:tcBorders>
          </w:tcPr>
          <w:p w:rsidR="00852583" w:rsidRPr="00214364" w:rsidP="00B86F69" w14:paraId="67C4ECFA" w14:textId="77777777">
            <w:pPr>
              <w:pStyle w:val="TableText"/>
              <w:spacing w:line="238" w:lineRule="auto"/>
              <w:ind w:right="-110"/>
              <w:jc w:val="center"/>
              <w:rPr>
                <w:rFonts w:ascii="Candara" w:hAnsi="Candara"/>
                <w:sz w:val="18"/>
                <w:szCs w:val="20"/>
              </w:rPr>
            </w:pPr>
          </w:p>
        </w:tc>
      </w:tr>
      <w:tr w14:paraId="1546B1BD"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9BB3E9" w:themeFill="accent6" w:themeFillTint="99"/>
            <w:tcMar>
              <w:left w:w="57" w:type="dxa"/>
              <w:right w:w="57" w:type="dxa"/>
            </w:tcMar>
          </w:tcPr>
          <w:p w:rsidR="00852583" w:rsidRPr="00525E53" w:rsidP="00B86F69" w14:paraId="6725FE89"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IV</w:t>
            </w:r>
            <w:r w:rsidRPr="00525E53">
              <w:rPr>
                <w:rFonts w:ascii="Candara" w:hAnsi="Candara"/>
                <w:color w:val="000000" w:themeColor="text1"/>
                <w:spacing w:val="-8"/>
                <w:sz w:val="20"/>
                <w:szCs w:val="18"/>
                <w:vertAlign w:val="subscript"/>
              </w:rPr>
              <w:t>1</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37A2B360"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Zinātnisko darbinieku skaits pētniecībā un attīstībā</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77C8290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5563</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54DB4331"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5593</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214364" w:rsidP="00B86F69" w14:paraId="7AAD91A1"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5</w:t>
            </w:r>
            <w:r>
              <w:rPr>
                <w:rFonts w:ascii="Candara" w:hAnsi="Candara"/>
                <w:color w:val="000000" w:themeColor="text1"/>
                <w:spacing w:val="-8"/>
                <w:sz w:val="18"/>
                <w:szCs w:val="18"/>
              </w:rPr>
              <w:t>120</w:t>
            </w:r>
          </w:p>
          <w:p w:rsidR="00852583" w:rsidRPr="00214364" w:rsidP="00946865" w14:paraId="6FB8BDBA"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w:t>
            </w:r>
            <w:r w:rsidRPr="00214364" w:rsidR="00946865">
              <w:rPr>
                <w:rFonts w:ascii="Candara" w:hAnsi="Candara"/>
                <w:color w:val="000000" w:themeColor="text1"/>
                <w:spacing w:val="-8"/>
                <w:sz w:val="18"/>
                <w:szCs w:val="18"/>
              </w:rPr>
              <w:t>201</w:t>
            </w:r>
            <w:r w:rsidR="00946865">
              <w:rPr>
                <w:rFonts w:ascii="Candara" w:hAnsi="Candara"/>
                <w:color w:val="000000" w:themeColor="text1"/>
                <w:spacing w:val="-8"/>
                <w:sz w:val="18"/>
                <w:szCs w:val="18"/>
              </w:rPr>
              <w:t>6</w:t>
            </w:r>
            <w:r w:rsidRPr="00214364">
              <w:rPr>
                <w:rFonts w:ascii="Candara" w:hAnsi="Candara"/>
                <w:color w:val="000000" w:themeColor="text1"/>
                <w:spacing w:val="-8"/>
                <w:sz w:val="18"/>
                <w:szCs w:val="18"/>
              </w:rPr>
              <w:t>)</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525E53" w:rsidP="00B86F69" w14:paraId="1D538CAC"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C00000"/>
                <w:spacing w:val="-8"/>
                <w:szCs w:val="18"/>
              </w:rPr>
              <w:sym w:font="Wingdings 3" w:char="F082"/>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29485EF4"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7000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586F8085"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E33F68">
              <w:rPr>
                <w:rFonts w:ascii="Candara" w:hAnsi="Candara"/>
                <w:sz w:val="18"/>
                <w:szCs w:val="20"/>
              </w:rPr>
              <w:t>P</w:t>
            </w:r>
          </w:p>
        </w:tc>
        <w:tc>
          <w:tcPr>
            <w:tcW w:w="216" w:type="pct"/>
            <w:vMerge w:val="restart"/>
            <w:tcBorders>
              <w:top w:val="single" w:sz="4" w:space="0" w:color="auto"/>
              <w:left w:val="single" w:sz="4" w:space="0" w:color="auto"/>
              <w:right w:val="single" w:sz="4" w:space="0" w:color="auto"/>
            </w:tcBorders>
            <w:textDirection w:val="btLr"/>
            <w:vAlign w:val="center"/>
          </w:tcPr>
          <w:p w:rsidR="00852583" w:rsidRPr="00214364" w:rsidP="00B86F69" w14:paraId="48A24BE7" w14:textId="77777777">
            <w:pPr>
              <w:pStyle w:val="TableText"/>
              <w:spacing w:line="238" w:lineRule="auto"/>
              <w:ind w:left="113" w:right="-110"/>
              <w:jc w:val="center"/>
              <w:rPr>
                <w:rFonts w:ascii="Candara" w:hAnsi="Candara"/>
                <w:sz w:val="18"/>
                <w:szCs w:val="20"/>
              </w:rPr>
            </w:pPr>
            <w:r w:rsidRPr="00214364">
              <w:rPr>
                <w:rFonts w:ascii="Candara" w:hAnsi="Candara"/>
                <w:sz w:val="18"/>
                <w:szCs w:val="20"/>
              </w:rPr>
              <w:t>Valdības politikas tiešā un netiešā ietekme</w:t>
            </w:r>
          </w:p>
        </w:tc>
      </w:tr>
      <w:tr w14:paraId="6186A0AA"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BCCCF0" w:themeFill="accent6" w:themeFillTint="66"/>
            <w:tcMar>
              <w:left w:w="57" w:type="dxa"/>
              <w:right w:w="57" w:type="dxa"/>
            </w:tcMar>
          </w:tcPr>
          <w:p w:rsidR="00852583" w:rsidRPr="00525E53" w:rsidP="00B86F69" w14:paraId="541D6AD0"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IV</w:t>
            </w:r>
            <w:r w:rsidRPr="00525E53">
              <w:rPr>
                <w:rFonts w:ascii="Candara" w:hAnsi="Candara"/>
                <w:color w:val="000000" w:themeColor="text1"/>
                <w:spacing w:val="-8"/>
                <w:sz w:val="20"/>
                <w:szCs w:val="18"/>
                <w:vertAlign w:val="subscript"/>
              </w:rPr>
              <w:t>2</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07978E86"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Grādu vai kvalifikāciju ieguvušo studentu skaits augstskolās un koledžās (tūkst. cilv.)</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5C435FCD"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26,5</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1FBF335C"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23,9</w:t>
            </w:r>
          </w:p>
          <w:p w:rsidR="00852583" w:rsidRPr="00214364" w:rsidP="00B86F69" w14:paraId="05221BE1"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(2014)</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214364" w:rsidP="00B86F69" w14:paraId="089436D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15,8</w:t>
            </w:r>
          </w:p>
          <w:p w:rsidR="00852583" w:rsidRPr="00214364" w:rsidP="00B86F69" w14:paraId="3908C77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(2016)</w:t>
            </w:r>
          </w:p>
        </w:tc>
        <w:tc>
          <w:tcPr>
            <w:tcW w:w="356" w:type="pct"/>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tcPr>
          <w:p w:rsidR="00852583" w:rsidRPr="00525E53" w:rsidP="00B86F69" w14:paraId="20D93FFB"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C00000"/>
                <w:spacing w:val="-8"/>
                <w:szCs w:val="18"/>
              </w:rPr>
              <w:sym w:font="Wingdings 3" w:char="F082"/>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49783D8D"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24,6</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24DE1AFF"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tcBorders>
              <w:left w:val="single" w:sz="4" w:space="0" w:color="auto"/>
              <w:right w:val="single" w:sz="4" w:space="0" w:color="auto"/>
            </w:tcBorders>
          </w:tcPr>
          <w:p w:rsidR="00852583" w:rsidRPr="00214364" w:rsidP="00B86F69" w14:paraId="77BE7B21" w14:textId="77777777">
            <w:pPr>
              <w:pStyle w:val="TableText"/>
              <w:spacing w:line="238" w:lineRule="auto"/>
              <w:ind w:right="-110"/>
              <w:jc w:val="center"/>
              <w:rPr>
                <w:rFonts w:ascii="Candara" w:hAnsi="Candara"/>
                <w:sz w:val="18"/>
                <w:szCs w:val="20"/>
              </w:rPr>
            </w:pPr>
          </w:p>
        </w:tc>
      </w:tr>
      <w:tr w14:paraId="066DFB5C"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BCCCF0" w:themeFill="accent6" w:themeFillTint="66"/>
            <w:tcMar>
              <w:left w:w="57" w:type="dxa"/>
              <w:right w:w="57" w:type="dxa"/>
            </w:tcMar>
          </w:tcPr>
          <w:p w:rsidR="00852583" w:rsidRPr="00525E53" w:rsidP="00B86F69" w14:paraId="04CE8762"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IV</w:t>
            </w:r>
            <w:r w:rsidRPr="00525E53">
              <w:rPr>
                <w:rFonts w:ascii="Candara" w:hAnsi="Candara"/>
                <w:color w:val="000000" w:themeColor="text1"/>
                <w:spacing w:val="-8"/>
                <w:sz w:val="20"/>
                <w:szCs w:val="18"/>
                <w:vertAlign w:val="subscript"/>
              </w:rPr>
              <w:t>3</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022C641E"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Iedzīvotāju īpatsvars % 30-34 gadu vecumā ar augstāko izglītību</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7C097822"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33</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1252BB20"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37</w:t>
            </w:r>
          </w:p>
          <w:p w:rsidR="00852583" w:rsidRPr="00214364" w:rsidP="00B86F69" w14:paraId="0AE16E1B"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(2014)</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214364" w:rsidP="00B86F69" w14:paraId="0549AD1F"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43</w:t>
            </w:r>
          </w:p>
          <w:p w:rsidR="00852583" w:rsidRPr="00214364" w:rsidP="00B86F69" w14:paraId="7683314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(2016)</w:t>
            </w:r>
          </w:p>
        </w:tc>
        <w:tc>
          <w:tcPr>
            <w:tcW w:w="356" w:type="pct"/>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tcPr>
          <w:p w:rsidR="00852583" w:rsidRPr="00525E53" w:rsidP="00B86F69" w14:paraId="2206B21C"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2957BD" w:themeColor="accent6" w:themeShade="BF"/>
                <w:spacing w:val="-8"/>
                <w:szCs w:val="18"/>
              </w:rPr>
              <w:sym w:font="Wingdings 3" w:char="F081"/>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75EBA7EC"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40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6C95FB13"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tcBorders>
              <w:left w:val="single" w:sz="4" w:space="0" w:color="auto"/>
              <w:right w:val="single" w:sz="4" w:space="0" w:color="auto"/>
            </w:tcBorders>
          </w:tcPr>
          <w:p w:rsidR="00852583" w:rsidRPr="00214364" w:rsidP="00B86F69" w14:paraId="50CDE8EF" w14:textId="77777777">
            <w:pPr>
              <w:pStyle w:val="TableText"/>
              <w:spacing w:line="238" w:lineRule="auto"/>
              <w:ind w:right="-110"/>
              <w:jc w:val="center"/>
              <w:rPr>
                <w:rFonts w:ascii="Candara" w:hAnsi="Candara"/>
                <w:sz w:val="18"/>
                <w:szCs w:val="20"/>
              </w:rPr>
            </w:pPr>
          </w:p>
        </w:tc>
      </w:tr>
      <w:tr w14:paraId="4EEC07B5"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9BB3E9" w:themeFill="accent6" w:themeFillTint="99"/>
            <w:tcMar>
              <w:left w:w="57" w:type="dxa"/>
              <w:right w:w="57" w:type="dxa"/>
            </w:tcMar>
          </w:tcPr>
          <w:p w:rsidR="00852583" w:rsidRPr="00525E53" w:rsidP="00B86F69" w14:paraId="4450A66E"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IV</w:t>
            </w:r>
            <w:r w:rsidRPr="00525E53">
              <w:rPr>
                <w:rFonts w:ascii="Candara" w:hAnsi="Candara"/>
                <w:color w:val="000000" w:themeColor="text1"/>
                <w:spacing w:val="-8"/>
                <w:sz w:val="20"/>
                <w:szCs w:val="18"/>
                <w:vertAlign w:val="subscript"/>
              </w:rPr>
              <w:t>4</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650D91AA"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Mazāks skaits spēcīgāku valsts finansētu zinātnisko institūciju</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549A2071"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40</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37DB684B"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40</w:t>
            </w:r>
          </w:p>
          <w:p w:rsidR="00852583" w:rsidRPr="00214364" w:rsidP="00B86F69" w14:paraId="773CC588"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(2014)</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214364" w:rsidP="00B86F69" w14:paraId="7172ECC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22</w:t>
            </w:r>
          </w:p>
          <w:p w:rsidR="00852583" w:rsidRPr="00214364" w:rsidP="00B86F69" w14:paraId="60F1E681"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(2017)</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525E53" w:rsidP="00B86F69" w14:paraId="3B24D1D5"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2957BD" w:themeColor="accent6" w:themeShade="BF"/>
                <w:spacing w:val="-8"/>
                <w:szCs w:val="18"/>
              </w:rPr>
              <w:sym w:font="Wingdings 3" w:char="F081"/>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0E92B29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2CDA3F5F"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tcBorders>
              <w:left w:val="single" w:sz="4" w:space="0" w:color="auto"/>
              <w:right w:val="single" w:sz="4" w:space="0" w:color="auto"/>
            </w:tcBorders>
          </w:tcPr>
          <w:p w:rsidR="00852583" w:rsidRPr="00214364" w:rsidP="00B86F69" w14:paraId="4BBDE44C" w14:textId="77777777">
            <w:pPr>
              <w:pStyle w:val="TableText"/>
              <w:spacing w:line="238" w:lineRule="auto"/>
              <w:ind w:right="-110"/>
              <w:jc w:val="center"/>
              <w:rPr>
                <w:rFonts w:ascii="Candara" w:hAnsi="Candara"/>
                <w:sz w:val="18"/>
                <w:szCs w:val="20"/>
              </w:rPr>
            </w:pPr>
          </w:p>
        </w:tc>
      </w:tr>
      <w:tr w14:paraId="69834AB4"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9BB3E9" w:themeFill="accent6" w:themeFillTint="99"/>
            <w:tcMar>
              <w:left w:w="57" w:type="dxa"/>
              <w:right w:w="57" w:type="dxa"/>
            </w:tcMar>
          </w:tcPr>
          <w:p w:rsidR="00852583" w:rsidRPr="00525E53" w:rsidP="00B86F69" w14:paraId="4FF08B43"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IV</w:t>
            </w:r>
            <w:r w:rsidRPr="00525E53">
              <w:rPr>
                <w:rFonts w:ascii="Candara" w:hAnsi="Candara"/>
                <w:color w:val="000000" w:themeColor="text1"/>
                <w:spacing w:val="-8"/>
                <w:sz w:val="20"/>
                <w:szCs w:val="18"/>
                <w:vertAlign w:val="subscript"/>
              </w:rPr>
              <w:t>5</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5A1B6161"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Zinātniskie raksti, kas publicēti starptautiskās datu bāzēs</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6773B07C"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1032</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5C46749D"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1100</w:t>
            </w:r>
          </w:p>
          <w:p w:rsidR="00852583" w:rsidRPr="00214364" w:rsidP="00B86F69" w14:paraId="15F496A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(2014)</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214364" w:rsidP="00B86F69" w14:paraId="63439865"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1820*</w:t>
            </w:r>
          </w:p>
          <w:p w:rsidR="00852583" w:rsidRPr="00214364" w:rsidP="00B86F69" w14:paraId="333A48D6"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(2016)</w:t>
            </w:r>
          </w:p>
        </w:tc>
        <w:tc>
          <w:tcPr>
            <w:tcW w:w="356" w:type="pct"/>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tcPr>
          <w:p w:rsidR="00852583" w:rsidRPr="00525E53" w:rsidP="00B86F69" w14:paraId="5E091407"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2957BD" w:themeColor="accent6" w:themeShade="BF"/>
                <w:spacing w:val="-8"/>
                <w:szCs w:val="18"/>
              </w:rPr>
              <w:sym w:font="Wingdings 3" w:char="F081"/>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1D524C07"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1500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793B6934"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tcBorders>
              <w:left w:val="single" w:sz="4" w:space="0" w:color="auto"/>
              <w:right w:val="single" w:sz="4" w:space="0" w:color="auto"/>
            </w:tcBorders>
          </w:tcPr>
          <w:p w:rsidR="00852583" w:rsidRPr="00214364" w:rsidP="00B86F69" w14:paraId="773FE6B9" w14:textId="77777777">
            <w:pPr>
              <w:pStyle w:val="TableText"/>
              <w:spacing w:line="238" w:lineRule="auto"/>
              <w:ind w:right="-110"/>
              <w:jc w:val="center"/>
              <w:rPr>
                <w:rFonts w:ascii="Candara" w:hAnsi="Candara"/>
                <w:sz w:val="18"/>
                <w:szCs w:val="20"/>
              </w:rPr>
            </w:pPr>
          </w:p>
        </w:tc>
      </w:tr>
      <w:tr w14:paraId="2906FE25"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9BB3E9" w:themeFill="accent6" w:themeFillTint="99"/>
            <w:tcMar>
              <w:left w:w="57" w:type="dxa"/>
              <w:right w:w="57" w:type="dxa"/>
            </w:tcMar>
          </w:tcPr>
          <w:p w:rsidR="00852583" w:rsidRPr="00525E53" w:rsidP="00B86F69" w14:paraId="6CD5D333"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IV</w:t>
            </w:r>
            <w:r w:rsidRPr="00525E53">
              <w:rPr>
                <w:rFonts w:ascii="Candara" w:hAnsi="Candara"/>
                <w:color w:val="000000" w:themeColor="text1"/>
                <w:spacing w:val="-8"/>
                <w:sz w:val="20"/>
                <w:szCs w:val="18"/>
                <w:vertAlign w:val="subscript"/>
              </w:rPr>
              <w:t>6</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62143660"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 xml:space="preserve">Sekmības rādītājs dalībai ES Ietvara programmā </w:t>
            </w:r>
            <w:r w:rsidRPr="00214364" w:rsidR="00543E39">
              <w:rPr>
                <w:rFonts w:ascii="Candara" w:hAnsi="Candara"/>
                <w:color w:val="000000" w:themeColor="text1"/>
                <w:spacing w:val="-8"/>
                <w:sz w:val="18"/>
                <w:szCs w:val="18"/>
              </w:rPr>
              <w:t>(%)</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3C76DB9D"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22,8</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36D3EE9A"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22</w:t>
            </w:r>
          </w:p>
          <w:p w:rsidR="00852583" w:rsidRPr="00214364" w:rsidP="00B86F69" w14:paraId="7B75583E"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(2014)</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214364" w:rsidP="00B86F69" w14:paraId="5FC73B9B"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12,</w:t>
            </w:r>
            <w:r w:rsidR="00853808">
              <w:rPr>
                <w:rFonts w:ascii="Candara" w:hAnsi="Candara"/>
                <w:color w:val="000000" w:themeColor="text1"/>
                <w:spacing w:val="-8"/>
                <w:sz w:val="18"/>
                <w:szCs w:val="18"/>
              </w:rPr>
              <w:t>7</w:t>
            </w:r>
          </w:p>
          <w:p w:rsidR="00852583" w:rsidRPr="00214364" w14:paraId="79469786"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w:t>
            </w:r>
            <w:r w:rsidRPr="00214364" w:rsidR="00853808">
              <w:rPr>
                <w:rFonts w:ascii="Candara" w:hAnsi="Candara"/>
                <w:color w:val="000000" w:themeColor="text1"/>
                <w:spacing w:val="-8"/>
                <w:sz w:val="18"/>
                <w:szCs w:val="18"/>
              </w:rPr>
              <w:t>201</w:t>
            </w:r>
            <w:r w:rsidR="00853808">
              <w:rPr>
                <w:rFonts w:ascii="Candara" w:hAnsi="Candara"/>
                <w:color w:val="000000" w:themeColor="text1"/>
                <w:spacing w:val="-8"/>
                <w:sz w:val="18"/>
                <w:szCs w:val="18"/>
              </w:rPr>
              <w:t>6</w:t>
            </w:r>
            <w:r w:rsidRPr="00214364">
              <w:rPr>
                <w:rFonts w:ascii="Candara" w:hAnsi="Candara"/>
                <w:color w:val="000000" w:themeColor="text1"/>
                <w:spacing w:val="-8"/>
                <w:sz w:val="18"/>
                <w:szCs w:val="18"/>
              </w:rPr>
              <w:t>)</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852583" w:rsidRPr="00525E53" w:rsidP="00B86F69" w14:paraId="242FF74D"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C00000"/>
                <w:spacing w:val="-8"/>
                <w:szCs w:val="18"/>
              </w:rPr>
              <w:sym w:font="Wingdings 3" w:char="F082"/>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5F2F161E"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30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2583" w:rsidRPr="00214364" w:rsidP="00B86F69" w14:paraId="2C70723D"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tcBorders>
              <w:left w:val="single" w:sz="4" w:space="0" w:color="auto"/>
              <w:right w:val="single" w:sz="4" w:space="0" w:color="auto"/>
            </w:tcBorders>
          </w:tcPr>
          <w:p w:rsidR="00852583" w:rsidRPr="00214364" w:rsidP="00B86F69" w14:paraId="70DB52DE" w14:textId="77777777">
            <w:pPr>
              <w:pStyle w:val="TableText"/>
              <w:spacing w:line="238" w:lineRule="auto"/>
              <w:ind w:right="-110"/>
              <w:jc w:val="center"/>
              <w:rPr>
                <w:rFonts w:ascii="Candara" w:hAnsi="Candara"/>
                <w:sz w:val="18"/>
                <w:szCs w:val="20"/>
              </w:rPr>
            </w:pPr>
          </w:p>
        </w:tc>
      </w:tr>
      <w:tr w14:paraId="4D3EF142"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C1BEE2" w:themeFill="accent4" w:themeFillTint="66"/>
            <w:tcMar>
              <w:left w:w="57" w:type="dxa"/>
              <w:right w:w="57" w:type="dxa"/>
            </w:tcMar>
          </w:tcPr>
          <w:p w:rsidR="00C7324C" w:rsidRPr="00525E53" w:rsidP="00B86F69" w14:paraId="0C508FB6"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U</w:t>
            </w:r>
            <w:r w:rsidRPr="00525E53">
              <w:rPr>
                <w:rFonts w:ascii="Candara" w:hAnsi="Candara"/>
                <w:color w:val="000000" w:themeColor="text1"/>
                <w:spacing w:val="-8"/>
                <w:sz w:val="20"/>
                <w:szCs w:val="18"/>
                <w:vertAlign w:val="subscript"/>
              </w:rPr>
              <w:t>1</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09A5EA6C"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Privātā sektora ieguldījumu proporcionāls pieaugums pētniecībā un attīstībā (privātā sektora ieguldījumi pētniecībā un attīstībā, % no kopējiem ieguldījumiem)</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3D1EF8A4"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38</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6835896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21</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0A5BF5" w:rsidRPr="00214364" w:rsidP="00B86F69" w14:paraId="68E484B0"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20,0%</w:t>
            </w:r>
          </w:p>
          <w:p w:rsidR="00C7324C" w:rsidRPr="00214364" w:rsidP="00B86F69" w14:paraId="21C33918"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(2015)</w:t>
            </w:r>
          </w:p>
        </w:tc>
        <w:tc>
          <w:tcPr>
            <w:tcW w:w="356" w:type="pct"/>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tcPr>
          <w:p w:rsidR="00C7324C" w:rsidRPr="00525E53" w:rsidP="00B86F69" w14:paraId="5972096F"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C00000"/>
                <w:spacing w:val="-8"/>
                <w:szCs w:val="18"/>
              </w:rPr>
              <w:sym w:font="Wingdings 3" w:char="F082"/>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06E0DE9D"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48</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7BC8E71A"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tcBorders>
              <w:left w:val="single" w:sz="4" w:space="0" w:color="auto"/>
              <w:right w:val="single" w:sz="4" w:space="0" w:color="auto"/>
            </w:tcBorders>
          </w:tcPr>
          <w:p w:rsidR="00C7324C" w:rsidRPr="00214364" w:rsidP="00B86F69" w14:paraId="6556C7E1" w14:textId="77777777">
            <w:pPr>
              <w:pStyle w:val="TableText"/>
              <w:spacing w:line="238" w:lineRule="auto"/>
              <w:ind w:right="-110"/>
              <w:jc w:val="center"/>
              <w:rPr>
                <w:rFonts w:ascii="Candara" w:hAnsi="Candara"/>
                <w:sz w:val="18"/>
                <w:szCs w:val="20"/>
              </w:rPr>
            </w:pPr>
          </w:p>
        </w:tc>
      </w:tr>
      <w:tr w14:paraId="43AE6530"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C1BEE2" w:themeFill="accent4" w:themeFillTint="66"/>
            <w:tcMar>
              <w:left w:w="57" w:type="dxa"/>
              <w:right w:w="57" w:type="dxa"/>
            </w:tcMar>
          </w:tcPr>
          <w:p w:rsidR="00C7324C" w:rsidRPr="00525E53" w:rsidP="00B86F69" w14:paraId="02BA47BF"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U</w:t>
            </w:r>
            <w:r w:rsidRPr="00525E53">
              <w:rPr>
                <w:rFonts w:ascii="Candara" w:hAnsi="Candara"/>
                <w:color w:val="000000" w:themeColor="text1"/>
                <w:spacing w:val="-8"/>
                <w:sz w:val="20"/>
                <w:szCs w:val="18"/>
                <w:vertAlign w:val="subscript"/>
              </w:rPr>
              <w:t>2</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3F5F2AE6" w14:textId="77777777">
            <w:pPr>
              <w:pStyle w:val="TableText"/>
              <w:spacing w:line="238" w:lineRule="auto"/>
              <w:jc w:val="left"/>
              <w:rPr>
                <w:rFonts w:ascii="Candara" w:hAnsi="Candara"/>
                <w:color w:val="000000" w:themeColor="text1"/>
                <w:spacing w:val="-8"/>
                <w:sz w:val="18"/>
                <w:szCs w:val="18"/>
              </w:rPr>
            </w:pPr>
            <w:r>
              <w:rPr>
                <w:rFonts w:ascii="Candara" w:hAnsi="Candara"/>
                <w:color w:val="000000" w:themeColor="text1"/>
                <w:spacing w:val="-8"/>
                <w:sz w:val="18"/>
                <w:szCs w:val="18"/>
              </w:rPr>
              <w:t>Zinātnisko darbinieku</w:t>
            </w:r>
            <w:r w:rsidRPr="00214364">
              <w:rPr>
                <w:rFonts w:ascii="Candara" w:hAnsi="Candara"/>
                <w:color w:val="000000" w:themeColor="text1"/>
                <w:spacing w:val="-8"/>
                <w:sz w:val="18"/>
                <w:szCs w:val="18"/>
              </w:rPr>
              <w:t xml:space="preserve"> </w:t>
            </w:r>
            <w:r w:rsidRPr="00214364">
              <w:rPr>
                <w:rFonts w:ascii="Candara" w:hAnsi="Candara"/>
                <w:color w:val="000000" w:themeColor="text1"/>
                <w:spacing w:val="-8"/>
                <w:sz w:val="18"/>
                <w:szCs w:val="18"/>
              </w:rPr>
              <w:t>skaits, kas nodarbināti privātajā sektorā (% no visiem, atbilstoši pilna laika ekvivalentam)</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40FDA275"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22,7</w:t>
            </w:r>
          </w:p>
          <w:p w:rsidR="00C7324C" w:rsidRPr="00214364" w:rsidP="00B86F69" w14:paraId="5D4E385F"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(2011)</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1CD5747F"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18</w:t>
            </w:r>
          </w:p>
          <w:p w:rsidR="00C7324C" w:rsidRPr="00214364" w:rsidP="00B86F69" w14:paraId="43E2F9C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(2014)</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214364" w:rsidP="00B86F69" w14:paraId="75948E92"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20,6</w:t>
            </w:r>
          </w:p>
          <w:p w:rsidR="00C7324C" w:rsidRPr="00214364" w:rsidP="00B86F69" w14:paraId="5F2E63FC"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(2015)</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525E53" w:rsidP="00B86F69" w14:paraId="11BE9896"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463F90" w:themeColor="accent4" w:themeShade="BF"/>
                <w:spacing w:val="-8"/>
                <w:szCs w:val="18"/>
              </w:rPr>
              <w:sym w:font="Wingdings 3" w:char="F084"/>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57F06465"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23</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3C484F7B"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tcBorders>
              <w:left w:val="single" w:sz="4" w:space="0" w:color="auto"/>
              <w:right w:val="single" w:sz="4" w:space="0" w:color="auto"/>
            </w:tcBorders>
          </w:tcPr>
          <w:p w:rsidR="00C7324C" w:rsidRPr="00214364" w:rsidP="00B86F69" w14:paraId="3D1E04E4" w14:textId="77777777">
            <w:pPr>
              <w:pStyle w:val="TableText"/>
              <w:spacing w:line="238" w:lineRule="auto"/>
              <w:ind w:right="-110"/>
              <w:jc w:val="center"/>
              <w:rPr>
                <w:rFonts w:ascii="Candara" w:hAnsi="Candara"/>
                <w:sz w:val="18"/>
                <w:szCs w:val="20"/>
              </w:rPr>
            </w:pPr>
          </w:p>
        </w:tc>
      </w:tr>
      <w:tr w14:paraId="29AF5D55"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C1BEE2" w:themeFill="accent4" w:themeFillTint="66"/>
            <w:tcMar>
              <w:left w:w="57" w:type="dxa"/>
              <w:right w:w="57" w:type="dxa"/>
            </w:tcMar>
          </w:tcPr>
          <w:p w:rsidR="00C7324C" w:rsidRPr="00525E53" w:rsidP="00B86F69" w14:paraId="146CAB6C"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U</w:t>
            </w:r>
            <w:r w:rsidRPr="00525E53">
              <w:rPr>
                <w:rFonts w:ascii="Candara" w:hAnsi="Candara"/>
                <w:color w:val="000000" w:themeColor="text1"/>
                <w:spacing w:val="-8"/>
                <w:sz w:val="20"/>
                <w:szCs w:val="18"/>
                <w:vertAlign w:val="subscript"/>
              </w:rPr>
              <w:t>3</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27F8FE91"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Piešķirtie Eiropas patenti, kas pieteikti no zinātniekiem, kas rezidē Latvijā</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164ABA3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11</w:t>
            </w:r>
          </w:p>
          <w:p w:rsidR="00C7324C" w:rsidRPr="00214364" w:rsidP="00B86F69" w14:paraId="4BD6E35D"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(2011)</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0DDD4BA4"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13</w:t>
            </w:r>
          </w:p>
          <w:p w:rsidR="00C7324C" w:rsidRPr="00214364" w:rsidP="00B86F69" w14:paraId="7DAB98C8"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(2014)</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214364" w:rsidP="00B86F69" w14:paraId="3B11386D"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16</w:t>
            </w:r>
          </w:p>
          <w:p w:rsidR="00C7324C" w:rsidRPr="00214364" w:rsidP="00B86F69" w14:paraId="1EAE8C8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(2016)</w:t>
            </w:r>
          </w:p>
        </w:tc>
        <w:tc>
          <w:tcPr>
            <w:tcW w:w="356" w:type="pct"/>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tcPr>
          <w:p w:rsidR="00C7324C" w:rsidRPr="00525E53" w:rsidP="00B86F69" w14:paraId="29521C91"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C00000"/>
                <w:spacing w:val="-8"/>
                <w:szCs w:val="18"/>
              </w:rPr>
              <w:sym w:font="Wingdings 3" w:char="F082"/>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4E1EB460"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50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0AFAAE94"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tcBorders>
              <w:left w:val="single" w:sz="4" w:space="0" w:color="auto"/>
              <w:bottom w:val="single" w:sz="4" w:space="0" w:color="auto"/>
              <w:right w:val="single" w:sz="4" w:space="0" w:color="auto"/>
            </w:tcBorders>
          </w:tcPr>
          <w:p w:rsidR="00C7324C" w:rsidRPr="00214364" w:rsidP="00B86F69" w14:paraId="4E08263A" w14:textId="77777777">
            <w:pPr>
              <w:pStyle w:val="TableText"/>
              <w:spacing w:line="238" w:lineRule="auto"/>
              <w:ind w:right="-110"/>
              <w:jc w:val="center"/>
              <w:rPr>
                <w:rFonts w:ascii="Candara" w:hAnsi="Candara"/>
                <w:sz w:val="18"/>
                <w:szCs w:val="20"/>
              </w:rPr>
            </w:pPr>
          </w:p>
        </w:tc>
      </w:tr>
      <w:tr w14:paraId="6EFC58C1"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C39AE4" w:themeFill="accent2" w:themeFillTint="99"/>
            <w:tcMar>
              <w:left w:w="57" w:type="dxa"/>
              <w:right w:w="57" w:type="dxa"/>
            </w:tcMar>
          </w:tcPr>
          <w:p w:rsidR="00C7324C" w:rsidRPr="00525E53" w:rsidP="00B86F69" w14:paraId="479C4CB0"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R</w:t>
            </w:r>
            <w:r w:rsidRPr="00525E53">
              <w:rPr>
                <w:rFonts w:ascii="Candara" w:hAnsi="Candara"/>
                <w:color w:val="000000" w:themeColor="text1"/>
                <w:spacing w:val="-8"/>
                <w:sz w:val="20"/>
                <w:szCs w:val="18"/>
                <w:vertAlign w:val="subscript"/>
              </w:rPr>
              <w:t>1</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5236C85D"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Inovatīvo uzņēmumu īpatsvars (% no visiem uzņēmumiem)</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1AB17C1E"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 xml:space="preserve">29,9 </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0D1F85" w:rsidP="00B86F69" w14:paraId="25F346B1" w14:textId="77777777">
            <w:pPr>
              <w:pStyle w:val="TableText"/>
              <w:spacing w:line="238" w:lineRule="auto"/>
              <w:jc w:val="center"/>
              <w:rPr>
                <w:rFonts w:ascii="Candara" w:hAnsi="Candara"/>
                <w:color w:val="000000" w:themeColor="text1"/>
                <w:spacing w:val="-8"/>
                <w:sz w:val="18"/>
                <w:szCs w:val="18"/>
              </w:rPr>
            </w:pPr>
            <w:r w:rsidRPr="000D1F85">
              <w:rPr>
                <w:rFonts w:ascii="Candara" w:hAnsi="Candara"/>
                <w:color w:val="000000" w:themeColor="text1"/>
                <w:spacing w:val="-8"/>
                <w:sz w:val="18"/>
                <w:szCs w:val="18"/>
              </w:rPr>
              <w:t>30</w:t>
            </w:r>
            <w:r w:rsidRPr="000D1F85" w:rsidR="006F24AE">
              <w:rPr>
                <w:rFonts w:ascii="Candara" w:hAnsi="Candara"/>
                <w:color w:val="000000" w:themeColor="text1"/>
                <w:spacing w:val="-8"/>
                <w:sz w:val="18"/>
                <w:szCs w:val="18"/>
              </w:rPr>
              <w:t>,4</w:t>
            </w:r>
          </w:p>
          <w:p w:rsidR="00C7324C" w:rsidRPr="000D1F85" w:rsidP="000D1F85" w14:paraId="00EBCC32" w14:textId="77777777">
            <w:pPr>
              <w:pStyle w:val="TableText"/>
              <w:spacing w:line="238" w:lineRule="auto"/>
              <w:jc w:val="center"/>
              <w:rPr>
                <w:rFonts w:ascii="Candara" w:hAnsi="Candara"/>
                <w:color w:val="000000" w:themeColor="text1"/>
                <w:spacing w:val="-8"/>
                <w:sz w:val="18"/>
                <w:szCs w:val="18"/>
              </w:rPr>
            </w:pPr>
            <w:r w:rsidRPr="000D1F85">
              <w:rPr>
                <w:rFonts w:ascii="Candara" w:hAnsi="Candara"/>
                <w:color w:val="000000" w:themeColor="text1"/>
                <w:spacing w:val="-8"/>
                <w:sz w:val="18"/>
                <w:szCs w:val="18"/>
              </w:rPr>
              <w:t>(</w:t>
            </w:r>
            <w:r w:rsidRPr="000D1F85" w:rsidR="000D1F85">
              <w:rPr>
                <w:rFonts w:ascii="Candara" w:hAnsi="Candara"/>
                <w:color w:val="000000" w:themeColor="text1"/>
                <w:spacing w:val="-8"/>
                <w:sz w:val="18"/>
                <w:szCs w:val="18"/>
              </w:rPr>
              <w:t>2012</w:t>
            </w:r>
            <w:r w:rsidRPr="000D1F85">
              <w:rPr>
                <w:rFonts w:ascii="Candara" w:hAnsi="Candara"/>
                <w:color w:val="000000" w:themeColor="text1"/>
                <w:spacing w:val="-8"/>
                <w:sz w:val="18"/>
                <w:szCs w:val="18"/>
              </w:rPr>
              <w:t>)</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0D1F85" w:rsidP="00B86F69" w14:paraId="7105501C" w14:textId="77777777">
            <w:pPr>
              <w:pStyle w:val="TableText"/>
              <w:spacing w:line="238" w:lineRule="auto"/>
              <w:jc w:val="center"/>
              <w:rPr>
                <w:rFonts w:ascii="Candara" w:hAnsi="Candara"/>
                <w:color w:val="000000" w:themeColor="text1"/>
                <w:spacing w:val="-8"/>
                <w:sz w:val="18"/>
                <w:szCs w:val="18"/>
              </w:rPr>
            </w:pPr>
            <w:r w:rsidRPr="000D1F85">
              <w:rPr>
                <w:rFonts w:ascii="Candara" w:hAnsi="Candara"/>
                <w:color w:val="000000" w:themeColor="text1"/>
                <w:spacing w:val="-8"/>
                <w:sz w:val="18"/>
                <w:szCs w:val="18"/>
              </w:rPr>
              <w:t>2</w:t>
            </w:r>
            <w:r w:rsidRPr="000D1F85" w:rsidR="006F24AE">
              <w:rPr>
                <w:rFonts w:ascii="Candara" w:hAnsi="Candara"/>
                <w:color w:val="000000" w:themeColor="text1"/>
                <w:spacing w:val="-8"/>
                <w:sz w:val="18"/>
                <w:szCs w:val="18"/>
              </w:rPr>
              <w:t>5,5</w:t>
            </w:r>
          </w:p>
          <w:p w:rsidR="00C7324C" w:rsidRPr="000D1F85" w:rsidP="00B86F69" w14:paraId="73DF39FB" w14:textId="77777777">
            <w:pPr>
              <w:pStyle w:val="TableText"/>
              <w:spacing w:line="238" w:lineRule="auto"/>
              <w:jc w:val="center"/>
              <w:rPr>
                <w:rFonts w:ascii="Candara" w:hAnsi="Candara"/>
                <w:color w:val="000000" w:themeColor="text1"/>
                <w:spacing w:val="-8"/>
                <w:sz w:val="18"/>
                <w:szCs w:val="18"/>
              </w:rPr>
            </w:pPr>
            <w:r w:rsidRPr="000D1F85">
              <w:rPr>
                <w:rFonts w:ascii="Candara" w:hAnsi="Candara"/>
                <w:color w:val="000000" w:themeColor="text1"/>
                <w:spacing w:val="-8"/>
                <w:sz w:val="18"/>
                <w:szCs w:val="18"/>
              </w:rPr>
              <w:t>(2014)</w:t>
            </w:r>
          </w:p>
        </w:tc>
        <w:tc>
          <w:tcPr>
            <w:tcW w:w="356" w:type="pct"/>
            <w:tcBorders>
              <w:top w:val="single" w:sz="4" w:space="0" w:color="auto"/>
              <w:left w:val="single" w:sz="4" w:space="0" w:color="auto"/>
              <w:bottom w:val="single" w:sz="4" w:space="0" w:color="auto"/>
              <w:right w:val="single" w:sz="4" w:space="0" w:color="auto"/>
            </w:tcBorders>
            <w:shd w:val="clear" w:color="auto" w:fill="FFFF00"/>
            <w:tcMar>
              <w:left w:w="57" w:type="dxa"/>
              <w:right w:w="57" w:type="dxa"/>
            </w:tcMar>
            <w:vAlign w:val="center"/>
          </w:tcPr>
          <w:p w:rsidR="00C7324C" w:rsidRPr="00525E53" w:rsidP="00B86F69" w14:paraId="55C048A5"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C00000"/>
                <w:spacing w:val="-8"/>
                <w:szCs w:val="18"/>
              </w:rPr>
              <w:sym w:font="Wingdings 3" w:char="F082"/>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4CAFC286"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40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0DC66DB1" w14:textId="77777777">
            <w:pPr>
              <w:pStyle w:val="TableText"/>
              <w:spacing w:line="238" w:lineRule="auto"/>
              <w:ind w:right="-110"/>
              <w:jc w:val="center"/>
              <w:rPr>
                <w:rFonts w:ascii="Candara" w:hAnsi="Candara"/>
                <w:sz w:val="18"/>
                <w:szCs w:val="20"/>
              </w:rPr>
            </w:pPr>
            <w:r w:rsidRPr="00214364">
              <w:rPr>
                <w:rFonts w:ascii="Candara" w:hAnsi="Candara"/>
                <w:sz w:val="18"/>
                <w:szCs w:val="20"/>
              </w:rPr>
              <w:t>ZTAI</w:t>
            </w:r>
            <w:r w:rsidR="007C3F2D">
              <w:rPr>
                <w:rFonts w:ascii="Candara" w:hAnsi="Candara"/>
                <w:sz w:val="18"/>
                <w:szCs w:val="20"/>
              </w:rPr>
              <w:t>P</w:t>
            </w:r>
          </w:p>
        </w:tc>
        <w:tc>
          <w:tcPr>
            <w:tcW w:w="216" w:type="pct"/>
            <w:vMerge w:val="restart"/>
            <w:tcBorders>
              <w:top w:val="single" w:sz="4" w:space="0" w:color="auto"/>
              <w:left w:val="single" w:sz="4" w:space="0" w:color="auto"/>
              <w:right w:val="single" w:sz="4" w:space="0" w:color="auto"/>
            </w:tcBorders>
            <w:textDirection w:val="btLr"/>
            <w:vAlign w:val="center"/>
          </w:tcPr>
          <w:p w:rsidR="00C7324C" w:rsidRPr="00214364" w:rsidP="00B86F69" w14:paraId="106ADF11" w14:textId="77777777">
            <w:pPr>
              <w:pStyle w:val="TableText"/>
              <w:spacing w:line="238" w:lineRule="auto"/>
              <w:ind w:left="113" w:right="-110"/>
              <w:jc w:val="center"/>
              <w:rPr>
                <w:rFonts w:ascii="Candara" w:hAnsi="Candara"/>
                <w:sz w:val="18"/>
                <w:szCs w:val="20"/>
              </w:rPr>
            </w:pPr>
            <w:r w:rsidRPr="00214364">
              <w:rPr>
                <w:rFonts w:ascii="Candara" w:hAnsi="Candara"/>
                <w:sz w:val="18"/>
                <w:szCs w:val="20"/>
              </w:rPr>
              <w:t>Tautsaimniecības transformācija</w:t>
            </w:r>
          </w:p>
        </w:tc>
      </w:tr>
      <w:tr w14:paraId="0804AB90"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C39AE4" w:themeFill="accent2" w:themeFillTint="99"/>
            <w:tcMar>
              <w:left w:w="57" w:type="dxa"/>
              <w:right w:w="57" w:type="dxa"/>
            </w:tcMar>
          </w:tcPr>
          <w:p w:rsidR="00C7324C" w:rsidRPr="00525E53" w:rsidP="00B86F69" w14:paraId="61E5CC30"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R</w:t>
            </w:r>
            <w:r w:rsidRPr="00525E53">
              <w:rPr>
                <w:rFonts w:ascii="Candara" w:hAnsi="Candara"/>
                <w:color w:val="000000" w:themeColor="text1"/>
                <w:spacing w:val="-8"/>
                <w:sz w:val="20"/>
                <w:szCs w:val="18"/>
                <w:vertAlign w:val="subscript"/>
              </w:rPr>
              <w:t>2</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47D732D1"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Apstrādes rūpniecības īpatsvars iekšzemes kopproduktā 2020.gadā sasniedz 20%</w:t>
            </w:r>
            <w:r w:rsidRPr="00214364" w:rsidR="006F24AE">
              <w:rPr>
                <w:rFonts w:ascii="Candara" w:hAnsi="Candara"/>
                <w:color w:val="000000" w:themeColor="text1"/>
                <w:spacing w:val="-8"/>
                <w:sz w:val="18"/>
                <w:szCs w:val="18"/>
              </w:rPr>
              <w:t xml:space="preserve"> (%)</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25C54C8D"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13,4</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1D1681C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12,7</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214364" w:rsidP="00B86F69" w14:paraId="037DB738"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12,5</w:t>
            </w:r>
          </w:p>
          <w:p w:rsidR="00C7324C" w:rsidRPr="00214364" w:rsidP="00B86F69" w14:paraId="08EA7F7E"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(2016)</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525E53" w:rsidP="00B86F69" w14:paraId="2729B554"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C00000"/>
                <w:spacing w:val="-8"/>
                <w:szCs w:val="18"/>
              </w:rPr>
              <w:sym w:font="Wingdings 3" w:char="F082"/>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061E25F8"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4DA35563" w14:textId="77777777">
            <w:pPr>
              <w:pStyle w:val="TableText"/>
              <w:spacing w:line="238" w:lineRule="auto"/>
              <w:ind w:right="-110"/>
              <w:jc w:val="center"/>
              <w:rPr>
                <w:rFonts w:ascii="Candara" w:hAnsi="Candara"/>
                <w:sz w:val="18"/>
                <w:szCs w:val="20"/>
              </w:rPr>
            </w:pPr>
            <w:r w:rsidRPr="00214364">
              <w:rPr>
                <w:rFonts w:ascii="Candara" w:hAnsi="Candara"/>
                <w:sz w:val="18"/>
                <w:szCs w:val="20"/>
              </w:rPr>
              <w:t>NIP</w:t>
            </w:r>
          </w:p>
        </w:tc>
        <w:tc>
          <w:tcPr>
            <w:tcW w:w="216" w:type="pct"/>
            <w:vMerge/>
            <w:tcBorders>
              <w:left w:val="single" w:sz="4" w:space="0" w:color="auto"/>
              <w:right w:val="single" w:sz="4" w:space="0" w:color="auto"/>
            </w:tcBorders>
          </w:tcPr>
          <w:p w:rsidR="00C7324C" w:rsidRPr="00214364" w:rsidP="00B86F69" w14:paraId="0E0F9CF2" w14:textId="77777777">
            <w:pPr>
              <w:pStyle w:val="TableText"/>
              <w:spacing w:line="238" w:lineRule="auto"/>
              <w:ind w:right="-110"/>
              <w:jc w:val="center"/>
              <w:rPr>
                <w:rFonts w:ascii="Candara" w:hAnsi="Candara"/>
                <w:b/>
                <w:sz w:val="18"/>
                <w:szCs w:val="20"/>
              </w:rPr>
            </w:pPr>
          </w:p>
        </w:tc>
      </w:tr>
      <w:tr w14:paraId="41312B20"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C39AE4" w:themeFill="accent2" w:themeFillTint="99"/>
            <w:tcMar>
              <w:left w:w="57" w:type="dxa"/>
              <w:right w:w="57" w:type="dxa"/>
            </w:tcMar>
          </w:tcPr>
          <w:p w:rsidR="00C7324C" w:rsidRPr="00525E53" w:rsidP="00B86F69" w14:paraId="363656E8"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R</w:t>
            </w:r>
            <w:r w:rsidRPr="00525E53">
              <w:rPr>
                <w:rFonts w:ascii="Candara" w:hAnsi="Candara"/>
                <w:color w:val="000000" w:themeColor="text1"/>
                <w:spacing w:val="-8"/>
                <w:sz w:val="20"/>
                <w:szCs w:val="18"/>
                <w:vertAlign w:val="subscript"/>
              </w:rPr>
              <w:t>3</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5DB0C078"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Apstrādes rūpniecības produktivitātes pieaugums 2020.gadā pret 2011.gadu ir 40%</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60D4B2A7"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92,8</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5AD6A28F"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101,8</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214364" w:rsidP="00B86F69" w14:paraId="77272562"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118,3</w:t>
            </w:r>
          </w:p>
          <w:p w:rsidR="00C7324C" w:rsidRPr="00214364" w:rsidP="00B86F69" w14:paraId="33D20DD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(2016)</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525E53" w:rsidP="00B86F69" w14:paraId="1C6A1161"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463F90" w:themeColor="accent4" w:themeShade="BF"/>
                <w:spacing w:val="-8"/>
                <w:szCs w:val="18"/>
              </w:rPr>
              <w:sym w:font="Wingdings 3" w:char="F084"/>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2C297E05"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140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4ED4601B" w14:textId="77777777">
            <w:pPr>
              <w:pStyle w:val="TableText"/>
              <w:spacing w:line="238" w:lineRule="auto"/>
              <w:ind w:right="-110"/>
              <w:jc w:val="center"/>
              <w:rPr>
                <w:rFonts w:ascii="Candara" w:hAnsi="Candara"/>
                <w:sz w:val="18"/>
                <w:szCs w:val="20"/>
              </w:rPr>
            </w:pPr>
            <w:r w:rsidRPr="00214364">
              <w:rPr>
                <w:rFonts w:ascii="Candara" w:hAnsi="Candara"/>
                <w:sz w:val="18"/>
                <w:szCs w:val="20"/>
              </w:rPr>
              <w:t>NIP</w:t>
            </w:r>
          </w:p>
        </w:tc>
        <w:tc>
          <w:tcPr>
            <w:tcW w:w="216" w:type="pct"/>
            <w:vMerge/>
            <w:tcBorders>
              <w:left w:val="single" w:sz="4" w:space="0" w:color="auto"/>
              <w:right w:val="single" w:sz="4" w:space="0" w:color="auto"/>
            </w:tcBorders>
          </w:tcPr>
          <w:p w:rsidR="00C7324C" w:rsidRPr="00214364" w:rsidP="00B86F69" w14:paraId="4477C0ED" w14:textId="77777777">
            <w:pPr>
              <w:pStyle w:val="TableText"/>
              <w:spacing w:line="238" w:lineRule="auto"/>
              <w:ind w:right="-110"/>
              <w:jc w:val="center"/>
              <w:rPr>
                <w:rFonts w:ascii="Candara" w:hAnsi="Candara"/>
                <w:b/>
                <w:sz w:val="18"/>
                <w:szCs w:val="20"/>
              </w:rPr>
            </w:pPr>
          </w:p>
        </w:tc>
      </w:tr>
      <w:tr w14:paraId="4821DEE1" w14:textId="77777777" w:rsidTr="00525E53">
        <w:tblPrEx>
          <w:tblW w:w="5459" w:type="pct"/>
          <w:jc w:val="center"/>
          <w:tblLayout w:type="fixed"/>
          <w:tblLook w:val="00A0"/>
        </w:tblPrEx>
        <w:trPr>
          <w:jc w:val="center"/>
        </w:trPr>
        <w:tc>
          <w:tcPr>
            <w:tcW w:w="322" w:type="pct"/>
            <w:tcBorders>
              <w:top w:val="single" w:sz="4" w:space="0" w:color="auto"/>
              <w:left w:val="single" w:sz="4" w:space="0" w:color="auto"/>
              <w:bottom w:val="single" w:sz="4" w:space="0" w:color="auto"/>
              <w:right w:val="single" w:sz="4" w:space="0" w:color="auto"/>
            </w:tcBorders>
            <w:shd w:val="clear" w:color="auto" w:fill="C39AE4" w:themeFill="accent2" w:themeFillTint="99"/>
            <w:tcMar>
              <w:left w:w="57" w:type="dxa"/>
              <w:right w:w="57" w:type="dxa"/>
            </w:tcMar>
          </w:tcPr>
          <w:p w:rsidR="00C7324C" w:rsidRPr="00525E53" w:rsidP="00B86F69" w14:paraId="16503B1A"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R</w:t>
            </w:r>
            <w:r w:rsidRPr="00525E53">
              <w:rPr>
                <w:rFonts w:ascii="Candara" w:hAnsi="Candara"/>
                <w:color w:val="000000" w:themeColor="text1"/>
                <w:spacing w:val="-8"/>
                <w:sz w:val="20"/>
                <w:szCs w:val="18"/>
                <w:vertAlign w:val="subscript"/>
              </w:rPr>
              <w:t>4</w:t>
            </w:r>
          </w:p>
        </w:tc>
        <w:tc>
          <w:tcPr>
            <w:tcW w:w="14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1EF80B12"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Apstrādes rūpniecības pieaugums 2020.gadā, pret 2011.gadu ir 60%</w:t>
            </w:r>
          </w:p>
        </w:tc>
        <w:tc>
          <w:tcPr>
            <w:tcW w:w="40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2CCD74FA"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95,1</w:t>
            </w:r>
          </w:p>
        </w:tc>
        <w:tc>
          <w:tcPr>
            <w:tcW w:w="42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610D6094"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102,3</w:t>
            </w:r>
          </w:p>
        </w:tc>
        <w:tc>
          <w:tcPr>
            <w:tcW w:w="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214364" w:rsidP="00B86F69" w14:paraId="593EEBB9"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113,1</w:t>
            </w:r>
          </w:p>
          <w:p w:rsidR="00C7324C" w:rsidRPr="00214364" w:rsidP="00B86F69" w14:paraId="5DE60FDE"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(2016)</w:t>
            </w:r>
          </w:p>
        </w:tc>
        <w:tc>
          <w:tcPr>
            <w:tcW w:w="3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rsidR="00C7324C" w:rsidRPr="00525E53" w:rsidP="00B86F69" w14:paraId="5DFB948F" w14:textId="77777777">
            <w:pPr>
              <w:pStyle w:val="TableText"/>
              <w:spacing w:line="238" w:lineRule="auto"/>
              <w:jc w:val="center"/>
              <w:rPr>
                <w:rFonts w:ascii="Candara" w:hAnsi="Candara"/>
                <w:color w:val="2957BD" w:themeColor="accent6" w:themeShade="BF"/>
                <w:spacing w:val="-8"/>
                <w:szCs w:val="18"/>
              </w:rPr>
            </w:pPr>
            <w:r w:rsidRPr="00525E53">
              <w:rPr>
                <w:rFonts w:ascii="Wingdings 3" w:hAnsi="Wingdings 3"/>
                <w:color w:val="463F90" w:themeColor="accent4" w:themeShade="BF"/>
                <w:spacing w:val="-8"/>
                <w:szCs w:val="18"/>
              </w:rPr>
              <w:sym w:font="Wingdings 3" w:char="F084"/>
            </w:r>
          </w:p>
        </w:tc>
        <w:tc>
          <w:tcPr>
            <w:tcW w:w="65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177F14C8"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160</w:t>
            </w:r>
          </w:p>
        </w:tc>
        <w:tc>
          <w:tcPr>
            <w:tcW w:w="6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7324C" w:rsidRPr="00214364" w:rsidP="00B86F69" w14:paraId="014D068A" w14:textId="77777777">
            <w:pPr>
              <w:pStyle w:val="TableText"/>
              <w:spacing w:line="238" w:lineRule="auto"/>
              <w:ind w:right="-110"/>
              <w:jc w:val="center"/>
              <w:rPr>
                <w:rFonts w:ascii="Candara" w:hAnsi="Candara"/>
                <w:sz w:val="18"/>
                <w:szCs w:val="20"/>
              </w:rPr>
            </w:pPr>
            <w:r w:rsidRPr="00214364">
              <w:rPr>
                <w:rFonts w:ascii="Candara" w:hAnsi="Candara"/>
                <w:sz w:val="18"/>
                <w:szCs w:val="20"/>
              </w:rPr>
              <w:t>NIP</w:t>
            </w:r>
          </w:p>
        </w:tc>
        <w:tc>
          <w:tcPr>
            <w:tcW w:w="216" w:type="pct"/>
            <w:vMerge/>
            <w:tcBorders>
              <w:left w:val="single" w:sz="4" w:space="0" w:color="auto"/>
              <w:right w:val="single" w:sz="4" w:space="0" w:color="auto"/>
            </w:tcBorders>
          </w:tcPr>
          <w:p w:rsidR="00C7324C" w:rsidRPr="00214364" w:rsidP="00B86F69" w14:paraId="0300935C" w14:textId="77777777">
            <w:pPr>
              <w:pStyle w:val="TableText"/>
              <w:spacing w:line="238" w:lineRule="auto"/>
              <w:ind w:right="-110"/>
              <w:jc w:val="center"/>
              <w:rPr>
                <w:rFonts w:ascii="Candara" w:hAnsi="Candara"/>
                <w:b/>
                <w:sz w:val="18"/>
                <w:szCs w:val="20"/>
              </w:rPr>
            </w:pPr>
          </w:p>
        </w:tc>
      </w:tr>
      <w:tr w14:paraId="5EE645D3" w14:textId="77777777" w:rsidTr="00525E53">
        <w:tblPrEx>
          <w:tblW w:w="5459" w:type="pct"/>
          <w:jc w:val="center"/>
          <w:tblLayout w:type="fixed"/>
          <w:tblLook w:val="00A0"/>
        </w:tblPrEx>
        <w:trPr>
          <w:jc w:val="center"/>
        </w:trPr>
        <w:tc>
          <w:tcPr>
            <w:tcW w:w="322" w:type="pct"/>
            <w:shd w:val="clear" w:color="auto" w:fill="C39AE4" w:themeFill="accent2" w:themeFillTint="99"/>
            <w:tcMar>
              <w:left w:w="57" w:type="dxa"/>
              <w:right w:w="57" w:type="dxa"/>
            </w:tcMar>
          </w:tcPr>
          <w:p w:rsidR="00C7324C" w:rsidRPr="00525E53" w:rsidP="00B86F69" w14:paraId="56703464"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R</w:t>
            </w:r>
            <w:r w:rsidRPr="00525E53">
              <w:rPr>
                <w:rFonts w:ascii="Candara" w:hAnsi="Candara"/>
                <w:color w:val="000000" w:themeColor="text1"/>
                <w:spacing w:val="-8"/>
                <w:sz w:val="20"/>
                <w:szCs w:val="18"/>
                <w:vertAlign w:val="subscript"/>
              </w:rPr>
              <w:t>5</w:t>
            </w:r>
          </w:p>
        </w:tc>
        <w:tc>
          <w:tcPr>
            <w:tcW w:w="1422" w:type="pct"/>
            <w:tcMar>
              <w:left w:w="57" w:type="dxa"/>
              <w:right w:w="57" w:type="dxa"/>
            </w:tcMar>
          </w:tcPr>
          <w:p w:rsidR="00C7324C" w:rsidRPr="00214364" w:rsidP="00B86F69" w14:paraId="2996B8F8" w14:textId="77777777">
            <w:pPr>
              <w:spacing w:after="0" w:line="238" w:lineRule="auto"/>
              <w:rPr>
                <w:rFonts w:ascii="Candara" w:eastAsia="Times New Roman" w:hAnsi="Candara" w:cs="Times New Roman"/>
                <w:b/>
                <w:iCs/>
                <w:noProof/>
                <w:color w:val="000000" w:themeColor="text1"/>
                <w:spacing w:val="-8"/>
                <w:sz w:val="18"/>
                <w:szCs w:val="18"/>
                <w:lang w:eastAsia="lv-LV" w:bidi="lo-LA"/>
              </w:rPr>
            </w:pPr>
            <w:r w:rsidRPr="00214364">
              <w:rPr>
                <w:rFonts w:ascii="Candara" w:eastAsia="Times New Roman" w:hAnsi="Candara" w:cs="Times New Roman"/>
                <w:iCs/>
                <w:noProof/>
                <w:color w:val="000000" w:themeColor="text1"/>
                <w:spacing w:val="-8"/>
                <w:sz w:val="18"/>
                <w:szCs w:val="18"/>
                <w:lang w:eastAsia="lv-LV" w:bidi="lo-LA"/>
              </w:rPr>
              <w:t>Eksporta pieaugums (vidēji gadā salīdzināmās cenās, %)</w:t>
            </w:r>
          </w:p>
        </w:tc>
        <w:tc>
          <w:tcPr>
            <w:tcW w:w="401" w:type="pct"/>
            <w:tcMar>
              <w:left w:w="57" w:type="dxa"/>
              <w:right w:w="57" w:type="dxa"/>
            </w:tcMar>
            <w:vAlign w:val="center"/>
          </w:tcPr>
          <w:p w:rsidR="00C7324C" w:rsidRPr="00214364" w:rsidP="00B86F69" w14:paraId="1642D75D" w14:textId="77777777">
            <w:pPr>
              <w:pStyle w:val="TableText"/>
              <w:spacing w:line="238" w:lineRule="auto"/>
              <w:jc w:val="center"/>
              <w:rPr>
                <w:rFonts w:ascii="Candara" w:hAnsi="Candara"/>
                <w:bCs w:val="0"/>
                <w:iCs w:val="0"/>
                <w:color w:val="000000" w:themeColor="text1"/>
                <w:spacing w:val="-8"/>
                <w:sz w:val="18"/>
                <w:szCs w:val="18"/>
                <w:lang w:bidi="lo-LA"/>
              </w:rPr>
            </w:pPr>
            <w:r w:rsidRPr="00214364">
              <w:rPr>
                <w:rFonts w:ascii="Candara" w:hAnsi="Candara"/>
                <w:color w:val="000000" w:themeColor="text1"/>
                <w:spacing w:val="-8"/>
                <w:sz w:val="18"/>
                <w:szCs w:val="18"/>
              </w:rPr>
              <w:t>26,8</w:t>
            </w:r>
          </w:p>
        </w:tc>
        <w:tc>
          <w:tcPr>
            <w:tcW w:w="421" w:type="pct"/>
            <w:tcMar>
              <w:left w:w="57" w:type="dxa"/>
              <w:right w:w="57" w:type="dxa"/>
            </w:tcMar>
            <w:vAlign w:val="center"/>
          </w:tcPr>
          <w:p w:rsidR="00C7324C" w:rsidRPr="00214364" w:rsidP="00B86F69" w14:paraId="1D4CD96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1,0</w:t>
            </w:r>
          </w:p>
        </w:tc>
        <w:tc>
          <w:tcPr>
            <w:tcW w:w="510" w:type="pct"/>
            <w:shd w:val="clear" w:color="auto" w:fill="D9D9D9" w:themeFill="background1" w:themeFillShade="D9"/>
            <w:tcMar>
              <w:left w:w="57" w:type="dxa"/>
              <w:right w:w="57" w:type="dxa"/>
            </w:tcMar>
            <w:vAlign w:val="center"/>
          </w:tcPr>
          <w:p w:rsidR="00C7324C" w:rsidRPr="00214364" w:rsidP="00B86F69" w14:paraId="283C7333" w14:textId="77777777">
            <w:pPr>
              <w:pStyle w:val="TableText"/>
              <w:spacing w:line="238" w:lineRule="auto"/>
              <w:jc w:val="center"/>
              <w:rPr>
                <w:rFonts w:ascii="Candara" w:hAnsi="Candara"/>
                <w:color w:val="000000" w:themeColor="text1"/>
                <w:spacing w:val="-8"/>
                <w:sz w:val="18"/>
                <w:szCs w:val="18"/>
                <w:lang w:bidi="lo-LA"/>
              </w:rPr>
            </w:pPr>
            <w:r w:rsidRPr="00214364">
              <w:rPr>
                <w:rFonts w:ascii="Candara" w:hAnsi="Candara"/>
                <w:color w:val="000000" w:themeColor="text1"/>
                <w:spacing w:val="-8"/>
                <w:sz w:val="18"/>
                <w:szCs w:val="18"/>
                <w:lang w:bidi="lo-LA"/>
              </w:rPr>
              <w:t>2,6</w:t>
            </w:r>
          </w:p>
          <w:p w:rsidR="00C7324C" w:rsidRPr="00214364" w:rsidP="00B86F69" w14:paraId="321C22E7" w14:textId="77777777">
            <w:pPr>
              <w:pStyle w:val="TableText"/>
              <w:spacing w:line="238" w:lineRule="auto"/>
              <w:jc w:val="center"/>
              <w:rPr>
                <w:rFonts w:ascii="Candara" w:hAnsi="Candara"/>
                <w:color w:val="000000" w:themeColor="text1"/>
                <w:spacing w:val="-8"/>
                <w:sz w:val="18"/>
                <w:szCs w:val="18"/>
                <w:lang w:bidi="lo-LA"/>
              </w:rPr>
            </w:pPr>
            <w:r w:rsidRPr="00214364">
              <w:rPr>
                <w:rFonts w:ascii="Candara" w:hAnsi="Candara"/>
                <w:color w:val="000000" w:themeColor="text1"/>
                <w:spacing w:val="-8"/>
                <w:sz w:val="18"/>
                <w:szCs w:val="18"/>
                <w:lang w:bidi="lo-LA"/>
              </w:rPr>
              <w:t>(2016)</w:t>
            </w:r>
          </w:p>
        </w:tc>
        <w:tc>
          <w:tcPr>
            <w:tcW w:w="356" w:type="pct"/>
            <w:shd w:val="clear" w:color="auto" w:fill="D9D9D9" w:themeFill="background1" w:themeFillShade="D9"/>
            <w:tcMar>
              <w:left w:w="57" w:type="dxa"/>
              <w:right w:w="57" w:type="dxa"/>
            </w:tcMar>
            <w:vAlign w:val="center"/>
          </w:tcPr>
          <w:p w:rsidR="00C7324C" w:rsidRPr="00525E53" w:rsidP="00B86F69" w14:paraId="7C73B44F" w14:textId="77777777">
            <w:pPr>
              <w:pStyle w:val="TableText"/>
              <w:spacing w:line="238" w:lineRule="auto"/>
              <w:jc w:val="center"/>
              <w:rPr>
                <w:rFonts w:ascii="Candara" w:hAnsi="Candara"/>
                <w:color w:val="000000" w:themeColor="text1"/>
                <w:spacing w:val="-8"/>
                <w:szCs w:val="18"/>
              </w:rPr>
            </w:pPr>
            <w:r w:rsidRPr="00525E53">
              <w:rPr>
                <w:rFonts w:ascii="Wingdings 3" w:hAnsi="Wingdings 3"/>
                <w:color w:val="463F90" w:themeColor="accent4" w:themeShade="BF"/>
                <w:spacing w:val="-8"/>
                <w:szCs w:val="18"/>
              </w:rPr>
              <w:sym w:font="Wingdings 3" w:char="F084"/>
            </w:r>
          </w:p>
        </w:tc>
        <w:tc>
          <w:tcPr>
            <w:tcW w:w="653" w:type="pct"/>
            <w:vAlign w:val="center"/>
          </w:tcPr>
          <w:p w:rsidR="00C7324C" w:rsidRPr="00214364" w:rsidP="00B86F69" w14:paraId="7DD923F8"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lang w:bidi="lo-LA"/>
              </w:rPr>
              <w:t xml:space="preserve">5 </w:t>
            </w:r>
            <w:r w:rsidRPr="00214364">
              <w:rPr>
                <w:rFonts w:ascii="Candara" w:hAnsi="Candara"/>
                <w:color w:val="000000" w:themeColor="text1"/>
                <w:spacing w:val="-8"/>
                <w:sz w:val="18"/>
                <w:szCs w:val="18"/>
                <w:lang w:bidi="lo-LA"/>
              </w:rPr>
              <w:t>(2018.-2020.g., vidēji gadā)</w:t>
            </w:r>
          </w:p>
        </w:tc>
        <w:tc>
          <w:tcPr>
            <w:tcW w:w="699" w:type="pct"/>
            <w:tcBorders>
              <w:right w:val="single" w:sz="4" w:space="0" w:color="auto"/>
            </w:tcBorders>
            <w:tcMar>
              <w:left w:w="57" w:type="dxa"/>
              <w:right w:w="57" w:type="dxa"/>
            </w:tcMar>
            <w:vAlign w:val="center"/>
          </w:tcPr>
          <w:p w:rsidR="00C7324C" w:rsidRPr="00214364" w:rsidP="00B86F69" w14:paraId="0E45E93E" w14:textId="77777777">
            <w:pPr>
              <w:pStyle w:val="TableText"/>
              <w:spacing w:line="238" w:lineRule="auto"/>
              <w:ind w:right="-110"/>
              <w:jc w:val="center"/>
              <w:rPr>
                <w:rFonts w:ascii="Candara" w:hAnsi="Candara"/>
                <w:sz w:val="18"/>
                <w:szCs w:val="20"/>
              </w:rPr>
            </w:pPr>
            <w:r w:rsidRPr="00214364">
              <w:rPr>
                <w:rFonts w:ascii="Candara" w:hAnsi="Candara"/>
                <w:sz w:val="18"/>
                <w:szCs w:val="20"/>
              </w:rPr>
              <w:t>LPPEVĀVP</w:t>
            </w:r>
          </w:p>
        </w:tc>
        <w:tc>
          <w:tcPr>
            <w:tcW w:w="216" w:type="pct"/>
            <w:vMerge/>
            <w:tcBorders>
              <w:left w:val="single" w:sz="4" w:space="0" w:color="auto"/>
              <w:right w:val="single" w:sz="4" w:space="0" w:color="auto"/>
            </w:tcBorders>
          </w:tcPr>
          <w:p w:rsidR="00C7324C" w:rsidRPr="00214364" w:rsidP="00B86F69" w14:paraId="2B11A4A6" w14:textId="77777777">
            <w:pPr>
              <w:pStyle w:val="TableText"/>
              <w:spacing w:line="238" w:lineRule="auto"/>
              <w:ind w:right="-110"/>
              <w:jc w:val="center"/>
              <w:rPr>
                <w:rFonts w:ascii="Candara" w:hAnsi="Candara"/>
                <w:b/>
                <w:sz w:val="18"/>
                <w:szCs w:val="20"/>
              </w:rPr>
            </w:pPr>
          </w:p>
        </w:tc>
      </w:tr>
      <w:tr w14:paraId="46983A38" w14:textId="77777777" w:rsidTr="00525E53">
        <w:tblPrEx>
          <w:tblW w:w="5459" w:type="pct"/>
          <w:jc w:val="center"/>
          <w:tblLayout w:type="fixed"/>
          <w:tblLook w:val="00A0"/>
        </w:tblPrEx>
        <w:trPr>
          <w:jc w:val="center"/>
        </w:trPr>
        <w:tc>
          <w:tcPr>
            <w:tcW w:w="322" w:type="pct"/>
            <w:shd w:val="clear" w:color="auto" w:fill="C39AE4" w:themeFill="accent2" w:themeFillTint="99"/>
            <w:tcMar>
              <w:left w:w="57" w:type="dxa"/>
              <w:right w:w="57" w:type="dxa"/>
            </w:tcMar>
          </w:tcPr>
          <w:p w:rsidR="00C7324C" w:rsidRPr="00525E53" w:rsidP="00B86F69" w14:paraId="4311A178"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R</w:t>
            </w:r>
            <w:r w:rsidRPr="00525E53">
              <w:rPr>
                <w:rFonts w:ascii="Candara" w:hAnsi="Candara"/>
                <w:color w:val="000000" w:themeColor="text1"/>
                <w:spacing w:val="-8"/>
                <w:sz w:val="20"/>
                <w:szCs w:val="18"/>
                <w:vertAlign w:val="subscript"/>
              </w:rPr>
              <w:t>6</w:t>
            </w:r>
          </w:p>
        </w:tc>
        <w:tc>
          <w:tcPr>
            <w:tcW w:w="1422" w:type="pct"/>
            <w:tcMar>
              <w:left w:w="57" w:type="dxa"/>
              <w:right w:w="57" w:type="dxa"/>
            </w:tcMar>
          </w:tcPr>
          <w:p w:rsidR="00C7324C" w:rsidRPr="00214364" w:rsidP="00B86F69" w14:paraId="166C4F10" w14:textId="77777777">
            <w:pPr>
              <w:spacing w:after="0" w:line="238" w:lineRule="auto"/>
              <w:rPr>
                <w:rFonts w:ascii="Candara" w:eastAsia="Times New Roman" w:hAnsi="Candara" w:cs="Times New Roman"/>
                <w:b/>
                <w:iCs/>
                <w:noProof/>
                <w:color w:val="000000" w:themeColor="text1"/>
                <w:spacing w:val="-8"/>
                <w:sz w:val="18"/>
                <w:szCs w:val="18"/>
                <w:lang w:eastAsia="lv-LV" w:bidi="lo-LA"/>
              </w:rPr>
            </w:pPr>
            <w:r w:rsidRPr="00214364">
              <w:rPr>
                <w:rFonts w:ascii="Candara" w:eastAsia="Times New Roman" w:hAnsi="Candara" w:cs="Times New Roman"/>
                <w:iCs/>
                <w:noProof/>
                <w:color w:val="000000" w:themeColor="text1"/>
                <w:spacing w:val="-8"/>
                <w:sz w:val="18"/>
                <w:szCs w:val="18"/>
                <w:lang w:eastAsia="lv-LV" w:bidi="lo-LA"/>
              </w:rPr>
              <w:t>Augsto tehnoloģiju produktu īpatsvars Latvijas kopējā eksportā (%)</w:t>
            </w:r>
            <w:r>
              <w:rPr>
                <w:rStyle w:val="FootnoteReference"/>
                <w:rFonts w:ascii="Candara" w:eastAsia="Times New Roman" w:hAnsi="Candara" w:cs="Times New Roman"/>
                <w:iCs/>
                <w:noProof/>
                <w:color w:val="000000" w:themeColor="text1"/>
                <w:spacing w:val="-8"/>
                <w:sz w:val="18"/>
                <w:szCs w:val="18"/>
                <w:lang w:eastAsia="lv-LV" w:bidi="lo-LA"/>
              </w:rPr>
              <w:footnoteReference w:id="11"/>
            </w:r>
          </w:p>
        </w:tc>
        <w:tc>
          <w:tcPr>
            <w:tcW w:w="401" w:type="pct"/>
            <w:tcMar>
              <w:left w:w="57" w:type="dxa"/>
              <w:right w:w="57" w:type="dxa"/>
            </w:tcMar>
            <w:vAlign w:val="center"/>
          </w:tcPr>
          <w:p w:rsidR="00C7324C" w:rsidRPr="00214364" w:rsidP="00B86F69" w14:paraId="5421E3D1" w14:textId="77777777">
            <w:pPr>
              <w:pStyle w:val="TableText"/>
              <w:spacing w:line="238" w:lineRule="auto"/>
              <w:jc w:val="center"/>
              <w:rPr>
                <w:rFonts w:ascii="Candara" w:hAnsi="Candara"/>
                <w:bCs w:val="0"/>
                <w:iCs w:val="0"/>
                <w:color w:val="000000" w:themeColor="text1"/>
                <w:spacing w:val="-8"/>
                <w:sz w:val="18"/>
                <w:szCs w:val="18"/>
                <w:lang w:bidi="lo-LA"/>
              </w:rPr>
            </w:pPr>
            <w:r w:rsidRPr="00214364">
              <w:rPr>
                <w:rFonts w:ascii="Candara" w:hAnsi="Candara"/>
                <w:color w:val="000000" w:themeColor="text1"/>
                <w:spacing w:val="-8"/>
                <w:sz w:val="18"/>
                <w:szCs w:val="18"/>
              </w:rPr>
              <w:t>4,8</w:t>
            </w:r>
          </w:p>
        </w:tc>
        <w:tc>
          <w:tcPr>
            <w:tcW w:w="421" w:type="pct"/>
            <w:tcMar>
              <w:left w:w="57" w:type="dxa"/>
              <w:right w:w="57" w:type="dxa"/>
            </w:tcMar>
            <w:vAlign w:val="center"/>
          </w:tcPr>
          <w:p w:rsidR="00C7324C" w:rsidRPr="00214364" w:rsidP="00B86F69" w14:paraId="332D9BF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8,0</w:t>
            </w:r>
          </w:p>
        </w:tc>
        <w:tc>
          <w:tcPr>
            <w:tcW w:w="510" w:type="pct"/>
            <w:shd w:val="clear" w:color="auto" w:fill="D9D9D9" w:themeFill="background1" w:themeFillShade="D9"/>
            <w:tcMar>
              <w:left w:w="57" w:type="dxa"/>
              <w:right w:w="57" w:type="dxa"/>
            </w:tcMar>
            <w:vAlign w:val="center"/>
          </w:tcPr>
          <w:p w:rsidR="00C7324C" w:rsidRPr="00214364" w:rsidP="00B86F69" w14:paraId="77C476A4" w14:textId="77777777">
            <w:pPr>
              <w:pStyle w:val="TableText"/>
              <w:spacing w:line="238" w:lineRule="auto"/>
              <w:jc w:val="center"/>
              <w:rPr>
                <w:rFonts w:ascii="Candara" w:hAnsi="Candara"/>
                <w:color w:val="000000" w:themeColor="text1"/>
                <w:spacing w:val="-8"/>
                <w:sz w:val="18"/>
                <w:szCs w:val="18"/>
                <w:lang w:bidi="lo-LA"/>
              </w:rPr>
            </w:pPr>
            <w:r w:rsidRPr="00214364">
              <w:rPr>
                <w:rFonts w:ascii="Candara" w:hAnsi="Candara"/>
                <w:color w:val="000000" w:themeColor="text1"/>
                <w:spacing w:val="-8"/>
                <w:sz w:val="18"/>
                <w:szCs w:val="18"/>
                <w:lang w:bidi="lo-LA"/>
              </w:rPr>
              <w:t>9,8</w:t>
            </w:r>
          </w:p>
          <w:p w:rsidR="00C7324C" w:rsidRPr="00214364" w:rsidP="00B86F69" w14:paraId="470868B7" w14:textId="77777777">
            <w:pPr>
              <w:pStyle w:val="TableText"/>
              <w:spacing w:line="238" w:lineRule="auto"/>
              <w:jc w:val="center"/>
              <w:rPr>
                <w:rFonts w:ascii="Candara" w:hAnsi="Candara"/>
                <w:color w:val="000000" w:themeColor="text1"/>
                <w:spacing w:val="-8"/>
                <w:sz w:val="18"/>
                <w:szCs w:val="18"/>
                <w:lang w:bidi="lo-LA"/>
              </w:rPr>
            </w:pPr>
            <w:r w:rsidRPr="00214364">
              <w:rPr>
                <w:rFonts w:ascii="Candara" w:hAnsi="Candara"/>
                <w:color w:val="000000" w:themeColor="text1"/>
                <w:spacing w:val="-8"/>
                <w:sz w:val="18"/>
                <w:szCs w:val="18"/>
                <w:lang w:bidi="lo-LA"/>
              </w:rPr>
              <w:t>(2015)</w:t>
            </w:r>
          </w:p>
        </w:tc>
        <w:tc>
          <w:tcPr>
            <w:tcW w:w="356" w:type="pct"/>
            <w:shd w:val="clear" w:color="auto" w:fill="FFFF00"/>
            <w:tcMar>
              <w:left w:w="57" w:type="dxa"/>
              <w:right w:w="57" w:type="dxa"/>
            </w:tcMar>
            <w:vAlign w:val="center"/>
          </w:tcPr>
          <w:p w:rsidR="00C7324C" w:rsidRPr="00525E53" w:rsidP="00B86F69" w14:paraId="28A60721" w14:textId="77777777">
            <w:pPr>
              <w:pStyle w:val="TableText"/>
              <w:spacing w:line="238" w:lineRule="auto"/>
              <w:jc w:val="center"/>
              <w:rPr>
                <w:rFonts w:ascii="Candara" w:hAnsi="Candara"/>
                <w:color w:val="000000" w:themeColor="text1"/>
                <w:spacing w:val="-8"/>
                <w:szCs w:val="18"/>
              </w:rPr>
            </w:pPr>
            <w:r w:rsidRPr="00525E53">
              <w:rPr>
                <w:rFonts w:ascii="Wingdings 3" w:hAnsi="Wingdings 3"/>
                <w:color w:val="463F90" w:themeColor="accent4" w:themeShade="BF"/>
                <w:spacing w:val="-8"/>
                <w:szCs w:val="18"/>
              </w:rPr>
              <w:sym w:font="Wingdings 3" w:char="F084"/>
            </w:r>
          </w:p>
        </w:tc>
        <w:tc>
          <w:tcPr>
            <w:tcW w:w="653" w:type="pct"/>
            <w:tcMar>
              <w:left w:w="57" w:type="dxa"/>
              <w:right w:w="57" w:type="dxa"/>
            </w:tcMar>
            <w:vAlign w:val="center"/>
          </w:tcPr>
          <w:p w:rsidR="00C7324C" w:rsidRPr="00214364" w:rsidP="00B86F69" w14:paraId="046C3DE1" w14:textId="77777777">
            <w:pPr>
              <w:spacing w:after="0" w:line="238" w:lineRule="auto"/>
              <w:jc w:val="center"/>
              <w:rPr>
                <w:rFonts w:ascii="Candara" w:eastAsia="Times New Roman" w:hAnsi="Candara" w:cs="Times New Roman"/>
                <w:bCs/>
                <w:iCs/>
                <w:noProof/>
                <w:color w:val="000000" w:themeColor="text1"/>
                <w:spacing w:val="-8"/>
                <w:sz w:val="18"/>
                <w:szCs w:val="18"/>
                <w:lang w:eastAsia="lv-LV" w:bidi="lo-LA"/>
              </w:rPr>
            </w:pPr>
            <w:r w:rsidRPr="00214364">
              <w:rPr>
                <w:rFonts w:ascii="Candara" w:eastAsia="Times New Roman" w:hAnsi="Candara" w:cs="Times New Roman"/>
                <w:bCs/>
                <w:iCs/>
                <w:noProof/>
                <w:color w:val="000000" w:themeColor="text1"/>
                <w:spacing w:val="-8"/>
                <w:sz w:val="18"/>
                <w:szCs w:val="18"/>
                <w:lang w:eastAsia="lv-LV" w:bidi="lo-LA"/>
              </w:rPr>
              <w:t>11%</w:t>
            </w:r>
          </w:p>
        </w:tc>
        <w:tc>
          <w:tcPr>
            <w:tcW w:w="699" w:type="pct"/>
            <w:tcBorders>
              <w:right w:val="single" w:sz="4" w:space="0" w:color="auto"/>
            </w:tcBorders>
            <w:tcMar>
              <w:left w:w="57" w:type="dxa"/>
              <w:right w:w="57" w:type="dxa"/>
            </w:tcMar>
            <w:vAlign w:val="center"/>
          </w:tcPr>
          <w:p w:rsidR="00C7324C" w:rsidRPr="00214364" w:rsidP="00B86F69" w14:paraId="478E9FC1" w14:textId="77777777">
            <w:pPr>
              <w:pStyle w:val="TableText"/>
              <w:spacing w:line="238" w:lineRule="auto"/>
              <w:ind w:right="-110"/>
              <w:jc w:val="center"/>
              <w:rPr>
                <w:rFonts w:ascii="Candara" w:hAnsi="Candara"/>
                <w:sz w:val="18"/>
                <w:szCs w:val="20"/>
              </w:rPr>
            </w:pPr>
            <w:r w:rsidRPr="00214364">
              <w:rPr>
                <w:rFonts w:ascii="Candara" w:hAnsi="Candara"/>
                <w:sz w:val="18"/>
                <w:szCs w:val="20"/>
              </w:rPr>
              <w:t>LPPEVĀVP</w:t>
            </w:r>
          </w:p>
        </w:tc>
        <w:tc>
          <w:tcPr>
            <w:tcW w:w="216" w:type="pct"/>
            <w:vMerge/>
            <w:tcBorders>
              <w:left w:val="single" w:sz="4" w:space="0" w:color="auto"/>
              <w:right w:val="single" w:sz="4" w:space="0" w:color="auto"/>
            </w:tcBorders>
          </w:tcPr>
          <w:p w:rsidR="00C7324C" w:rsidRPr="00214364" w:rsidP="00B86F69" w14:paraId="45937FBC" w14:textId="77777777">
            <w:pPr>
              <w:pStyle w:val="TableText"/>
              <w:spacing w:line="238" w:lineRule="auto"/>
              <w:ind w:right="-110"/>
              <w:jc w:val="center"/>
              <w:rPr>
                <w:rFonts w:ascii="Candara" w:hAnsi="Candara"/>
                <w:b/>
                <w:sz w:val="18"/>
                <w:szCs w:val="20"/>
              </w:rPr>
            </w:pPr>
          </w:p>
        </w:tc>
      </w:tr>
      <w:tr w14:paraId="1B9BA8BF" w14:textId="77777777" w:rsidTr="00525E53">
        <w:tblPrEx>
          <w:tblW w:w="5459" w:type="pct"/>
          <w:jc w:val="center"/>
          <w:tblLayout w:type="fixed"/>
          <w:tblLook w:val="00A0"/>
        </w:tblPrEx>
        <w:trPr>
          <w:jc w:val="center"/>
        </w:trPr>
        <w:tc>
          <w:tcPr>
            <w:tcW w:w="322" w:type="pct"/>
            <w:shd w:val="clear" w:color="auto" w:fill="C39AE4" w:themeFill="accent2" w:themeFillTint="99"/>
            <w:tcMar>
              <w:left w:w="57" w:type="dxa"/>
              <w:right w:w="57" w:type="dxa"/>
            </w:tcMar>
          </w:tcPr>
          <w:p w:rsidR="00C7324C" w:rsidRPr="00525E53" w:rsidP="00B86F69" w14:paraId="58FE57E6"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R</w:t>
            </w:r>
            <w:r w:rsidRPr="00525E53">
              <w:rPr>
                <w:rFonts w:ascii="Candara" w:hAnsi="Candara"/>
                <w:color w:val="000000" w:themeColor="text1"/>
                <w:spacing w:val="-8"/>
                <w:sz w:val="20"/>
                <w:szCs w:val="18"/>
                <w:vertAlign w:val="subscript"/>
              </w:rPr>
              <w:t>7</w:t>
            </w:r>
          </w:p>
        </w:tc>
        <w:tc>
          <w:tcPr>
            <w:tcW w:w="1422" w:type="pct"/>
            <w:tcMar>
              <w:left w:w="57" w:type="dxa"/>
              <w:right w:w="57" w:type="dxa"/>
            </w:tcMar>
          </w:tcPr>
          <w:p w:rsidR="00C7324C" w:rsidRPr="00214364" w:rsidP="00B86F69" w14:paraId="307EFF6D" w14:textId="77777777">
            <w:pPr>
              <w:pStyle w:val="TableText"/>
              <w:spacing w:line="238" w:lineRule="auto"/>
              <w:jc w:val="left"/>
              <w:rPr>
                <w:rFonts w:ascii="Candara" w:hAnsi="Candara"/>
                <w:color w:val="000000" w:themeColor="text1"/>
                <w:spacing w:val="-8"/>
                <w:sz w:val="18"/>
                <w:szCs w:val="18"/>
              </w:rPr>
            </w:pPr>
            <w:r w:rsidRPr="00214364">
              <w:rPr>
                <w:rFonts w:ascii="Candara" w:hAnsi="Candara"/>
                <w:color w:val="000000" w:themeColor="text1"/>
                <w:spacing w:val="-8"/>
                <w:sz w:val="18"/>
                <w:szCs w:val="18"/>
              </w:rPr>
              <w:t xml:space="preserve">Augsto un vidēji augsto tehnoloģiju nozaru īpatsvars Latvijas preču eksportā </w:t>
            </w:r>
          </w:p>
        </w:tc>
        <w:tc>
          <w:tcPr>
            <w:tcW w:w="401" w:type="pct"/>
            <w:tcMar>
              <w:left w:w="57" w:type="dxa"/>
              <w:right w:w="57" w:type="dxa"/>
            </w:tcMar>
            <w:vAlign w:val="center"/>
          </w:tcPr>
          <w:p w:rsidR="00C7324C" w:rsidRPr="00214364" w:rsidP="00B86F69" w14:paraId="1319CF84"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4,8</w:t>
            </w:r>
          </w:p>
        </w:tc>
        <w:tc>
          <w:tcPr>
            <w:tcW w:w="421" w:type="pct"/>
            <w:tcMar>
              <w:left w:w="57" w:type="dxa"/>
              <w:right w:w="57" w:type="dxa"/>
            </w:tcMar>
            <w:vAlign w:val="center"/>
          </w:tcPr>
          <w:p w:rsidR="00C7324C" w:rsidRPr="00214364" w:rsidP="00B86F69" w14:paraId="603AC967"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8,0</w:t>
            </w:r>
          </w:p>
        </w:tc>
        <w:tc>
          <w:tcPr>
            <w:tcW w:w="510" w:type="pct"/>
            <w:shd w:val="clear" w:color="auto" w:fill="D9D9D9" w:themeFill="background1" w:themeFillShade="D9"/>
            <w:tcMar>
              <w:left w:w="57" w:type="dxa"/>
              <w:right w:w="57" w:type="dxa"/>
            </w:tcMar>
            <w:vAlign w:val="center"/>
          </w:tcPr>
          <w:p w:rsidR="00C7324C" w:rsidRPr="00214364" w:rsidP="00B86F69" w14:paraId="4A4D5513"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9,8</w:t>
            </w:r>
          </w:p>
        </w:tc>
        <w:tc>
          <w:tcPr>
            <w:tcW w:w="356" w:type="pct"/>
            <w:shd w:val="clear" w:color="auto" w:fill="D9D9D9" w:themeFill="background1" w:themeFillShade="D9"/>
            <w:tcMar>
              <w:left w:w="57" w:type="dxa"/>
              <w:right w:w="57" w:type="dxa"/>
            </w:tcMar>
            <w:vAlign w:val="center"/>
          </w:tcPr>
          <w:p w:rsidR="00C7324C" w:rsidRPr="00525E53" w:rsidP="00B86F69" w14:paraId="13C59FE2" w14:textId="77777777">
            <w:pPr>
              <w:pStyle w:val="TableText"/>
              <w:spacing w:line="238" w:lineRule="auto"/>
              <w:jc w:val="center"/>
              <w:rPr>
                <w:rFonts w:ascii="Candara" w:hAnsi="Candara"/>
                <w:color w:val="000000" w:themeColor="text1"/>
                <w:spacing w:val="-8"/>
                <w:szCs w:val="18"/>
              </w:rPr>
            </w:pPr>
            <w:r w:rsidRPr="00525E53">
              <w:rPr>
                <w:rFonts w:ascii="Wingdings 3" w:hAnsi="Wingdings 3"/>
                <w:color w:val="463F90" w:themeColor="accent4" w:themeShade="BF"/>
                <w:spacing w:val="-8"/>
                <w:szCs w:val="18"/>
              </w:rPr>
              <w:sym w:font="Wingdings 3" w:char="F084"/>
            </w:r>
          </w:p>
        </w:tc>
        <w:tc>
          <w:tcPr>
            <w:tcW w:w="653" w:type="pct"/>
            <w:tcMar>
              <w:left w:w="57" w:type="dxa"/>
              <w:right w:w="57" w:type="dxa"/>
            </w:tcMar>
            <w:vAlign w:val="center"/>
          </w:tcPr>
          <w:p w:rsidR="00C7324C" w:rsidRPr="00214364" w:rsidP="00B86F69" w14:paraId="1F935CBF"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31%</w:t>
            </w:r>
          </w:p>
        </w:tc>
        <w:tc>
          <w:tcPr>
            <w:tcW w:w="699" w:type="pct"/>
            <w:tcBorders>
              <w:right w:val="single" w:sz="4" w:space="0" w:color="auto"/>
            </w:tcBorders>
            <w:tcMar>
              <w:left w:w="57" w:type="dxa"/>
              <w:right w:w="57" w:type="dxa"/>
            </w:tcMar>
            <w:vAlign w:val="center"/>
          </w:tcPr>
          <w:p w:rsidR="00C7324C" w:rsidRPr="00214364" w:rsidP="00B86F69" w14:paraId="7359D557" w14:textId="77777777">
            <w:pPr>
              <w:pStyle w:val="TableText"/>
              <w:spacing w:line="238" w:lineRule="auto"/>
              <w:ind w:right="-110"/>
              <w:jc w:val="center"/>
              <w:rPr>
                <w:rFonts w:ascii="Candara" w:hAnsi="Candara"/>
                <w:color w:val="000000" w:themeColor="text1"/>
                <w:spacing w:val="-8"/>
                <w:sz w:val="18"/>
                <w:szCs w:val="20"/>
              </w:rPr>
            </w:pPr>
            <w:r w:rsidRPr="00214364">
              <w:rPr>
                <w:rFonts w:ascii="Candara" w:hAnsi="Candara"/>
                <w:sz w:val="18"/>
                <w:szCs w:val="20"/>
              </w:rPr>
              <w:t>ZTAI</w:t>
            </w:r>
          </w:p>
        </w:tc>
        <w:tc>
          <w:tcPr>
            <w:tcW w:w="216" w:type="pct"/>
            <w:vMerge/>
            <w:tcBorders>
              <w:left w:val="single" w:sz="4" w:space="0" w:color="auto"/>
              <w:right w:val="single" w:sz="4" w:space="0" w:color="auto"/>
            </w:tcBorders>
          </w:tcPr>
          <w:p w:rsidR="00C7324C" w:rsidRPr="00214364" w:rsidP="00B86F69" w14:paraId="585A4F28" w14:textId="77777777">
            <w:pPr>
              <w:pStyle w:val="TableText"/>
              <w:spacing w:line="238" w:lineRule="auto"/>
              <w:ind w:right="-110"/>
              <w:jc w:val="center"/>
              <w:rPr>
                <w:rFonts w:ascii="Candara" w:hAnsi="Candara"/>
                <w:b/>
                <w:sz w:val="18"/>
                <w:szCs w:val="20"/>
              </w:rPr>
            </w:pPr>
          </w:p>
        </w:tc>
      </w:tr>
      <w:tr w14:paraId="33330358" w14:textId="77777777" w:rsidTr="00525E53">
        <w:tblPrEx>
          <w:tblW w:w="5459" w:type="pct"/>
          <w:jc w:val="center"/>
          <w:tblLayout w:type="fixed"/>
          <w:tblLook w:val="00A0"/>
        </w:tblPrEx>
        <w:trPr>
          <w:jc w:val="center"/>
        </w:trPr>
        <w:tc>
          <w:tcPr>
            <w:tcW w:w="322" w:type="pct"/>
            <w:shd w:val="clear" w:color="auto" w:fill="C39AE4" w:themeFill="accent2" w:themeFillTint="99"/>
            <w:tcMar>
              <w:left w:w="57" w:type="dxa"/>
              <w:right w:w="57" w:type="dxa"/>
            </w:tcMar>
          </w:tcPr>
          <w:p w:rsidR="00C7324C" w:rsidRPr="00525E53" w:rsidP="00B86F69" w14:paraId="3DA55A7D" w14:textId="77777777">
            <w:pPr>
              <w:pStyle w:val="TableText"/>
              <w:spacing w:line="238" w:lineRule="auto"/>
              <w:jc w:val="left"/>
              <w:rPr>
                <w:rFonts w:ascii="Candara" w:hAnsi="Candara"/>
                <w:color w:val="000000" w:themeColor="text1"/>
                <w:spacing w:val="-8"/>
                <w:sz w:val="20"/>
                <w:szCs w:val="18"/>
              </w:rPr>
            </w:pPr>
            <w:r w:rsidRPr="00525E53">
              <w:rPr>
                <w:rFonts w:ascii="Candara" w:hAnsi="Candara"/>
                <w:color w:val="000000" w:themeColor="text1"/>
                <w:spacing w:val="-8"/>
                <w:sz w:val="20"/>
                <w:szCs w:val="18"/>
              </w:rPr>
              <w:t>R</w:t>
            </w:r>
            <w:r w:rsidRPr="00525E53">
              <w:rPr>
                <w:rFonts w:ascii="Candara" w:hAnsi="Candara"/>
                <w:color w:val="000000" w:themeColor="text1"/>
                <w:spacing w:val="-8"/>
                <w:sz w:val="20"/>
                <w:szCs w:val="18"/>
                <w:vertAlign w:val="subscript"/>
              </w:rPr>
              <w:t>8</w:t>
            </w:r>
          </w:p>
        </w:tc>
        <w:tc>
          <w:tcPr>
            <w:tcW w:w="1422" w:type="pct"/>
            <w:tcMar>
              <w:left w:w="57" w:type="dxa"/>
              <w:right w:w="57" w:type="dxa"/>
            </w:tcMar>
          </w:tcPr>
          <w:p w:rsidR="00C7324C" w:rsidRPr="00214364" w:rsidP="00B86F69" w14:paraId="0B8D429B" w14:textId="77777777">
            <w:pPr>
              <w:spacing w:after="0" w:line="238" w:lineRule="auto"/>
              <w:rPr>
                <w:rFonts w:ascii="Candara" w:eastAsia="Times New Roman" w:hAnsi="Candara" w:cs="Times New Roman"/>
                <w:b/>
                <w:iCs/>
                <w:noProof/>
                <w:color w:val="000000" w:themeColor="text1"/>
                <w:spacing w:val="-8"/>
                <w:sz w:val="18"/>
                <w:szCs w:val="18"/>
                <w:lang w:eastAsia="lv-LV" w:bidi="lo-LA"/>
              </w:rPr>
            </w:pPr>
            <w:r w:rsidRPr="00214364">
              <w:rPr>
                <w:rFonts w:ascii="Candara" w:eastAsia="Times New Roman" w:hAnsi="Candara" w:cs="Times New Roman"/>
                <w:iCs/>
                <w:noProof/>
                <w:color w:val="000000" w:themeColor="text1"/>
                <w:spacing w:val="-8"/>
                <w:sz w:val="18"/>
                <w:szCs w:val="18"/>
                <w:lang w:eastAsia="lv-LV" w:bidi="lo-LA"/>
              </w:rPr>
              <w:t>ĀTI snieguma indekss (Baltijas reģionā)</w:t>
            </w:r>
          </w:p>
        </w:tc>
        <w:tc>
          <w:tcPr>
            <w:tcW w:w="401" w:type="pct"/>
            <w:tcMar>
              <w:left w:w="57" w:type="dxa"/>
              <w:right w:w="57" w:type="dxa"/>
            </w:tcMar>
            <w:vAlign w:val="center"/>
          </w:tcPr>
          <w:p w:rsidR="00C7324C" w:rsidRPr="00214364" w:rsidP="00B86F69" w14:paraId="4540FBF1" w14:textId="77777777">
            <w:pPr>
              <w:pStyle w:val="TableText"/>
              <w:spacing w:line="238" w:lineRule="auto"/>
              <w:jc w:val="center"/>
              <w:rPr>
                <w:rFonts w:ascii="Candara" w:hAnsi="Candara"/>
                <w:bCs w:val="0"/>
                <w:iCs w:val="0"/>
                <w:color w:val="000000" w:themeColor="text1"/>
                <w:spacing w:val="-8"/>
                <w:sz w:val="18"/>
                <w:szCs w:val="18"/>
                <w:lang w:bidi="lo-LA"/>
              </w:rPr>
            </w:pPr>
            <w:r w:rsidRPr="00214364">
              <w:rPr>
                <w:rFonts w:ascii="Candara" w:hAnsi="Candara"/>
                <w:color w:val="000000" w:themeColor="text1"/>
                <w:spacing w:val="-8"/>
                <w:sz w:val="18"/>
                <w:szCs w:val="18"/>
                <w:lang w:bidi="lo-LA"/>
              </w:rPr>
              <w:t>1,6</w:t>
            </w:r>
          </w:p>
        </w:tc>
        <w:tc>
          <w:tcPr>
            <w:tcW w:w="421" w:type="pct"/>
            <w:tcMar>
              <w:left w:w="57" w:type="dxa"/>
              <w:right w:w="57" w:type="dxa"/>
            </w:tcMar>
            <w:vAlign w:val="center"/>
          </w:tcPr>
          <w:p w:rsidR="00C7324C" w:rsidRPr="00214364" w:rsidP="00B86F69" w14:paraId="690E18E7" w14:textId="77777777">
            <w:pPr>
              <w:pStyle w:val="TableText"/>
              <w:spacing w:line="238" w:lineRule="auto"/>
              <w:jc w:val="center"/>
              <w:rPr>
                <w:rFonts w:ascii="Candara" w:hAnsi="Candara"/>
                <w:color w:val="000000" w:themeColor="text1"/>
                <w:spacing w:val="-8"/>
                <w:sz w:val="18"/>
                <w:szCs w:val="18"/>
              </w:rPr>
            </w:pPr>
            <w:r w:rsidRPr="00214364">
              <w:rPr>
                <w:rFonts w:ascii="Candara" w:hAnsi="Candara"/>
                <w:color w:val="000000" w:themeColor="text1"/>
                <w:spacing w:val="-8"/>
                <w:sz w:val="18"/>
                <w:szCs w:val="18"/>
              </w:rPr>
              <w:t>3,0</w:t>
            </w:r>
          </w:p>
        </w:tc>
        <w:tc>
          <w:tcPr>
            <w:tcW w:w="510" w:type="pct"/>
            <w:shd w:val="clear" w:color="auto" w:fill="D9D9D9" w:themeFill="background1" w:themeFillShade="D9"/>
            <w:tcMar>
              <w:left w:w="57" w:type="dxa"/>
              <w:right w:w="57" w:type="dxa"/>
            </w:tcMar>
            <w:vAlign w:val="center"/>
          </w:tcPr>
          <w:p w:rsidR="00C7324C" w:rsidRPr="00214364" w:rsidP="00B86F69" w14:paraId="5CDE3347" w14:textId="77777777">
            <w:pPr>
              <w:pStyle w:val="TableText"/>
              <w:spacing w:line="238" w:lineRule="auto"/>
              <w:jc w:val="center"/>
              <w:rPr>
                <w:rFonts w:ascii="Candara" w:hAnsi="Candara"/>
                <w:color w:val="000000" w:themeColor="text1"/>
                <w:spacing w:val="-8"/>
                <w:sz w:val="18"/>
                <w:szCs w:val="18"/>
                <w:lang w:bidi="lo-LA"/>
              </w:rPr>
            </w:pPr>
            <w:r w:rsidRPr="00214364">
              <w:rPr>
                <w:rFonts w:ascii="Candara" w:hAnsi="Candara"/>
                <w:color w:val="000000" w:themeColor="text1"/>
                <w:spacing w:val="-8"/>
                <w:sz w:val="18"/>
                <w:szCs w:val="18"/>
                <w:lang w:bidi="lo-LA"/>
              </w:rPr>
              <w:t>1,4</w:t>
            </w:r>
          </w:p>
          <w:p w:rsidR="00C7324C" w:rsidRPr="00214364" w:rsidP="00B86F69" w14:paraId="53621112" w14:textId="77777777">
            <w:pPr>
              <w:pStyle w:val="TableText"/>
              <w:spacing w:line="238" w:lineRule="auto"/>
              <w:jc w:val="center"/>
              <w:rPr>
                <w:rFonts w:ascii="Candara" w:hAnsi="Candara"/>
                <w:color w:val="000000" w:themeColor="text1"/>
                <w:spacing w:val="-8"/>
                <w:sz w:val="18"/>
                <w:szCs w:val="18"/>
                <w:lang w:bidi="lo-LA"/>
              </w:rPr>
            </w:pPr>
            <w:r w:rsidRPr="00214364">
              <w:rPr>
                <w:rFonts w:ascii="Candara" w:hAnsi="Candara"/>
                <w:color w:val="000000" w:themeColor="text1"/>
                <w:spacing w:val="-8"/>
                <w:sz w:val="18"/>
                <w:szCs w:val="18"/>
                <w:lang w:bidi="lo-LA"/>
              </w:rPr>
              <w:t>(2016)</w:t>
            </w:r>
          </w:p>
        </w:tc>
        <w:tc>
          <w:tcPr>
            <w:tcW w:w="356" w:type="pct"/>
            <w:shd w:val="clear" w:color="auto" w:fill="D9D9D9" w:themeFill="background1" w:themeFillShade="D9"/>
            <w:tcMar>
              <w:left w:w="57" w:type="dxa"/>
              <w:right w:w="57" w:type="dxa"/>
            </w:tcMar>
            <w:vAlign w:val="center"/>
          </w:tcPr>
          <w:p w:rsidR="00C7324C" w:rsidRPr="00525E53" w:rsidP="00B86F69" w14:paraId="7435B70D" w14:textId="77777777">
            <w:pPr>
              <w:pStyle w:val="TableText"/>
              <w:spacing w:line="238" w:lineRule="auto"/>
              <w:jc w:val="center"/>
              <w:rPr>
                <w:rFonts w:ascii="Candara" w:hAnsi="Candara"/>
                <w:color w:val="000000" w:themeColor="text1"/>
                <w:spacing w:val="-8"/>
                <w:szCs w:val="18"/>
              </w:rPr>
            </w:pPr>
            <w:r w:rsidRPr="00525E53">
              <w:rPr>
                <w:rFonts w:ascii="Wingdings 3" w:hAnsi="Wingdings 3"/>
                <w:color w:val="C00000"/>
                <w:spacing w:val="-8"/>
                <w:szCs w:val="18"/>
              </w:rPr>
              <w:sym w:font="Wingdings 3" w:char="F082"/>
            </w:r>
          </w:p>
        </w:tc>
        <w:tc>
          <w:tcPr>
            <w:tcW w:w="653" w:type="pct"/>
          </w:tcPr>
          <w:p w:rsidR="00C7324C" w:rsidRPr="00214364" w:rsidP="00B86F69" w14:paraId="4BBC73EB" w14:textId="77777777">
            <w:pPr>
              <w:pStyle w:val="TableText"/>
              <w:spacing w:line="238" w:lineRule="auto"/>
              <w:jc w:val="center"/>
              <w:rPr>
                <w:rFonts w:ascii="Candara" w:hAnsi="Candara"/>
                <w:color w:val="000000" w:themeColor="text1"/>
                <w:spacing w:val="-8"/>
                <w:sz w:val="18"/>
                <w:szCs w:val="18"/>
                <w:lang w:bidi="lo-LA"/>
              </w:rPr>
            </w:pPr>
            <w:r w:rsidRPr="00214364">
              <w:rPr>
                <w:rFonts w:ascii="Candara" w:hAnsi="Candara"/>
                <w:color w:val="000000" w:themeColor="text1"/>
                <w:spacing w:val="-8"/>
                <w:sz w:val="18"/>
                <w:szCs w:val="18"/>
                <w:lang w:bidi="lo-LA"/>
              </w:rPr>
              <w:t>1,2 (2018.-2020.g., vidēji gadā)</w:t>
            </w:r>
          </w:p>
        </w:tc>
        <w:tc>
          <w:tcPr>
            <w:tcW w:w="699" w:type="pct"/>
            <w:tcBorders>
              <w:right w:val="single" w:sz="4" w:space="0" w:color="auto"/>
            </w:tcBorders>
            <w:tcMar>
              <w:left w:w="57" w:type="dxa"/>
              <w:right w:w="57" w:type="dxa"/>
            </w:tcMar>
            <w:vAlign w:val="center"/>
          </w:tcPr>
          <w:p w:rsidR="00C7324C" w:rsidRPr="00214364" w:rsidP="00B86F69" w14:paraId="17B7E480" w14:textId="77777777">
            <w:pPr>
              <w:pStyle w:val="TableText"/>
              <w:spacing w:line="238" w:lineRule="auto"/>
              <w:ind w:right="-110"/>
              <w:jc w:val="center"/>
              <w:rPr>
                <w:rFonts w:ascii="Candara" w:hAnsi="Candara"/>
                <w:sz w:val="18"/>
                <w:szCs w:val="20"/>
              </w:rPr>
            </w:pPr>
            <w:r w:rsidRPr="00214364">
              <w:rPr>
                <w:rFonts w:ascii="Candara" w:hAnsi="Candara"/>
                <w:sz w:val="18"/>
                <w:szCs w:val="20"/>
              </w:rPr>
              <w:t>LPPEVĀVP</w:t>
            </w:r>
          </w:p>
        </w:tc>
        <w:tc>
          <w:tcPr>
            <w:tcW w:w="216" w:type="pct"/>
            <w:vMerge/>
            <w:tcBorders>
              <w:left w:val="single" w:sz="4" w:space="0" w:color="auto"/>
              <w:right w:val="single" w:sz="4" w:space="0" w:color="auto"/>
            </w:tcBorders>
          </w:tcPr>
          <w:p w:rsidR="00C7324C" w:rsidRPr="00214364" w:rsidP="00B86F69" w14:paraId="04C5CC15" w14:textId="77777777">
            <w:pPr>
              <w:pStyle w:val="TableText"/>
              <w:spacing w:line="238" w:lineRule="auto"/>
              <w:ind w:right="-110"/>
              <w:jc w:val="center"/>
              <w:rPr>
                <w:rFonts w:ascii="Candara" w:hAnsi="Candara"/>
                <w:b/>
                <w:sz w:val="18"/>
                <w:szCs w:val="20"/>
              </w:rPr>
            </w:pPr>
          </w:p>
        </w:tc>
      </w:tr>
    </w:tbl>
    <w:p w:rsidR="0069540B" w:rsidRPr="00525E53" w:rsidP="00525E53" w14:paraId="471405E9" w14:textId="77777777">
      <w:pPr>
        <w:spacing w:after="0"/>
        <w:ind w:left="-426"/>
        <w:jc w:val="both"/>
        <w:rPr>
          <w:rFonts w:ascii="Candara" w:hAnsi="Candara"/>
          <w:color w:val="000000" w:themeColor="text1"/>
          <w:spacing w:val="-8"/>
          <w:sz w:val="14"/>
          <w:szCs w:val="20"/>
        </w:rPr>
      </w:pPr>
      <w:r w:rsidRPr="00525E53">
        <w:rPr>
          <w:rFonts w:ascii="Candara" w:hAnsi="Candara"/>
          <w:sz w:val="14"/>
          <w:szCs w:val="20"/>
        </w:rPr>
        <w:t>*</w:t>
      </w:r>
      <w:r w:rsidRPr="00525E53" w:rsidR="00525E53">
        <w:rPr>
          <w:rFonts w:ascii="Candara" w:hAnsi="Candara"/>
          <w:sz w:val="14"/>
          <w:szCs w:val="20"/>
        </w:rPr>
        <w:t xml:space="preserve"> </w:t>
      </w:r>
      <w:r w:rsidRPr="00525E53">
        <w:rPr>
          <w:rFonts w:ascii="Candara" w:hAnsi="Candara"/>
          <w:sz w:val="14"/>
          <w:szCs w:val="20"/>
        </w:rPr>
        <w:t xml:space="preserve">Rādītājs parāda SCOPUS datubāzes publikāciju skaitu. 2016.gadā Web of Science datubāzē </w:t>
      </w:r>
      <w:r w:rsidRPr="00525E53">
        <w:rPr>
          <w:rFonts w:ascii="Candara" w:hAnsi="Candara"/>
          <w:color w:val="000000" w:themeColor="text1"/>
          <w:spacing w:val="-8"/>
          <w:sz w:val="14"/>
          <w:szCs w:val="20"/>
        </w:rPr>
        <w:t>bija 2 172 publikācijas</w:t>
      </w:r>
    </w:p>
    <w:p w:rsidR="00C7324C" w:rsidRPr="00525E53" w:rsidP="00525E53" w14:paraId="6633854C" w14:textId="77777777">
      <w:pPr>
        <w:spacing w:after="0" w:line="240" w:lineRule="auto"/>
        <w:ind w:left="-426" w:right="-286"/>
        <w:jc w:val="both"/>
        <w:rPr>
          <w:rFonts w:ascii="Candara" w:hAnsi="Candara"/>
          <w:sz w:val="14"/>
          <w:szCs w:val="20"/>
        </w:rPr>
      </w:pPr>
      <w:r w:rsidRPr="00525E53">
        <w:rPr>
          <w:rFonts w:ascii="Candara" w:hAnsi="Candara"/>
          <w:sz w:val="14"/>
          <w:szCs w:val="20"/>
        </w:rPr>
        <w:t>Politikas plānošanas dokumentos noteikto rādītāji tika sagrupēti sadalot tos saskaņā ar EIS metodoloģiju, izdalot trīs rādītāju grupas: (</w:t>
      </w:r>
      <w:r w:rsidRPr="00525E53">
        <w:rPr>
          <w:rFonts w:ascii="Candara" w:hAnsi="Candara"/>
          <w:i/>
          <w:sz w:val="14"/>
          <w:szCs w:val="20"/>
        </w:rPr>
        <w:t>ENABLERS</w:t>
      </w:r>
      <w:r w:rsidRPr="00525E53">
        <w:rPr>
          <w:rFonts w:ascii="Candara" w:hAnsi="Candara"/>
          <w:sz w:val="14"/>
          <w:szCs w:val="20"/>
        </w:rPr>
        <w:t xml:space="preserve">) inovācijas virzītāji ārpus uzņēmēju sektora </w:t>
      </w:r>
      <w:r w:rsidRPr="00525E53">
        <w:rPr>
          <w:rFonts w:ascii="Candara" w:hAnsi="Candara"/>
          <w:b/>
          <w:sz w:val="14"/>
          <w:szCs w:val="20"/>
        </w:rPr>
        <w:t>(IV</w:t>
      </w:r>
      <w:r w:rsidRPr="00525E53">
        <w:rPr>
          <w:rFonts w:ascii="Candara" w:hAnsi="Candara"/>
          <w:sz w:val="14"/>
          <w:szCs w:val="20"/>
        </w:rPr>
        <w:t>); (</w:t>
      </w:r>
      <w:r w:rsidRPr="00525E53">
        <w:rPr>
          <w:rFonts w:ascii="Candara" w:hAnsi="Candara"/>
          <w:i/>
          <w:sz w:val="14"/>
          <w:szCs w:val="20"/>
        </w:rPr>
        <w:t>FIRM ACTIVITIES</w:t>
      </w:r>
      <w:r w:rsidRPr="00525E53">
        <w:rPr>
          <w:rFonts w:ascii="Candara" w:hAnsi="Candara"/>
          <w:sz w:val="14"/>
          <w:szCs w:val="20"/>
        </w:rPr>
        <w:t>) uzņēmēju aktivitāte inovāciju jomā (</w:t>
      </w:r>
      <w:r w:rsidRPr="00525E53">
        <w:rPr>
          <w:rFonts w:ascii="Candara" w:hAnsi="Candara"/>
          <w:b/>
          <w:sz w:val="14"/>
          <w:szCs w:val="20"/>
        </w:rPr>
        <w:t>U</w:t>
      </w:r>
      <w:r w:rsidRPr="00525E53">
        <w:rPr>
          <w:rFonts w:ascii="Candara" w:hAnsi="Candara"/>
          <w:sz w:val="14"/>
          <w:szCs w:val="20"/>
        </w:rPr>
        <w:t>); (OUTPUTS) uzņēmēju inovatīvās aktivitātes rezultāti, kas atspoguļo tautsaimniecības transformāciju uz augstākās pievienotās vērtības un inovatīvu ekonomiku (</w:t>
      </w:r>
      <w:r w:rsidRPr="00525E53">
        <w:rPr>
          <w:rFonts w:ascii="Candara" w:hAnsi="Candara"/>
          <w:b/>
          <w:sz w:val="14"/>
          <w:szCs w:val="20"/>
        </w:rPr>
        <w:t>R</w:t>
      </w:r>
      <w:r w:rsidRPr="00525E53">
        <w:rPr>
          <w:rFonts w:ascii="Candara" w:hAnsi="Candara"/>
          <w:sz w:val="14"/>
          <w:szCs w:val="20"/>
        </w:rPr>
        <w:t>).</w:t>
      </w:r>
    </w:p>
    <w:p w:rsidR="00CC788F" w:rsidP="00525E53" w14:paraId="618DA3A7" w14:textId="77777777">
      <w:pPr>
        <w:spacing w:after="0" w:line="240" w:lineRule="auto"/>
        <w:ind w:left="-426" w:right="-2"/>
        <w:jc w:val="both"/>
        <w:rPr>
          <w:rFonts w:ascii="Candara" w:hAnsi="Candara"/>
          <w:sz w:val="14"/>
          <w:szCs w:val="20"/>
        </w:rPr>
      </w:pPr>
      <w:r w:rsidRPr="00525E53">
        <w:rPr>
          <w:rFonts w:ascii="Candara" w:hAnsi="Candara"/>
          <w:sz w:val="14"/>
          <w:szCs w:val="20"/>
        </w:rPr>
        <w:t xml:space="preserve">Apzīmējumi: </w:t>
      </w:r>
      <w:r w:rsidRPr="00525E53">
        <w:rPr>
          <w:rFonts w:ascii="Wingdings 3" w:hAnsi="Wingdings 3"/>
          <w:color w:val="2957BD" w:themeColor="accent6" w:themeShade="BF"/>
          <w:spacing w:val="-8"/>
          <w:position w:val="-4"/>
          <w:sz w:val="16"/>
          <w:szCs w:val="18"/>
        </w:rPr>
        <w:sym w:font="Wingdings 3" w:char="F081"/>
      </w:r>
      <w:r w:rsidRPr="00525E53">
        <w:rPr>
          <w:rFonts w:ascii="Candara" w:hAnsi="Candara"/>
          <w:sz w:val="14"/>
          <w:szCs w:val="20"/>
        </w:rPr>
        <w:t xml:space="preserve"> – rādītājs ir uzlabojies; </w:t>
      </w:r>
      <w:r w:rsidRPr="00525E53">
        <w:rPr>
          <w:rFonts w:ascii="Wingdings 3" w:hAnsi="Wingdings 3"/>
          <w:color w:val="C00000"/>
          <w:spacing w:val="-8"/>
          <w:sz w:val="16"/>
          <w:szCs w:val="18"/>
        </w:rPr>
        <w:sym w:font="Wingdings 3" w:char="F082"/>
      </w:r>
      <w:r w:rsidRPr="00525E53">
        <w:rPr>
          <w:rFonts w:ascii="Candara" w:hAnsi="Candara"/>
          <w:sz w:val="14"/>
          <w:szCs w:val="20"/>
        </w:rPr>
        <w:t xml:space="preserve"> – rādītājs ir pasliktinājies; </w:t>
      </w:r>
      <w:r w:rsidRPr="00525E53">
        <w:rPr>
          <w:rFonts w:ascii="Wingdings 3" w:hAnsi="Wingdings 3"/>
          <w:color w:val="463F90" w:themeColor="accent4" w:themeShade="BF"/>
          <w:spacing w:val="-8"/>
          <w:sz w:val="16"/>
          <w:szCs w:val="18"/>
        </w:rPr>
        <w:sym w:font="Wingdings 3" w:char="F084"/>
      </w:r>
      <w:r w:rsidRPr="00525E53">
        <w:rPr>
          <w:rFonts w:ascii="Candara" w:hAnsi="Candara"/>
          <w:sz w:val="14"/>
          <w:szCs w:val="20"/>
        </w:rPr>
        <w:t xml:space="preserve"> – rādītājs būtiski nav manījies; “-“ – nav datu;</w:t>
      </w:r>
    </w:p>
    <w:tbl>
      <w:tblPr>
        <w:tblStyle w:val="TableGrid"/>
        <w:tblW w:w="0" w:type="auto"/>
        <w:tblInd w:w="-431" w:type="dxa"/>
        <w:tblLook w:val="04A0"/>
      </w:tblPr>
      <w:tblGrid>
        <w:gridCol w:w="397"/>
        <w:gridCol w:w="8498"/>
      </w:tblGrid>
      <w:tr w14:paraId="4760853B" w14:textId="77777777" w:rsidTr="00B86F69">
        <w:tblPrEx>
          <w:tblW w:w="0" w:type="auto"/>
          <w:tblInd w:w="-431" w:type="dxa"/>
          <w:tblLook w:val="04A0"/>
        </w:tblPrEx>
        <w:trPr>
          <w:trHeight w:val="20"/>
        </w:trPr>
        <w:tc>
          <w:tcPr>
            <w:tcW w:w="397" w:type="dxa"/>
            <w:tcBorders>
              <w:right w:val="single" w:sz="4" w:space="0" w:color="auto"/>
            </w:tcBorders>
            <w:shd w:val="clear" w:color="auto" w:fill="FFFF00"/>
          </w:tcPr>
          <w:p w:rsidR="00CC788F" w:rsidRPr="00525E53" w:rsidP="00CC788F" w14:paraId="11CC1EDA" w14:textId="77777777">
            <w:pPr>
              <w:ind w:right="-2"/>
              <w:jc w:val="both"/>
              <w:rPr>
                <w:rFonts w:ascii="Candara" w:hAnsi="Candara"/>
                <w:sz w:val="6"/>
                <w:szCs w:val="20"/>
              </w:rPr>
            </w:pPr>
          </w:p>
        </w:tc>
        <w:tc>
          <w:tcPr>
            <w:tcW w:w="8498" w:type="dxa"/>
            <w:tcBorders>
              <w:top w:val="nil"/>
              <w:left w:val="single" w:sz="4" w:space="0" w:color="auto"/>
              <w:bottom w:val="nil"/>
              <w:right w:val="nil"/>
            </w:tcBorders>
          </w:tcPr>
          <w:p w:rsidR="00CC788F" w:rsidRPr="00525E53" w:rsidP="00CC788F" w14:paraId="5EC85B39" w14:textId="77777777">
            <w:pPr>
              <w:ind w:right="-2"/>
              <w:jc w:val="both"/>
              <w:rPr>
                <w:rFonts w:ascii="Candara" w:hAnsi="Candara"/>
                <w:sz w:val="14"/>
                <w:szCs w:val="20"/>
              </w:rPr>
            </w:pPr>
            <w:r w:rsidRPr="00525E53">
              <w:rPr>
                <w:rFonts w:ascii="Candara" w:hAnsi="Candara"/>
                <w:sz w:val="14"/>
                <w:szCs w:val="20"/>
              </w:rPr>
              <w:t xml:space="preserve">– </w:t>
            </w:r>
            <w:r w:rsidRPr="00525E53">
              <w:rPr>
                <w:rFonts w:ascii="Candara" w:eastAsia="Times New Roman" w:hAnsi="Candara" w:cs="Times New Roman"/>
                <w:color w:val="000000"/>
                <w:sz w:val="14"/>
                <w:szCs w:val="18"/>
                <w:lang w:eastAsia="lv-LV"/>
              </w:rPr>
              <w:t>Eiropas Inovācijas rezultātu tablo 2016 (</w:t>
            </w:r>
            <w:r w:rsidRPr="00525E53">
              <w:rPr>
                <w:rFonts w:ascii="Candara" w:eastAsia="Times New Roman" w:hAnsi="Candara" w:cs="Times New Roman"/>
                <w:i/>
                <w:color w:val="000000"/>
                <w:sz w:val="14"/>
                <w:szCs w:val="18"/>
                <w:lang w:eastAsia="lv-LV"/>
              </w:rPr>
              <w:t>European Innovation Scoreboard 2016</w:t>
            </w:r>
            <w:r w:rsidRPr="00525E53">
              <w:rPr>
                <w:rFonts w:ascii="Candara" w:eastAsia="Times New Roman" w:hAnsi="Candara" w:cs="Times New Roman"/>
                <w:color w:val="000000"/>
                <w:sz w:val="14"/>
                <w:szCs w:val="18"/>
                <w:lang w:eastAsia="lv-LV"/>
              </w:rPr>
              <w:t>) rādītāji</w:t>
            </w:r>
            <w:r>
              <w:rPr>
                <w:rStyle w:val="FootnoteReference"/>
                <w:rFonts w:ascii="Candara" w:eastAsia="Times New Roman" w:hAnsi="Candara" w:cs="Times New Roman"/>
                <w:color w:val="000000"/>
                <w:sz w:val="14"/>
                <w:szCs w:val="18"/>
                <w:lang w:eastAsia="lv-LV"/>
              </w:rPr>
              <w:footnoteReference w:id="12"/>
            </w:r>
          </w:p>
        </w:tc>
      </w:tr>
    </w:tbl>
    <w:p w:rsidR="00525E53" w:rsidP="00525E53" w14:paraId="5CE3F502" w14:textId="77777777">
      <w:pPr>
        <w:spacing w:after="0"/>
        <w:ind w:firstLine="426"/>
        <w:jc w:val="both"/>
        <w:rPr>
          <w:rFonts w:ascii="Candara" w:hAnsi="Candara"/>
          <w:lang w:bidi="lo-LA"/>
        </w:rPr>
      </w:pPr>
      <w:r w:rsidRPr="008D43FE">
        <w:rPr>
          <w:rFonts w:ascii="Candara" w:hAnsi="Candara"/>
          <w:lang w:bidi="lo-LA"/>
        </w:rPr>
        <w:t>Galvenais ekonomikas zināšanu un</w:t>
      </w:r>
      <w:r>
        <w:rPr>
          <w:rFonts w:ascii="Candara" w:hAnsi="Candara"/>
          <w:lang w:bidi="lo-LA"/>
        </w:rPr>
        <w:t xml:space="preserve"> tehnoloģiju ietilpību raksturojošais rādītājs – ieguldījumi P&amp;A – nav pieaudzis</w:t>
      </w:r>
      <w:r w:rsidRPr="008D43FE">
        <w:rPr>
          <w:rFonts w:ascii="Candara" w:hAnsi="Candara"/>
          <w:lang w:bidi="lo-LA"/>
        </w:rPr>
        <w:t xml:space="preserve"> un apstrādes rūpniecības produktivitāte nav </w:t>
      </w:r>
      <w:r>
        <w:rPr>
          <w:rFonts w:ascii="Candara" w:hAnsi="Candara"/>
          <w:lang w:bidi="lo-LA"/>
        </w:rPr>
        <w:t xml:space="preserve">būtiski </w:t>
      </w:r>
      <w:r w:rsidRPr="008D43FE">
        <w:rPr>
          <w:rFonts w:ascii="Candara" w:hAnsi="Candara"/>
          <w:lang w:bidi="lo-LA"/>
        </w:rPr>
        <w:t xml:space="preserve">mainījusies. Ieguldījumi P&amp;A parāda valsts investīcijas pētniecībā un atspoguļo nozaru uzņēmumu zināšanu ietilpību. Ņemot vērā to, ka šis rādītājs mēra P&amp;A apjomu tautsaimniecībā un to, ka investīcijas P&amp;A tiešā veidā ir saistītas </w:t>
      </w:r>
      <w:r w:rsidR="007C3F2D">
        <w:rPr>
          <w:rFonts w:ascii="Candara" w:hAnsi="Candara"/>
          <w:lang w:bidi="lo-LA"/>
        </w:rPr>
        <w:t xml:space="preserve">gan ar zināšanu bāzes un cilvēkkapitāla pieejamību, gan </w:t>
      </w:r>
      <w:r w:rsidRPr="008D43FE">
        <w:rPr>
          <w:rFonts w:ascii="Candara" w:hAnsi="Candara"/>
          <w:lang w:bidi="lo-LA"/>
        </w:rPr>
        <w:t xml:space="preserve"> produktu un pakalpojumu zināšanu un tehnoloģiju ietilpību un, tādējādi, produktivitāti, valdība 2013.gadā apņēmās palielināt valsts budžeta investīcijas P&amp;A</w:t>
      </w:r>
      <w:r w:rsidR="007C3F2D">
        <w:rPr>
          <w:rFonts w:ascii="Candara" w:hAnsi="Candara"/>
          <w:lang w:bidi="lo-LA"/>
        </w:rPr>
        <w:t>,</w:t>
      </w:r>
      <w:r w:rsidRPr="008D43FE">
        <w:rPr>
          <w:rFonts w:ascii="Candara" w:hAnsi="Candara"/>
          <w:lang w:bidi="lo-LA"/>
        </w:rPr>
        <w:t xml:space="preserve"> vienlaikus </w:t>
      </w:r>
      <w:r w:rsidRPr="008D43FE" w:rsidR="007C3F2D">
        <w:rPr>
          <w:rFonts w:ascii="Candara" w:hAnsi="Candara"/>
          <w:lang w:bidi="lo-LA"/>
        </w:rPr>
        <w:t>iestrādājot</w:t>
      </w:r>
      <w:r w:rsidR="007C3F2D">
        <w:rPr>
          <w:rFonts w:ascii="Candara" w:hAnsi="Candara"/>
          <w:lang w:bidi="lo-LA"/>
        </w:rPr>
        <w:t xml:space="preserve"> P&amp;A </w:t>
      </w:r>
      <w:r w:rsidRPr="008D43FE">
        <w:rPr>
          <w:rFonts w:ascii="Candara" w:hAnsi="Candara"/>
          <w:lang w:bidi="lo-LA"/>
        </w:rPr>
        <w:t>finansēšanas programmu noteikumos stimulus privātā sektora P&amp;A apjoma palielināšanai. Ar šo valdība ne tikai apņēmās investēt pētniecībā, bet arī signalizēja Latvijas sabiedrībai un Eiropas Komisijai politisku apņemšanos virzīties uz augstākas produktivitātes ekonomiku, kā arī uzņēmās starptautiskas saistības uz kuru pamata ZTAI nozarē pašreiz tiek investēti ES fondu līdzekļi nozares veiktspējas palielināšanai. Bez turpmākas valsts ieguldījumu apmēra būtiskas palielināšanas nav iespējams nodrošināt ekonomiskās produktivitātes palielinājumam nepieciešam</w:t>
      </w:r>
      <w:r w:rsidR="007C3F2D">
        <w:rPr>
          <w:rFonts w:ascii="Candara" w:hAnsi="Candara"/>
          <w:lang w:bidi="lo-LA"/>
        </w:rPr>
        <w:t xml:space="preserve">o zināšanu bāzi - </w:t>
      </w:r>
      <w:r w:rsidRPr="008D43FE">
        <w:rPr>
          <w:rFonts w:ascii="Candara" w:hAnsi="Candara"/>
          <w:lang w:bidi="lo-LA"/>
        </w:rPr>
        <w:t xml:space="preserve">zināšanas un tehnoloģijas, </w:t>
      </w:r>
      <w:r w:rsidR="007C3F2D">
        <w:rPr>
          <w:rFonts w:ascii="Candara" w:hAnsi="Candara"/>
          <w:lang w:bidi="lo-LA"/>
        </w:rPr>
        <w:t xml:space="preserve">un cilvēkkapitālu – </w:t>
      </w:r>
      <w:r w:rsidRPr="008D43FE">
        <w:rPr>
          <w:rFonts w:ascii="Candara" w:hAnsi="Candara"/>
          <w:lang w:bidi="lo-LA"/>
        </w:rPr>
        <w:t>cilvēkresursus</w:t>
      </w:r>
      <w:r w:rsidR="007C3F2D">
        <w:rPr>
          <w:rFonts w:ascii="Candara" w:hAnsi="Candara"/>
          <w:lang w:bidi="lo-LA"/>
        </w:rPr>
        <w:t xml:space="preserve"> un sadarbības tīklus</w:t>
      </w:r>
      <w:r w:rsidRPr="008D43FE">
        <w:rPr>
          <w:rFonts w:ascii="Candara" w:hAnsi="Candara"/>
          <w:lang w:bidi="lo-LA"/>
        </w:rPr>
        <w:t xml:space="preserve">, kas </w:t>
      </w:r>
      <w:r w:rsidR="007C3F2D">
        <w:rPr>
          <w:rFonts w:ascii="Candara" w:hAnsi="Candara"/>
          <w:lang w:bidi="lo-LA"/>
        </w:rPr>
        <w:t xml:space="preserve">jau vidējā termiņā </w:t>
      </w:r>
      <w:r w:rsidRPr="008D43FE">
        <w:rPr>
          <w:rFonts w:ascii="Candara" w:hAnsi="Candara"/>
          <w:lang w:bidi="lo-LA"/>
        </w:rPr>
        <w:t xml:space="preserve">nodrošinātu arī uzņēmumu biznesa  modeļa maiņu un, secīgi privātā sektora produktu un pakalpojumu zināšanu ietilpību, </w:t>
      </w:r>
      <w:r w:rsidRPr="008D43FE" w:rsidR="00827F74">
        <w:rPr>
          <w:rFonts w:ascii="Candara" w:hAnsi="Candara"/>
          <w:lang w:bidi="lo-LA"/>
        </w:rPr>
        <w:t>k</w:t>
      </w:r>
      <w:r w:rsidR="00827F74">
        <w:rPr>
          <w:rFonts w:ascii="Candara" w:hAnsi="Candara"/>
          <w:lang w:bidi="lo-LA"/>
        </w:rPr>
        <w:t>o</w:t>
      </w:r>
      <w:r w:rsidRPr="008D43FE" w:rsidR="00827F74">
        <w:rPr>
          <w:rFonts w:ascii="Candara" w:hAnsi="Candara"/>
          <w:lang w:bidi="lo-LA"/>
        </w:rPr>
        <w:t xml:space="preserve"> </w:t>
      </w:r>
      <w:r w:rsidRPr="008D43FE">
        <w:rPr>
          <w:rFonts w:ascii="Candara" w:hAnsi="Candara"/>
          <w:lang w:bidi="lo-LA"/>
        </w:rPr>
        <w:t>atspoguļo p</w:t>
      </w:r>
      <w:r>
        <w:rPr>
          <w:rFonts w:ascii="Candara" w:hAnsi="Candara"/>
          <w:lang w:bidi="lo-LA"/>
        </w:rPr>
        <w:t>rivātā sektora P&amp;A ieguldījumi.</w:t>
      </w:r>
      <w:r w:rsidR="00827F74">
        <w:rPr>
          <w:rFonts w:ascii="Candara" w:hAnsi="Candara"/>
          <w:lang w:bidi="lo-LA"/>
        </w:rPr>
        <w:t xml:space="preserve">  </w:t>
      </w:r>
      <w:r w:rsidR="00150915">
        <w:rPr>
          <w:rFonts w:ascii="Candara" w:hAnsi="Candara"/>
          <w:lang w:bidi="lo-LA"/>
        </w:rPr>
        <w:t>Vienlaikus šāda situācija rada riskus nesasniegt tos</w:t>
      </w:r>
      <w:r w:rsidR="008C73ED">
        <w:rPr>
          <w:rFonts w:ascii="Candara" w:hAnsi="Candara"/>
          <w:lang w:bidi="lo-LA"/>
        </w:rPr>
        <w:t xml:space="preserve"> darbības programmā “Izaugsme un nodarbinātība” </w:t>
      </w:r>
      <w:r w:rsidR="00BF4CEA">
        <w:rPr>
          <w:rFonts w:ascii="Candara" w:hAnsi="Candara"/>
          <w:lang w:bidi="lo-LA"/>
        </w:rPr>
        <w:t>plānotos</w:t>
      </w:r>
      <w:r w:rsidR="00150915">
        <w:rPr>
          <w:rFonts w:ascii="Candara" w:hAnsi="Candara"/>
          <w:lang w:bidi="lo-LA"/>
        </w:rPr>
        <w:t xml:space="preserve"> struktūrfondu investīciju rezultatīvos rādītājus, kur</w:t>
      </w:r>
      <w:r w:rsidR="00B808B7">
        <w:rPr>
          <w:rFonts w:ascii="Candara" w:hAnsi="Candara"/>
          <w:lang w:bidi="lo-LA"/>
        </w:rPr>
        <w:t>u sasniegšana</w:t>
      </w:r>
      <w:r w:rsidR="00150915">
        <w:rPr>
          <w:rFonts w:ascii="Candara" w:hAnsi="Candara"/>
          <w:lang w:bidi="lo-LA"/>
        </w:rPr>
        <w:t xml:space="preserve"> </w:t>
      </w:r>
      <w:r w:rsidR="004D3391">
        <w:rPr>
          <w:rFonts w:ascii="Candara" w:hAnsi="Candara"/>
          <w:lang w:bidi="lo-LA"/>
        </w:rPr>
        <w:t>zināmā mērā ir ārpus struktūrfondu ietekmes, jo prasa noteiktu uzvedības maiņu un ilgtermiņa saistību uzņemšanos</w:t>
      </w:r>
      <w:r w:rsidR="00B808B7">
        <w:rPr>
          <w:rFonts w:ascii="Candara" w:hAnsi="Candara"/>
          <w:lang w:bidi="lo-LA"/>
        </w:rPr>
        <w:t xml:space="preserve">, </w:t>
      </w:r>
      <w:r w:rsidR="008C73ED">
        <w:rPr>
          <w:rFonts w:ascii="Candara" w:hAnsi="Candara"/>
          <w:lang w:bidi="lo-LA"/>
        </w:rPr>
        <w:t>tādējādi pozitīvi signalizē</w:t>
      </w:r>
      <w:r w:rsidR="00B808B7">
        <w:rPr>
          <w:rFonts w:ascii="Candara" w:hAnsi="Candara"/>
          <w:lang w:bidi="lo-LA"/>
        </w:rPr>
        <w:t>jot</w:t>
      </w:r>
      <w:r w:rsidR="008C73ED">
        <w:rPr>
          <w:rFonts w:ascii="Candara" w:hAnsi="Candara"/>
          <w:lang w:bidi="lo-LA"/>
        </w:rPr>
        <w:t xml:space="preserve"> par tautsaimniecības struktūras</w:t>
      </w:r>
      <w:r w:rsidR="00150915">
        <w:rPr>
          <w:rFonts w:ascii="Candara" w:hAnsi="Candara"/>
          <w:lang w:bidi="lo-LA"/>
        </w:rPr>
        <w:t xml:space="preserve"> </w:t>
      </w:r>
      <w:r w:rsidR="008C73ED">
        <w:rPr>
          <w:rFonts w:ascii="Candara" w:hAnsi="Candara"/>
          <w:lang w:bidi="lo-LA"/>
        </w:rPr>
        <w:t>transformāciju</w:t>
      </w:r>
      <w:r w:rsidR="007C3F2D">
        <w:rPr>
          <w:rFonts w:ascii="Candara" w:hAnsi="Candara"/>
          <w:lang w:bidi="lo-LA"/>
        </w:rPr>
        <w:t>, ko raksturo</w:t>
      </w:r>
      <w:r w:rsidR="008C73ED">
        <w:rPr>
          <w:rFonts w:ascii="Candara" w:hAnsi="Candara"/>
          <w:lang w:bidi="lo-LA"/>
        </w:rPr>
        <w:t xml:space="preserve"> jaunu P&amp;A darba vietu skaits</w:t>
      </w:r>
      <w:r>
        <w:rPr>
          <w:rStyle w:val="FootnoteReference"/>
          <w:rFonts w:ascii="Candara" w:hAnsi="Candara"/>
          <w:lang w:bidi="lo-LA"/>
        </w:rPr>
        <w:footnoteReference w:id="13"/>
      </w:r>
      <w:r w:rsidR="008C73ED">
        <w:rPr>
          <w:rFonts w:ascii="Candara" w:hAnsi="Candara"/>
          <w:lang w:bidi="lo-LA"/>
        </w:rPr>
        <w:t xml:space="preserve"> un zinātnisko institūciju piesaistītais ārējais finansējums</w:t>
      </w:r>
      <w:r>
        <w:rPr>
          <w:rStyle w:val="FootnoteReference"/>
          <w:rFonts w:ascii="Candara" w:hAnsi="Candara"/>
          <w:lang w:bidi="lo-LA"/>
        </w:rPr>
        <w:footnoteReference w:id="14"/>
      </w:r>
      <w:r w:rsidR="004D3391">
        <w:rPr>
          <w:rFonts w:ascii="Candara" w:hAnsi="Candara"/>
          <w:lang w:bidi="lo-LA"/>
        </w:rPr>
        <w:t xml:space="preserve"> (</w:t>
      </w:r>
      <w:r w:rsidR="00B808B7">
        <w:rPr>
          <w:rFonts w:ascii="Candara" w:hAnsi="Candara"/>
          <w:lang w:bidi="lo-LA"/>
        </w:rPr>
        <w:t>rādītāju</w:t>
      </w:r>
      <w:r w:rsidR="004D3391">
        <w:rPr>
          <w:rFonts w:ascii="Candara" w:hAnsi="Candara"/>
          <w:lang w:bidi="lo-LA"/>
        </w:rPr>
        <w:t xml:space="preserve"> datus</w:t>
      </w:r>
      <w:r w:rsidR="00B808B7">
        <w:rPr>
          <w:rFonts w:ascii="Candara" w:hAnsi="Candara"/>
          <w:lang w:bidi="lo-LA"/>
        </w:rPr>
        <w:t xml:space="preserve"> un pašreizējās vērtības skat.</w:t>
      </w:r>
      <w:r w:rsidR="004D3391">
        <w:rPr>
          <w:rFonts w:ascii="Candara" w:hAnsi="Candara"/>
          <w:lang w:bidi="lo-LA"/>
        </w:rPr>
        <w:t xml:space="preserve"> </w:t>
      </w:r>
      <w:r w:rsidR="00424AFF">
        <w:rPr>
          <w:rFonts w:ascii="Candara" w:hAnsi="Candara"/>
          <w:lang w:bidi="lo-LA"/>
        </w:rPr>
        <w:t>39. attēlā</w:t>
      </w:r>
      <w:r w:rsidR="004D3391">
        <w:rPr>
          <w:rFonts w:ascii="Candara" w:hAnsi="Candara"/>
          <w:lang w:bidi="lo-LA"/>
        </w:rPr>
        <w:t xml:space="preserve"> un</w:t>
      </w:r>
      <w:r w:rsidR="00424AFF">
        <w:rPr>
          <w:rFonts w:ascii="Candara" w:hAnsi="Candara"/>
          <w:lang w:bidi="lo-LA"/>
        </w:rPr>
        <w:t xml:space="preserve"> 9.1. apakšnodaļas “RIS3 mikro </w:t>
      </w:r>
      <w:r w:rsidR="008A2FD0">
        <w:rPr>
          <w:rFonts w:ascii="Candara" w:hAnsi="Candara"/>
          <w:lang w:bidi="lo-LA"/>
        </w:rPr>
        <w:t>līmeņa rādītāji” 44.-45. un 46.</w:t>
      </w:r>
      <w:r w:rsidR="00424AFF">
        <w:rPr>
          <w:rFonts w:ascii="Candara" w:hAnsi="Candara"/>
          <w:lang w:bidi="lo-LA"/>
        </w:rPr>
        <w:t>lpp.).</w:t>
      </w:r>
      <w:r w:rsidR="004D3391">
        <w:rPr>
          <w:rFonts w:ascii="Candara" w:hAnsi="Candara"/>
          <w:lang w:bidi="lo-LA"/>
        </w:rPr>
        <w:t xml:space="preserve"> </w:t>
      </w:r>
      <w:r w:rsidR="008C73ED">
        <w:rPr>
          <w:rFonts w:ascii="Candara" w:hAnsi="Candara"/>
          <w:lang w:bidi="lo-LA"/>
        </w:rPr>
        <w:t xml:space="preserve"> </w:t>
      </w:r>
      <w:r w:rsidR="00424AFF">
        <w:rPr>
          <w:rFonts w:ascii="Candara" w:hAnsi="Candara"/>
          <w:lang w:bidi="lo-LA"/>
        </w:rPr>
        <w:t>Minēto</w:t>
      </w:r>
      <w:r w:rsidR="008C73ED">
        <w:rPr>
          <w:rFonts w:ascii="Candara" w:hAnsi="Candara"/>
          <w:lang w:bidi="lo-LA"/>
        </w:rPr>
        <w:t xml:space="preserve"> </w:t>
      </w:r>
      <w:r w:rsidRPr="00424AFF" w:rsidR="00424AFF">
        <w:rPr>
          <w:rFonts w:ascii="Candara" w:hAnsi="Candara"/>
          <w:lang w:bidi="lo-LA"/>
        </w:rPr>
        <w:t>rādītāju būtiska nesasniegšana var rezultēties ar finanšu korekciju 2023.gadā</w:t>
      </w:r>
      <w:r w:rsidR="00424AFF">
        <w:rPr>
          <w:rFonts w:ascii="Candara" w:hAnsi="Candara"/>
          <w:lang w:bidi="lo-LA"/>
        </w:rPr>
        <w:t xml:space="preserve"> un tādējādi </w:t>
      </w:r>
      <w:r w:rsidR="00B808B7">
        <w:rPr>
          <w:rFonts w:ascii="Candara" w:hAnsi="Candara"/>
          <w:lang w:bidi="lo-LA"/>
        </w:rPr>
        <w:t>radīt</w:t>
      </w:r>
      <w:r w:rsidR="00424AFF">
        <w:rPr>
          <w:rFonts w:ascii="Candara" w:hAnsi="Candara"/>
          <w:lang w:bidi="lo-LA"/>
        </w:rPr>
        <w:t xml:space="preserve"> zaudējumus valsts budžetam.  </w:t>
      </w:r>
    </w:p>
    <w:p w:rsidR="00525E53" w:rsidP="00112543" w14:paraId="303B3FFE" w14:textId="77777777">
      <w:pPr>
        <w:spacing w:after="0"/>
        <w:ind w:firstLine="426"/>
        <w:jc w:val="both"/>
        <w:rPr>
          <w:rFonts w:ascii="Candara" w:eastAsia="Times New Roman" w:hAnsi="Candara" w:cs="Times New Roman"/>
          <w:bCs/>
          <w:lang w:eastAsia="lv-LV"/>
        </w:rPr>
      </w:pPr>
      <w:r w:rsidRPr="00B5322C">
        <w:rPr>
          <w:rFonts w:ascii="Candara" w:eastAsia="Times New Roman" w:hAnsi="Candara" w:cs="Times New Roman"/>
          <w:bCs/>
          <w:lang w:eastAsia="lv-LV"/>
        </w:rPr>
        <w:t xml:space="preserve">RIS3 virsmērķu un makro līmeņa mērķu rādītāji un virzība uz to sasniegšanu ir apkopoti </w:t>
      </w:r>
      <w:r>
        <w:rPr>
          <w:rFonts w:ascii="Candara" w:eastAsia="Times New Roman" w:hAnsi="Candara" w:cs="Times New Roman"/>
          <w:bCs/>
          <w:lang w:eastAsia="lv-LV"/>
        </w:rPr>
        <w:t>5</w:t>
      </w:r>
      <w:r w:rsidRPr="00B5322C">
        <w:rPr>
          <w:rFonts w:ascii="Candara" w:eastAsia="Times New Roman" w:hAnsi="Candara" w:cs="Times New Roman"/>
          <w:bCs/>
          <w:lang w:eastAsia="lv-LV"/>
        </w:rPr>
        <w:t xml:space="preserve">.attēlā.  </w:t>
      </w:r>
      <w:r w:rsidR="00853808">
        <w:rPr>
          <w:rFonts w:ascii="Candara" w:eastAsia="Times New Roman" w:hAnsi="Candara" w:cs="Times New Roman"/>
          <w:bCs/>
          <w:lang w:eastAsia="lv-LV"/>
        </w:rPr>
        <w:t>Visaptverošu rādītāju dinamiku pa gadiem laika posm</w:t>
      </w:r>
      <w:r w:rsidR="008A2FD0">
        <w:rPr>
          <w:rFonts w:ascii="Candara" w:eastAsia="Times New Roman" w:hAnsi="Candara" w:cs="Times New Roman"/>
          <w:bCs/>
          <w:lang w:eastAsia="lv-LV"/>
        </w:rPr>
        <w:t>ā no 2008.</w:t>
      </w:r>
      <w:r w:rsidR="00853808">
        <w:rPr>
          <w:rFonts w:ascii="Candara" w:eastAsia="Times New Roman" w:hAnsi="Candara" w:cs="Times New Roman"/>
          <w:bCs/>
          <w:lang w:eastAsia="lv-LV"/>
        </w:rPr>
        <w:t>gada līdz 2</w:t>
      </w:r>
      <w:r w:rsidR="008A2FD0">
        <w:rPr>
          <w:rFonts w:ascii="Candara" w:eastAsia="Times New Roman" w:hAnsi="Candara" w:cs="Times New Roman"/>
          <w:bCs/>
          <w:lang w:eastAsia="lv-LV"/>
        </w:rPr>
        <w:t>016.</w:t>
      </w:r>
      <w:r w:rsidR="00B808B7">
        <w:rPr>
          <w:rFonts w:ascii="Candara" w:eastAsia="Times New Roman" w:hAnsi="Candara" w:cs="Times New Roman"/>
          <w:bCs/>
          <w:lang w:eastAsia="lv-LV"/>
        </w:rPr>
        <w:t xml:space="preserve">gadam </w:t>
      </w:r>
      <w:r w:rsidR="00112543">
        <w:rPr>
          <w:rFonts w:ascii="Candara" w:eastAsia="Times New Roman" w:hAnsi="Candara" w:cs="Times New Roman"/>
          <w:bCs/>
          <w:lang w:eastAsia="lv-LV"/>
        </w:rPr>
        <w:t xml:space="preserve">var </w:t>
      </w:r>
      <w:r w:rsidR="00B808B7">
        <w:rPr>
          <w:rFonts w:ascii="Candara" w:eastAsia="Times New Roman" w:hAnsi="Candara" w:cs="Times New Roman"/>
          <w:bCs/>
          <w:lang w:eastAsia="lv-LV"/>
        </w:rPr>
        <w:t>skatīt pielikumā Nr. </w:t>
      </w:r>
      <w:r w:rsidR="00853808">
        <w:rPr>
          <w:rFonts w:ascii="Candara" w:eastAsia="Times New Roman" w:hAnsi="Candara" w:cs="Times New Roman"/>
          <w:bCs/>
          <w:lang w:eastAsia="lv-LV"/>
        </w:rPr>
        <w:t>6 “</w:t>
      </w:r>
      <w:r w:rsidR="00CD0BC9">
        <w:rPr>
          <w:rFonts w:ascii="Candara" w:eastAsia="Times New Roman" w:hAnsi="Candara" w:cs="Times New Roman"/>
          <w:bCs/>
          <w:lang w:eastAsia="lv-LV"/>
        </w:rPr>
        <w:t>RIS3 mērķa sasniegšanas rādītāju vērtības</w:t>
      </w:r>
      <w:r w:rsidR="00853808">
        <w:rPr>
          <w:rFonts w:ascii="Candara" w:eastAsia="Times New Roman" w:hAnsi="Candara" w:cs="Times New Roman"/>
          <w:bCs/>
          <w:lang w:eastAsia="lv-LV"/>
        </w:rPr>
        <w:t xml:space="preserve"> 2</w:t>
      </w:r>
      <w:r w:rsidR="008A2FD0">
        <w:rPr>
          <w:rFonts w:ascii="Candara" w:eastAsia="Times New Roman" w:hAnsi="Candara" w:cs="Times New Roman"/>
          <w:bCs/>
          <w:lang w:eastAsia="lv-LV"/>
        </w:rPr>
        <w:t>008. – 2016.</w:t>
      </w:r>
      <w:r w:rsidR="00853808">
        <w:rPr>
          <w:rFonts w:ascii="Candara" w:eastAsia="Times New Roman" w:hAnsi="Candara" w:cs="Times New Roman"/>
          <w:bCs/>
          <w:lang w:eastAsia="lv-LV"/>
        </w:rPr>
        <w:t xml:space="preserve">gads”. </w:t>
      </w:r>
      <w:r w:rsidRPr="00B5322C">
        <w:rPr>
          <w:rFonts w:ascii="Candara" w:eastAsia="Times New Roman" w:hAnsi="Candara" w:cs="Times New Roman"/>
          <w:bCs/>
          <w:lang w:eastAsia="lv-LV"/>
        </w:rPr>
        <w:t xml:space="preserve">No visiem makro līmeņa mērķu sasniegšanas rādītājiem pozitīva virzība ir vērojama tikai rādītājā, kas atspoguļo </w:t>
      </w:r>
      <w:r w:rsidR="00112543">
        <w:rPr>
          <w:rFonts w:ascii="Candara" w:eastAsia="Times New Roman" w:hAnsi="Candara" w:cs="Times New Roman"/>
          <w:bCs/>
          <w:lang w:eastAsia="lv-LV"/>
        </w:rPr>
        <w:t xml:space="preserve">1) </w:t>
      </w:r>
      <w:r w:rsidRPr="00B5322C">
        <w:rPr>
          <w:rFonts w:ascii="Candara" w:eastAsia="Times New Roman" w:hAnsi="Candara" w:cs="Times New Roman"/>
          <w:bCs/>
          <w:lang w:eastAsia="lv-LV"/>
        </w:rPr>
        <w:t xml:space="preserve">augsto un vidēji augsto tehnoloģiju </w:t>
      </w:r>
      <w:r w:rsidRPr="00655436">
        <w:rPr>
          <w:rFonts w:ascii="Candara" w:eastAsia="Times New Roman" w:hAnsi="Candara" w:cs="Times New Roman"/>
          <w:bCs/>
          <w:lang w:eastAsia="lv-LV"/>
        </w:rPr>
        <w:t>nozaru īpatsva</w:t>
      </w:r>
      <w:r>
        <w:rPr>
          <w:rFonts w:ascii="Candara" w:eastAsia="Times New Roman" w:hAnsi="Candara" w:cs="Times New Roman"/>
          <w:bCs/>
          <w:lang w:eastAsia="lv-LV"/>
        </w:rPr>
        <w:t xml:space="preserve">ru Latvijas preču eksportā (%), </w:t>
      </w:r>
      <w:r w:rsidR="00112543">
        <w:rPr>
          <w:rFonts w:ascii="Candara" w:eastAsia="Times New Roman" w:hAnsi="Candara" w:cs="Times New Roman"/>
          <w:bCs/>
          <w:lang w:eastAsia="lv-LV"/>
        </w:rPr>
        <w:t xml:space="preserve">2) </w:t>
      </w:r>
      <w:r w:rsidRPr="00655436">
        <w:rPr>
          <w:rFonts w:ascii="Candara" w:eastAsia="Times New Roman" w:hAnsi="Candara" w:cs="Times New Roman"/>
          <w:bCs/>
          <w:lang w:eastAsia="lv-LV"/>
        </w:rPr>
        <w:t xml:space="preserve">strukturālo reformu rezultātā notikušo pētniecības </w:t>
      </w:r>
      <w:r w:rsidR="00112543">
        <w:rPr>
          <w:rFonts w:ascii="Candara" w:eastAsia="Times New Roman" w:hAnsi="Candara" w:cs="Times New Roman"/>
          <w:bCs/>
          <w:lang w:eastAsia="lv-LV"/>
        </w:rPr>
        <w:t>konsolidāciju</w:t>
      </w:r>
      <w:r>
        <w:rPr>
          <w:rFonts w:ascii="Candara" w:eastAsia="Times New Roman" w:hAnsi="Candara" w:cs="Times New Roman"/>
          <w:bCs/>
          <w:lang w:eastAsia="lv-LV"/>
        </w:rPr>
        <w:t>,</w:t>
      </w:r>
      <w:r w:rsidRPr="00655436">
        <w:rPr>
          <w:rFonts w:ascii="Candara" w:eastAsia="Times New Roman" w:hAnsi="Candara" w:cs="Times New Roman"/>
          <w:bCs/>
          <w:lang w:eastAsia="lv-LV"/>
        </w:rPr>
        <w:t xml:space="preserve"> veidojot mazāku skaitu spēcīgāku valsts finansētu zinātnisko institūciju</w:t>
      </w:r>
      <w:r>
        <w:rPr>
          <w:rFonts w:ascii="Candara" w:eastAsia="Times New Roman" w:hAnsi="Candara" w:cs="Times New Roman"/>
          <w:bCs/>
          <w:lang w:eastAsia="lv-LV"/>
        </w:rPr>
        <w:t xml:space="preserve">, </w:t>
      </w:r>
      <w:r w:rsidR="00112543">
        <w:rPr>
          <w:rFonts w:ascii="Candara" w:eastAsia="Times New Roman" w:hAnsi="Candara" w:cs="Times New Roman"/>
          <w:bCs/>
          <w:lang w:eastAsia="lv-LV"/>
        </w:rPr>
        <w:t xml:space="preserve">3) </w:t>
      </w:r>
      <w:r>
        <w:rPr>
          <w:rFonts w:ascii="Candara" w:eastAsia="Times New Roman" w:hAnsi="Candara" w:cs="Times New Roman"/>
          <w:bCs/>
          <w:lang w:eastAsia="lv-LV"/>
        </w:rPr>
        <w:t>zinātnisko rakstu</w:t>
      </w:r>
      <w:r w:rsidR="00112543">
        <w:rPr>
          <w:rFonts w:ascii="Candara" w:eastAsia="Times New Roman" w:hAnsi="Candara" w:cs="Times New Roman"/>
          <w:bCs/>
          <w:lang w:eastAsia="lv-LV"/>
        </w:rPr>
        <w:t xml:space="preserve"> skaitā</w:t>
      </w:r>
      <w:r>
        <w:rPr>
          <w:rFonts w:ascii="Candara" w:eastAsia="Times New Roman" w:hAnsi="Candara" w:cs="Times New Roman"/>
          <w:bCs/>
          <w:lang w:eastAsia="lv-LV"/>
        </w:rPr>
        <w:t xml:space="preserve">, kas publicēti </w:t>
      </w:r>
      <w:r w:rsidR="00CD65F2">
        <w:rPr>
          <w:rFonts w:ascii="Candara" w:eastAsia="Times New Roman" w:hAnsi="Candara" w:cs="Times New Roman"/>
          <w:bCs/>
          <w:lang w:eastAsia="lv-LV"/>
        </w:rPr>
        <w:t xml:space="preserve">žurnālos, kas iekļauti </w:t>
      </w:r>
      <w:r>
        <w:rPr>
          <w:rFonts w:ascii="Candara" w:eastAsia="Times New Roman" w:hAnsi="Candara" w:cs="Times New Roman"/>
          <w:bCs/>
          <w:lang w:eastAsia="lv-LV"/>
        </w:rPr>
        <w:t xml:space="preserve">starptautiskās datu bāzēs , </w:t>
      </w:r>
      <w:r w:rsidR="00112543">
        <w:rPr>
          <w:rFonts w:ascii="Candara" w:eastAsia="Times New Roman" w:hAnsi="Candara" w:cs="Times New Roman"/>
          <w:bCs/>
          <w:lang w:eastAsia="lv-LV"/>
        </w:rPr>
        <w:t xml:space="preserve">un 4) </w:t>
      </w:r>
      <w:r>
        <w:rPr>
          <w:rFonts w:ascii="Candara" w:eastAsia="Times New Roman" w:hAnsi="Candara" w:cs="Times New Roman"/>
          <w:bCs/>
          <w:lang w:eastAsia="lv-LV"/>
        </w:rPr>
        <w:t>iedzīvotāju īpatsvarā 30-34 gadu vecumā, kuriem ir augstākā izglītība</w:t>
      </w:r>
      <w:r w:rsidRPr="00655436">
        <w:rPr>
          <w:rFonts w:ascii="Candara" w:eastAsia="Times New Roman" w:hAnsi="Candara" w:cs="Times New Roman"/>
          <w:bCs/>
          <w:lang w:eastAsia="lv-LV"/>
        </w:rPr>
        <w:t xml:space="preserve">. </w:t>
      </w:r>
      <w:r>
        <w:rPr>
          <w:rFonts w:ascii="Candara" w:eastAsia="Times New Roman" w:hAnsi="Candara" w:cs="Times New Roman"/>
          <w:bCs/>
          <w:lang w:eastAsia="lv-LV"/>
        </w:rPr>
        <w:t>Savukārt t</w:t>
      </w:r>
      <w:r w:rsidRPr="00AA0989">
        <w:rPr>
          <w:rFonts w:ascii="Candara" w:eastAsia="Times New Roman" w:hAnsi="Candara" w:cs="Times New Roman"/>
          <w:bCs/>
          <w:lang w:eastAsia="lv-LV"/>
        </w:rPr>
        <w:t>iem rādītājiem, kuru izpilde i</w:t>
      </w:r>
      <w:r>
        <w:rPr>
          <w:rFonts w:ascii="Candara" w:eastAsia="Times New Roman" w:hAnsi="Candara" w:cs="Times New Roman"/>
          <w:bCs/>
          <w:lang w:eastAsia="lv-LV"/>
        </w:rPr>
        <w:t>r tieši saistīta ar ieguldījumiem P&amp;A</w:t>
      </w:r>
      <w:r w:rsidRPr="00AA0989">
        <w:rPr>
          <w:rFonts w:ascii="Candara" w:eastAsia="Times New Roman" w:hAnsi="Candara" w:cs="Times New Roman"/>
          <w:bCs/>
          <w:lang w:eastAsia="lv-LV"/>
        </w:rPr>
        <w:t xml:space="preserve">, rādītāju izpildes progress ir negatīvs, </w:t>
      </w:r>
      <w:r w:rsidR="00112543">
        <w:rPr>
          <w:rFonts w:ascii="Candara" w:eastAsia="Times New Roman" w:hAnsi="Candara" w:cs="Times New Roman"/>
          <w:bCs/>
          <w:lang w:eastAsia="lv-LV"/>
        </w:rPr>
        <w:t>ko izaugsmes stimulēšanai  nepietiekamais investīciju</w:t>
      </w:r>
      <w:r w:rsidRPr="00AA0989" w:rsidR="00112543">
        <w:rPr>
          <w:rFonts w:ascii="Candara" w:eastAsia="Times New Roman" w:hAnsi="Candara" w:cs="Times New Roman"/>
          <w:bCs/>
          <w:lang w:eastAsia="lv-LV"/>
        </w:rPr>
        <w:t xml:space="preserve"> </w:t>
      </w:r>
      <w:r w:rsidRPr="00AA0989">
        <w:rPr>
          <w:rFonts w:ascii="Candara" w:eastAsia="Times New Roman" w:hAnsi="Candara" w:cs="Times New Roman"/>
          <w:bCs/>
          <w:lang w:eastAsia="lv-LV"/>
        </w:rPr>
        <w:t>apmēru P&amp;A.</w:t>
      </w:r>
    </w:p>
    <w:p w:rsidR="00525E53" w:rsidP="00525E53" w14:paraId="6C12CD2F" w14:textId="77777777">
      <w:pPr>
        <w:spacing w:after="0"/>
        <w:ind w:firstLine="426"/>
        <w:jc w:val="both"/>
        <w:rPr>
          <w:rFonts w:ascii="Candara" w:hAnsi="Candara"/>
        </w:rPr>
      </w:pPr>
      <w:r w:rsidRPr="00655436">
        <w:rPr>
          <w:rFonts w:ascii="Candara" w:eastAsia="Times New Roman" w:hAnsi="Candara" w:cs="Times New Roman"/>
          <w:bCs/>
          <w:lang w:eastAsia="lv-LV"/>
        </w:rPr>
        <w:t>V</w:t>
      </w:r>
      <w:r w:rsidRPr="00655436">
        <w:rPr>
          <w:rFonts w:ascii="Candara" w:hAnsi="Candara"/>
        </w:rPr>
        <w:t>isi saistītie politikas plānošanas dokumenti (NIP, ZTAI</w:t>
      </w:r>
      <w:r w:rsidR="00424AFF">
        <w:rPr>
          <w:rFonts w:ascii="Candara" w:hAnsi="Candara"/>
        </w:rPr>
        <w:t xml:space="preserve"> pamatnostādnes</w:t>
      </w:r>
      <w:r w:rsidRPr="00655436">
        <w:rPr>
          <w:rFonts w:ascii="Candara" w:hAnsi="Candara"/>
        </w:rPr>
        <w:t>) principā ir vērsti uz RIS3 mērķu sasniegšanu. Taču šajos dokumentos ir dažādi bāzes gadi. Tāpēc ir svarīgi, ka turpmāk RIS3 monitoringā tiek izmantots viens atskaites periods.</w:t>
      </w:r>
    </w:p>
    <w:p w:rsidR="00CC788F" w:rsidRPr="00C7324C" w:rsidP="00C7324C" w14:paraId="28568314" w14:textId="77777777">
      <w:pPr>
        <w:spacing w:after="0" w:line="240" w:lineRule="auto"/>
        <w:ind w:right="-2"/>
        <w:jc w:val="both"/>
        <w:rPr>
          <w:rFonts w:ascii="Candara" w:hAnsi="Candara"/>
          <w:sz w:val="20"/>
          <w:szCs w:val="20"/>
        </w:rPr>
      </w:pPr>
    </w:p>
    <w:p w:rsidR="00DB7493" w:rsidP="00DB7493" w14:paraId="19EF6B9D" w14:textId="77777777">
      <w:pPr>
        <w:pStyle w:val="Caption"/>
      </w:pPr>
    </w:p>
    <w:tbl>
      <w:tblPr>
        <w:tblStyle w:val="PlainTable41"/>
        <w:tblpPr w:leftFromText="180" w:rightFromText="180" w:vertAnchor="text" w:horzAnchor="margin" w:tblpXSpec="right" w:tblpY="-11"/>
        <w:tblOverlap w:val="never"/>
        <w:tblW w:w="0" w:type="auto"/>
        <w:tblLook w:val="04A0"/>
      </w:tblPr>
      <w:tblGrid>
        <w:gridCol w:w="4138"/>
      </w:tblGrid>
      <w:tr w14:paraId="2E17379A" w14:textId="77777777" w:rsidTr="00322BAC">
        <w:tblPrEx>
          <w:tblW w:w="0" w:type="auto"/>
          <w:tblLook w:val="04A0"/>
        </w:tblPrEx>
        <w:trPr>
          <w:trHeight w:val="1008"/>
        </w:trPr>
        <w:tc>
          <w:tcPr>
            <w:tcW w:w="4138" w:type="dxa"/>
            <w:vAlign w:val="center"/>
          </w:tcPr>
          <w:p w:rsidR="00DB7493" w:rsidP="00DB7493" w14:paraId="1100153E" w14:textId="77777777">
            <w:pPr>
              <w:ind w:right="-113"/>
              <w:rPr>
                <w:rFonts w:ascii="Candara" w:hAnsi="Candara"/>
                <w:b w:val="0"/>
                <w:color w:val="000000" w:themeColor="text1"/>
                <w:spacing w:val="-8"/>
                <w:sz w:val="20"/>
                <w:szCs w:val="18"/>
                <w:lang w:bidi="lo-LA"/>
              </w:rPr>
            </w:pPr>
            <w:bookmarkStart w:id="43" w:name="_Toc341951821"/>
            <w:bookmarkStart w:id="44" w:name="_Toc356286149"/>
          </w:p>
          <w:p w:rsidR="00DB7493" w:rsidP="00DB7493" w14:paraId="4B3BAFA2" w14:textId="77777777">
            <w:pPr>
              <w:ind w:right="-113"/>
              <w:jc w:val="center"/>
              <w:rPr>
                <w:rFonts w:ascii="Candara" w:hAnsi="Candara"/>
                <w:b w:val="0"/>
                <w:color w:val="000000" w:themeColor="text1"/>
                <w:spacing w:val="-8"/>
                <w:sz w:val="20"/>
                <w:szCs w:val="18"/>
                <w:lang w:bidi="lo-LA"/>
              </w:rPr>
            </w:pPr>
            <w:r w:rsidRPr="00C7324C">
              <w:rPr>
                <w:rFonts w:ascii="Candara" w:hAnsi="Candara"/>
                <w:color w:val="000000" w:themeColor="text1"/>
                <w:spacing w:val="-8"/>
                <w:sz w:val="20"/>
                <w:szCs w:val="18"/>
                <w:lang w:bidi="lo-LA"/>
              </w:rPr>
              <w:t>6.attēls Kopējie izdevumi P&amp;A</w:t>
            </w:r>
            <w:r>
              <w:rPr>
                <w:rFonts w:ascii="Candara" w:hAnsi="Candara"/>
                <w:b w:val="0"/>
                <w:color w:val="000000" w:themeColor="text1"/>
                <w:spacing w:val="-8"/>
                <w:sz w:val="20"/>
                <w:szCs w:val="18"/>
                <w:lang w:bidi="lo-LA"/>
              </w:rPr>
              <w:t xml:space="preserve"> </w:t>
            </w:r>
            <w:r>
              <w:rPr>
                <w:rFonts w:ascii="Candara" w:hAnsi="Candara"/>
                <w:b w:val="0"/>
                <w:color w:val="000000" w:themeColor="text1"/>
                <w:spacing w:val="-8"/>
                <w:sz w:val="20"/>
                <w:szCs w:val="18"/>
                <w:lang w:bidi="lo-LA"/>
              </w:rPr>
              <w:br/>
              <w:t>% no IKP</w:t>
            </w:r>
          </w:p>
          <w:p w:rsidR="00DB7493" w:rsidP="00DB7493" w14:paraId="4BCDB7F6" w14:textId="77777777">
            <w:pPr>
              <w:ind w:right="-113"/>
              <w:rPr>
                <w:rFonts w:ascii="Candara" w:hAnsi="Candara"/>
                <w:b w:val="0"/>
                <w:color w:val="000000" w:themeColor="text1"/>
                <w:spacing w:val="-8"/>
                <w:sz w:val="20"/>
                <w:szCs w:val="18"/>
                <w:lang w:bidi="lo-LA"/>
              </w:rPr>
            </w:pPr>
          </w:p>
        </w:tc>
      </w:tr>
      <w:tr w14:paraId="2874E19E" w14:textId="77777777" w:rsidTr="00DB7493">
        <w:tblPrEx>
          <w:tblW w:w="0" w:type="auto"/>
          <w:tblLook w:val="04A0"/>
        </w:tblPrEx>
        <w:trPr>
          <w:trHeight w:val="3402"/>
        </w:trPr>
        <w:tc>
          <w:tcPr>
            <w:tcW w:w="4138" w:type="dxa"/>
            <w:shd w:val="clear" w:color="auto" w:fill="auto"/>
          </w:tcPr>
          <w:p w:rsidR="00DB7493" w:rsidRPr="00DA622B" w:rsidP="00DB7493" w14:paraId="4BBCE39D" w14:textId="77777777">
            <w:pPr>
              <w:ind w:left="-113" w:right="-113"/>
              <w:jc w:val="center"/>
              <w:rPr>
                <w:rFonts w:ascii="Garamond" w:hAnsi="Garamond" w:cs="Segoe UI"/>
                <w:noProof/>
                <w:sz w:val="20"/>
                <w:lang w:val="en-GB" w:eastAsia="en-GB"/>
              </w:rPr>
            </w:pPr>
            <w:r w:rsidRPr="00DA622B">
              <w:rPr>
                <w:rFonts w:ascii="Garamond" w:hAnsi="Garamond" w:cs="Segoe UI"/>
                <w:noProof/>
                <w:sz w:val="20"/>
                <w:lang w:eastAsia="lv-LV"/>
              </w:rPr>
              <w:drawing>
                <wp:inline distT="0" distB="0" distL="0" distR="0">
                  <wp:extent cx="2561590" cy="2062716"/>
                  <wp:effectExtent l="0" t="0" r="0" b="0"/>
                  <wp:docPr id="7"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525E53" w:rsidP="00DF2882" w14:paraId="27002D3C" w14:textId="77777777">
      <w:pPr>
        <w:spacing w:after="0"/>
        <w:jc w:val="both"/>
        <w:rPr>
          <w:rFonts w:ascii="Candara" w:eastAsia="Times New Roman" w:hAnsi="Candara" w:cs="Times New Roman"/>
          <w:bCs/>
          <w:lang w:eastAsia="lv-LV"/>
        </w:rPr>
      </w:pPr>
    </w:p>
    <w:p w:rsidR="00DF2882" w:rsidP="00DF2882" w14:paraId="4CD43189" w14:textId="77777777">
      <w:pPr>
        <w:spacing w:after="0"/>
        <w:jc w:val="both"/>
      </w:pPr>
      <w:r w:rsidRPr="008D43FE">
        <w:rPr>
          <w:rFonts w:ascii="Candara" w:eastAsia="Times New Roman" w:hAnsi="Candara" w:cs="Times New Roman"/>
          <w:bCs/>
          <w:lang w:eastAsia="lv-LV"/>
        </w:rPr>
        <w:t xml:space="preserve">Latvijas </w:t>
      </w:r>
      <w:r w:rsidRPr="00AA0989">
        <w:rPr>
          <w:rFonts w:ascii="Candara" w:eastAsia="Times New Roman" w:hAnsi="Candara" w:cs="Times New Roman"/>
          <w:b/>
          <w:bCs/>
          <w:lang w:eastAsia="lv-LV"/>
        </w:rPr>
        <w:t>kopējie izdevumi P&amp;A</w:t>
      </w:r>
      <w:r w:rsidRPr="008D43FE">
        <w:rPr>
          <w:rFonts w:ascii="Candara" w:eastAsia="Times New Roman" w:hAnsi="Candara" w:cs="Times New Roman"/>
          <w:bCs/>
          <w:lang w:eastAsia="lv-LV"/>
        </w:rPr>
        <w:t xml:space="preserve"> </w:t>
      </w:r>
      <w:r w:rsidRPr="008D43FE" w:rsidR="00946865">
        <w:rPr>
          <w:rFonts w:ascii="Candara" w:eastAsia="Times New Roman" w:hAnsi="Candara" w:cs="Times New Roman"/>
          <w:bCs/>
          <w:lang w:eastAsia="lv-LV"/>
        </w:rPr>
        <w:t>201</w:t>
      </w:r>
      <w:r w:rsidR="00946865">
        <w:rPr>
          <w:rFonts w:ascii="Candara" w:eastAsia="Times New Roman" w:hAnsi="Candara" w:cs="Times New Roman"/>
          <w:bCs/>
          <w:lang w:eastAsia="lv-LV"/>
        </w:rPr>
        <w:t>6</w:t>
      </w:r>
      <w:r w:rsidRPr="008D43FE">
        <w:rPr>
          <w:rFonts w:ascii="Candara" w:eastAsia="Times New Roman" w:hAnsi="Candara" w:cs="Times New Roman"/>
          <w:bCs/>
          <w:lang w:eastAsia="lv-LV"/>
        </w:rPr>
        <w:t xml:space="preserve">.gadā </w:t>
      </w:r>
      <w:r w:rsidR="00D40E84">
        <w:rPr>
          <w:rFonts w:ascii="Candara" w:eastAsia="Times New Roman" w:hAnsi="Candara" w:cs="Times New Roman"/>
          <w:bCs/>
          <w:lang w:eastAsia="lv-LV"/>
        </w:rPr>
        <w:t xml:space="preserve">bija </w:t>
      </w:r>
      <w:r w:rsidR="00946865">
        <w:rPr>
          <w:rFonts w:ascii="Candara" w:eastAsia="Times New Roman" w:hAnsi="Candara" w:cs="Times New Roman"/>
          <w:bCs/>
          <w:lang w:eastAsia="lv-LV"/>
        </w:rPr>
        <w:t xml:space="preserve">110,4 </w:t>
      </w:r>
      <w:r w:rsidR="00D40E84">
        <w:rPr>
          <w:rFonts w:ascii="Candara" w:eastAsia="Times New Roman" w:hAnsi="Candara" w:cs="Times New Roman"/>
          <w:bCs/>
          <w:lang w:eastAsia="lv-LV"/>
        </w:rPr>
        <w:t>milj. eiro, jeb 0,</w:t>
      </w:r>
      <w:r w:rsidR="00946865">
        <w:rPr>
          <w:rFonts w:ascii="Candara" w:eastAsia="Times New Roman" w:hAnsi="Candara" w:cs="Times New Roman"/>
          <w:bCs/>
          <w:lang w:eastAsia="lv-LV"/>
        </w:rPr>
        <w:t>44</w:t>
      </w:r>
      <w:r w:rsidRPr="008D43FE">
        <w:rPr>
          <w:rFonts w:ascii="Candara" w:eastAsia="Times New Roman" w:hAnsi="Candara" w:cs="Times New Roman"/>
          <w:bCs/>
          <w:lang w:eastAsia="lv-LV"/>
        </w:rPr>
        <w:t xml:space="preserve">% no IKP. Tas ir ne tikai </w:t>
      </w:r>
      <w:r w:rsidR="00946865">
        <w:rPr>
          <w:rFonts w:ascii="Candara" w:eastAsia="Times New Roman" w:hAnsi="Candara" w:cs="Times New Roman"/>
          <w:bCs/>
          <w:lang w:eastAsia="lv-LV"/>
        </w:rPr>
        <w:t xml:space="preserve">ievērojami </w:t>
      </w:r>
      <w:r w:rsidRPr="008D43FE">
        <w:rPr>
          <w:rFonts w:ascii="Candara" w:eastAsia="Times New Roman" w:hAnsi="Candara" w:cs="Times New Roman"/>
          <w:bCs/>
          <w:lang w:eastAsia="lv-LV"/>
        </w:rPr>
        <w:t xml:space="preserve">mazāk kā </w:t>
      </w:r>
      <w:r w:rsidRPr="008D43FE" w:rsidR="00946865">
        <w:rPr>
          <w:rFonts w:ascii="Candara" w:eastAsia="Times New Roman" w:hAnsi="Candara" w:cs="Times New Roman"/>
          <w:bCs/>
          <w:lang w:eastAsia="lv-LV"/>
        </w:rPr>
        <w:t>201</w:t>
      </w:r>
      <w:r w:rsidR="00946865">
        <w:rPr>
          <w:rFonts w:ascii="Candara" w:eastAsia="Times New Roman" w:hAnsi="Candara" w:cs="Times New Roman"/>
          <w:bCs/>
          <w:lang w:eastAsia="lv-LV"/>
        </w:rPr>
        <w:t>6</w:t>
      </w:r>
      <w:r w:rsidRPr="008D43FE">
        <w:rPr>
          <w:rFonts w:ascii="Candara" w:eastAsia="Times New Roman" w:hAnsi="Candara" w:cs="Times New Roman"/>
          <w:bCs/>
          <w:lang w:eastAsia="lv-LV"/>
        </w:rPr>
        <w:t>.gadā bija plānots (1</w:t>
      </w:r>
      <w:r w:rsidR="00946865">
        <w:rPr>
          <w:rFonts w:ascii="Candara" w:eastAsia="Times New Roman" w:hAnsi="Candara" w:cs="Times New Roman"/>
          <w:bCs/>
          <w:lang w:eastAsia="lv-LV"/>
        </w:rPr>
        <w:t>,1</w:t>
      </w:r>
      <w:r w:rsidRPr="008D43FE">
        <w:rPr>
          <w:rFonts w:ascii="Candara" w:eastAsia="Times New Roman" w:hAnsi="Candara" w:cs="Times New Roman"/>
          <w:bCs/>
          <w:lang w:eastAsia="lv-LV"/>
        </w:rPr>
        <w:t>%), bet arī mazāk nekā vidēji iepriekšējos gados. Šo samazinājumu izskaidro privātā un starptautiskā (ES fondu) sektora investīciju samazinājum</w:t>
      </w:r>
      <w:r w:rsidR="00655436">
        <w:rPr>
          <w:rFonts w:ascii="Candara" w:eastAsia="Times New Roman" w:hAnsi="Candara" w:cs="Times New Roman"/>
          <w:bCs/>
          <w:lang w:eastAsia="lv-LV"/>
        </w:rPr>
        <w:t>s</w:t>
      </w:r>
      <w:r w:rsidRPr="008D43FE">
        <w:rPr>
          <w:rFonts w:ascii="Candara" w:eastAsia="Times New Roman" w:hAnsi="Candara" w:cs="Times New Roman"/>
          <w:bCs/>
          <w:lang w:eastAsia="lv-LV"/>
        </w:rPr>
        <w:t xml:space="preserve"> kombinācijā ar valsts investīciju stagnāciju (</w:t>
      </w:r>
      <w:r>
        <w:rPr>
          <w:rFonts w:ascii="Candara" w:eastAsia="Times New Roman" w:hAnsi="Candara" w:cs="Times New Roman"/>
          <w:bCs/>
          <w:lang w:eastAsia="lv-LV"/>
        </w:rPr>
        <w:t>7</w:t>
      </w:r>
      <w:r w:rsidR="006354DC">
        <w:rPr>
          <w:rFonts w:ascii="Candara" w:eastAsia="Times New Roman" w:hAnsi="Candara" w:cs="Times New Roman"/>
          <w:bCs/>
          <w:lang w:eastAsia="lv-LV"/>
        </w:rPr>
        <w:t>.</w:t>
      </w:r>
      <w:r w:rsidRPr="008D43FE">
        <w:rPr>
          <w:rFonts w:ascii="Candara" w:eastAsia="Times New Roman" w:hAnsi="Candara" w:cs="Times New Roman"/>
          <w:bCs/>
          <w:lang w:eastAsia="lv-LV"/>
        </w:rPr>
        <w:t xml:space="preserve">, </w:t>
      </w:r>
      <w:r w:rsidR="00D40E84">
        <w:rPr>
          <w:rFonts w:ascii="Candara" w:eastAsia="Times New Roman" w:hAnsi="Candara" w:cs="Times New Roman"/>
          <w:bCs/>
          <w:lang w:eastAsia="lv-LV"/>
        </w:rPr>
        <w:t>8</w:t>
      </w:r>
      <w:r w:rsidR="006354DC">
        <w:rPr>
          <w:rFonts w:ascii="Candara" w:eastAsia="Times New Roman" w:hAnsi="Candara" w:cs="Times New Roman"/>
          <w:bCs/>
          <w:lang w:eastAsia="lv-LV"/>
        </w:rPr>
        <w:t>.</w:t>
      </w:r>
      <w:r w:rsidR="00D40E84">
        <w:rPr>
          <w:rFonts w:ascii="Candara" w:eastAsia="Times New Roman" w:hAnsi="Candara" w:cs="Times New Roman"/>
          <w:bCs/>
          <w:lang w:eastAsia="lv-LV"/>
        </w:rPr>
        <w:t>, 9.</w:t>
      </w:r>
      <w:r>
        <w:rPr>
          <w:rFonts w:ascii="Candara" w:eastAsia="Times New Roman" w:hAnsi="Candara" w:cs="Times New Roman"/>
          <w:bCs/>
          <w:lang w:eastAsia="lv-LV"/>
        </w:rPr>
        <w:t>attēls</w:t>
      </w:r>
      <w:r w:rsidRPr="008D43FE">
        <w:rPr>
          <w:rFonts w:ascii="Candara" w:eastAsia="Times New Roman" w:hAnsi="Candara" w:cs="Times New Roman"/>
          <w:bCs/>
          <w:lang w:eastAsia="lv-LV"/>
        </w:rPr>
        <w:t>). RIS3 plānotā politika paredzēja pasākumu kopumu, kur valsts investīciju būtisks pieaugums kombinācijā ar ES fondu ieguldījumiem un nozares infrastruktūrā un cilvēkresursos nodrošinātu privātā sektora investīciju pakāpenisku pieaugumu.</w:t>
      </w:r>
      <w:r w:rsidRPr="00B5322C">
        <w:rPr>
          <w:rFonts w:ascii="Candara" w:eastAsia="Times New Roman" w:hAnsi="Candara" w:cs="Times New Roman"/>
          <w:bCs/>
          <w:lang w:eastAsia="lv-LV"/>
        </w:rPr>
        <w:t xml:space="preserve"> </w:t>
      </w:r>
    </w:p>
    <w:p w:rsidR="00DF2882" w:rsidP="000419A4" w14:paraId="037D2D57" w14:textId="77777777">
      <w:pPr>
        <w:spacing w:after="0"/>
        <w:ind w:firstLine="426"/>
        <w:jc w:val="both"/>
        <w:rPr>
          <w:rFonts w:ascii="Candara" w:eastAsia="Times New Roman" w:hAnsi="Candara" w:cs="Times New Roman"/>
          <w:bCs/>
          <w:lang w:eastAsia="lv-LV"/>
        </w:rPr>
      </w:pPr>
      <w:r>
        <w:rPr>
          <w:rFonts w:ascii="Candara" w:eastAsia="Times New Roman" w:hAnsi="Candara" w:cs="Times New Roman"/>
          <w:bCs/>
          <w:lang w:eastAsia="lv-LV"/>
        </w:rPr>
        <w:t>Ņemot vērā to, ka valsts un ES fondu investīciju mērķis ir nodrošināt priekšnoteikumus un stimulus privātā sektora investīciju pieaugumam, novērotā negatīvā attīstības tendence skaidri signalizē, ka tautsaimniecības struktūra ne tikai nemainās, bet pasliktinās</w:t>
      </w:r>
      <w:r w:rsidR="00655436">
        <w:rPr>
          <w:rFonts w:ascii="Candara" w:eastAsia="Times New Roman" w:hAnsi="Candara" w:cs="Times New Roman"/>
          <w:bCs/>
          <w:lang w:eastAsia="lv-LV"/>
        </w:rPr>
        <w:t>.</w:t>
      </w:r>
      <w:r>
        <w:rPr>
          <w:rFonts w:ascii="Candara" w:eastAsia="Times New Roman" w:hAnsi="Candara" w:cs="Times New Roman"/>
          <w:bCs/>
          <w:lang w:eastAsia="lv-LV"/>
        </w:rPr>
        <w:t xml:space="preserve"> </w:t>
      </w:r>
      <w:r w:rsidR="00112543">
        <w:rPr>
          <w:rFonts w:ascii="Candara" w:eastAsia="Times New Roman" w:hAnsi="Candara" w:cs="Times New Roman"/>
          <w:bCs/>
          <w:lang w:eastAsia="lv-LV"/>
        </w:rPr>
        <w:t>Vēl vairāk, faktiski nav iedarbināts viens no svar</w:t>
      </w:r>
      <w:r w:rsidR="00C561E2">
        <w:rPr>
          <w:rFonts w:ascii="Candara" w:eastAsia="Times New Roman" w:hAnsi="Candara" w:cs="Times New Roman"/>
          <w:bCs/>
          <w:lang w:eastAsia="lv-LV"/>
        </w:rPr>
        <w:t>īgākajiem izaugsmes stimuliem.</w:t>
      </w:r>
    </w:p>
    <w:p w:rsidR="00C561E2" w:rsidRPr="00160541" w:rsidP="000419A4" w14:paraId="74410A8A" w14:textId="77777777">
      <w:pPr>
        <w:spacing w:after="0"/>
        <w:ind w:firstLine="426"/>
        <w:jc w:val="both"/>
        <w:rPr>
          <w:rFonts w:ascii="Candara" w:eastAsia="Times New Roman" w:hAnsi="Candara" w:cs="Times New Roman"/>
          <w:bCs/>
          <w:lang w:eastAsia="lv-LV"/>
        </w:rPr>
      </w:pPr>
      <w:r w:rsidRPr="00160541">
        <w:rPr>
          <w:rFonts w:ascii="Candara" w:eastAsia="Times New Roman" w:hAnsi="Candara" w:cs="Times New Roman"/>
          <w:bCs/>
          <w:lang w:eastAsia="lv-LV"/>
        </w:rPr>
        <w:t>Lai veicinātu valsts ieguldījumu palielinājumu P&amp;A un attīstītu nozares cilvēkkapitālu, 2018. gadā valsts budžeta finansējums zinātnei un pētniecībai ir palielināts par 3,4 miljoniem eiro. Pie reizes ir noteikts, ka Valsts pētījumu programmas turpmāk tiek finansētas no attiecīgās nozares budžeta. No Ekonomikas ministrijas budžeta sākot no 2018.gada ir panākti papildu 2 miljoni eiro šim mērķim - Valsts pētījumu programmas īstenošanai enerģētikas jomā.</w:t>
      </w:r>
    </w:p>
    <w:p w:rsidR="00DF2882" w:rsidP="000419A4" w14:paraId="7E3E4937" w14:textId="77777777">
      <w:pPr>
        <w:spacing w:before="120" w:after="120"/>
        <w:ind w:firstLine="426"/>
        <w:jc w:val="both"/>
        <w:rPr>
          <w:rFonts w:ascii="Candara" w:eastAsia="Times New Roman" w:hAnsi="Candara" w:cs="Times New Roman"/>
          <w:bCs/>
          <w:lang w:eastAsia="lv-LV"/>
        </w:rPr>
      </w:pPr>
      <w:r w:rsidRPr="00160541">
        <w:rPr>
          <w:rFonts w:ascii="Candara" w:eastAsia="Times New Roman" w:hAnsi="Candara" w:cs="Times New Roman"/>
          <w:b/>
          <w:bCs/>
          <w:lang w:eastAsia="lv-LV"/>
        </w:rPr>
        <w:t xml:space="preserve">Makro līmeņa rādītāju izmaiņas parāda, ka </w:t>
      </w:r>
      <w:r w:rsidRPr="00160541">
        <w:rPr>
          <w:rFonts w:ascii="Candara" w:eastAsia="Times New Roman" w:hAnsi="Candara" w:cs="Times New Roman"/>
          <w:bCs/>
          <w:lang w:eastAsia="lv-LV"/>
        </w:rPr>
        <w:t xml:space="preserve">plānotā virzība uz mērķi </w:t>
      </w:r>
      <w:r w:rsidRPr="00160541">
        <w:rPr>
          <w:rFonts w:ascii="Candara" w:eastAsia="Times New Roman" w:hAnsi="Candara" w:cs="Times New Roman"/>
          <w:b/>
          <w:bCs/>
          <w:lang w:eastAsia="lv-LV"/>
        </w:rPr>
        <w:t>2020.gadā sasniegt tādu tautsaimniec</w:t>
      </w:r>
      <w:r w:rsidRPr="00160541" w:rsidR="00D40E84">
        <w:rPr>
          <w:rFonts w:ascii="Candara" w:eastAsia="Times New Roman" w:hAnsi="Candara" w:cs="Times New Roman"/>
          <w:b/>
          <w:bCs/>
          <w:lang w:eastAsia="lv-LV"/>
        </w:rPr>
        <w:t>ības struktūru, ko raksturo 1,5</w:t>
      </w:r>
      <w:r w:rsidRPr="00160541">
        <w:rPr>
          <w:rFonts w:ascii="Candara" w:eastAsia="Times New Roman" w:hAnsi="Candara" w:cs="Times New Roman"/>
          <w:b/>
          <w:bCs/>
          <w:lang w:eastAsia="lv-LV"/>
        </w:rPr>
        <w:t>% ieguldījumi P&amp;A</w:t>
      </w:r>
      <w:r w:rsidRPr="00160541">
        <w:rPr>
          <w:rFonts w:ascii="Candara" w:eastAsia="Times New Roman" w:hAnsi="Candara" w:cs="Times New Roman"/>
          <w:bCs/>
          <w:lang w:eastAsia="lv-LV"/>
        </w:rPr>
        <w:t xml:space="preserve"> (% no IKP) nenotiek (6.attēls). </w:t>
      </w:r>
      <w:r w:rsidRPr="00160541" w:rsidR="00636EF4">
        <w:rPr>
          <w:rFonts w:ascii="Candara" w:eastAsia="Times New Roman" w:hAnsi="Candara"/>
          <w:bCs/>
          <w:lang w:eastAsia="lv-LV"/>
        </w:rPr>
        <w:t>Kopējie izdevumi P&amp;A nav pieauguši.</w:t>
      </w:r>
    </w:p>
    <w:p w:rsidR="00C561E2" w:rsidP="000419A4" w14:paraId="368BB133" w14:textId="77777777">
      <w:pPr>
        <w:spacing w:before="120" w:after="120"/>
        <w:ind w:firstLine="426"/>
        <w:jc w:val="both"/>
        <w:rPr>
          <w:rFonts w:ascii="Candara" w:eastAsia="Times New Roman" w:hAnsi="Candara" w:cs="Times New Roman"/>
          <w:bCs/>
          <w:lang w:eastAsia="lv-LV"/>
        </w:rPr>
      </w:pPr>
      <w:r>
        <w:rPr>
          <w:rFonts w:ascii="Candara" w:eastAsia="Times New Roman" w:hAnsi="Candara" w:cs="Times New Roman"/>
          <w:bCs/>
          <w:lang w:eastAsia="lv-LV"/>
        </w:rPr>
        <w:t>Lai paaugstinātu privātā sektora zināšanu ietilpību, ko ataino privātā sektora ieguldījumi P&amp;A, RIS3 paredzēja valsts investīciju ikgadēju palielinājumu 2014.gadā sasniedzot gandrīz 49.8 milj. eiro</w:t>
      </w:r>
      <w:r w:rsidR="00946865">
        <w:rPr>
          <w:rFonts w:ascii="Candara" w:eastAsia="Times New Roman" w:hAnsi="Candara" w:cs="Times New Roman"/>
          <w:bCs/>
          <w:lang w:eastAsia="lv-LV"/>
        </w:rPr>
        <w:t xml:space="preserve">, </w:t>
      </w:r>
      <w:r>
        <w:rPr>
          <w:rFonts w:ascii="Candara" w:eastAsia="Times New Roman" w:hAnsi="Candara" w:cs="Times New Roman"/>
          <w:bCs/>
          <w:lang w:eastAsia="lv-LV"/>
        </w:rPr>
        <w:t>2015.gadā –75.4 milj. eiro</w:t>
      </w:r>
      <w:r w:rsidR="00946865">
        <w:rPr>
          <w:rFonts w:ascii="Candara" w:eastAsia="Times New Roman" w:hAnsi="Candara" w:cs="Times New Roman"/>
          <w:bCs/>
          <w:lang w:eastAsia="lv-LV"/>
        </w:rPr>
        <w:t xml:space="preserve"> un 120,9 milj. eiro 2016.gadā - </w:t>
      </w:r>
      <w:r>
        <w:rPr>
          <w:rFonts w:ascii="Candara" w:eastAsia="Times New Roman" w:hAnsi="Candara" w:cs="Times New Roman"/>
          <w:bCs/>
          <w:lang w:eastAsia="lv-LV"/>
        </w:rPr>
        <w:t xml:space="preserve"> (7.attēls).</w:t>
      </w:r>
    </w:p>
    <w:p w:rsidR="00C561E2" w:rsidP="00B27815" w14:paraId="2819D2DC" w14:textId="77777777">
      <w:pPr>
        <w:spacing w:after="0"/>
        <w:ind w:firstLine="426"/>
        <w:jc w:val="both"/>
        <w:rPr>
          <w:rFonts w:ascii="Candara" w:eastAsia="Times New Roman" w:hAnsi="Candara"/>
          <w:bCs/>
          <w:lang w:eastAsia="lv-LV"/>
        </w:rPr>
      </w:pPr>
      <w:r>
        <w:rPr>
          <w:rFonts w:ascii="Candara" w:eastAsia="Times New Roman" w:hAnsi="Candara"/>
          <w:bCs/>
          <w:lang w:eastAsia="lv-LV"/>
        </w:rPr>
        <w:t xml:space="preserve">Kā redzams 7.attēlā, plānotais valsts investīciju pieaugums P&amp;A </w:t>
      </w:r>
      <w:r w:rsidR="00946865">
        <w:rPr>
          <w:rFonts w:ascii="Candara" w:eastAsia="Times New Roman" w:hAnsi="Candara"/>
          <w:bCs/>
          <w:lang w:eastAsia="lv-LV"/>
        </w:rPr>
        <w:t>2016</w:t>
      </w:r>
      <w:r>
        <w:rPr>
          <w:rFonts w:ascii="Candara" w:eastAsia="Times New Roman" w:hAnsi="Candara"/>
          <w:bCs/>
          <w:lang w:eastAsia="lv-LV"/>
        </w:rPr>
        <w:t xml:space="preserve">.gadā atpalika no plānotā par </w:t>
      </w:r>
      <w:r w:rsidR="00946865">
        <w:rPr>
          <w:rFonts w:ascii="Candara" w:eastAsia="Times New Roman" w:hAnsi="Candara"/>
          <w:bCs/>
          <w:lang w:eastAsia="lv-LV"/>
        </w:rPr>
        <w:t>68</w:t>
      </w:r>
      <w:r w:rsidR="006354DC">
        <w:rPr>
          <w:rFonts w:ascii="Candara" w:eastAsia="Times New Roman" w:hAnsi="Candara"/>
          <w:bCs/>
          <w:lang w:eastAsia="lv-LV"/>
        </w:rPr>
        <w:t> </w:t>
      </w:r>
      <w:r>
        <w:rPr>
          <w:rFonts w:ascii="Candara" w:eastAsia="Times New Roman" w:hAnsi="Candara"/>
          <w:bCs/>
          <w:lang w:eastAsia="lv-LV"/>
        </w:rPr>
        <w:t>milj. Tādējādi, valsts nav pildījusi RIS3 plānā paredzēto un nav investējusi tautsaimniecības attīstības stimulēšanai nepieciešamajās zināšanās un tehnoloģijās. Valsts budžeta investīcijas 2013.-</w:t>
      </w:r>
      <w:r w:rsidR="00946865">
        <w:rPr>
          <w:rFonts w:ascii="Candara" w:eastAsia="Times New Roman" w:hAnsi="Candara"/>
          <w:bCs/>
          <w:lang w:eastAsia="lv-LV"/>
        </w:rPr>
        <w:t>2016</w:t>
      </w:r>
      <w:r>
        <w:rPr>
          <w:rFonts w:ascii="Candara" w:eastAsia="Times New Roman" w:hAnsi="Candara"/>
          <w:bCs/>
          <w:lang w:eastAsia="lv-LV"/>
        </w:rPr>
        <w:t xml:space="preserve">.gadā pieauga tikai par </w:t>
      </w:r>
      <w:r w:rsidR="00946865">
        <w:rPr>
          <w:rFonts w:ascii="Candara" w:eastAsia="Times New Roman" w:hAnsi="Candara"/>
          <w:bCs/>
          <w:lang w:eastAsia="lv-LV"/>
        </w:rPr>
        <w:t>19,3</w:t>
      </w:r>
      <w:r>
        <w:rPr>
          <w:rFonts w:ascii="Candara" w:eastAsia="Times New Roman" w:hAnsi="Candara"/>
          <w:bCs/>
          <w:lang w:eastAsia="lv-LV"/>
        </w:rPr>
        <w:t xml:space="preserve"> milj. eiro. Šo pieaugumu pamatā veidoja zinātnisko institūciju bāzes jeb institucionālais finansējums (ievērojami mazākā apjomā nekā nepieciešams un plānots), kas</w:t>
      </w:r>
      <w:r w:rsidRPr="00CC788F">
        <w:rPr>
          <w:rFonts w:ascii="Candara" w:eastAsia="Times New Roman" w:hAnsi="Candara"/>
          <w:bCs/>
          <w:lang w:eastAsia="lv-LV"/>
        </w:rPr>
        <w:t xml:space="preserve"> </w:t>
      </w:r>
      <w:r>
        <w:rPr>
          <w:rFonts w:ascii="Candara" w:eastAsia="Times New Roman" w:hAnsi="Candara"/>
          <w:bCs/>
          <w:lang w:eastAsia="lv-LV"/>
        </w:rPr>
        <w:t>paredzēts galvenokārt zinātniskās infrastruktūras uzturēšanai un līdzfinansējumam dalībai ES fondu finansētajos projektos. Valsts budžeta investīcijas pētniecības darbā netika</w:t>
      </w:r>
      <w:r w:rsidR="00B86F69">
        <w:rPr>
          <w:rFonts w:ascii="Candara" w:eastAsia="Times New Roman" w:hAnsi="Candara"/>
          <w:bCs/>
          <w:lang w:eastAsia="lv-LV"/>
        </w:rPr>
        <w:t xml:space="preserve"> palielinātas vispār, tādējādi </w:t>
      </w:r>
      <w:r>
        <w:rPr>
          <w:rFonts w:ascii="Candara" w:eastAsia="Times New Roman" w:hAnsi="Candara"/>
          <w:bCs/>
          <w:lang w:eastAsia="lv-LV"/>
        </w:rPr>
        <w:t xml:space="preserve">radot situāciju, ka par ES fondiem modernizētā pētniecības infrastruktūra un </w:t>
      </w:r>
      <w:r w:rsidR="00B86F69">
        <w:rPr>
          <w:rFonts w:ascii="Candara" w:eastAsia="Times New Roman" w:hAnsi="Candara"/>
          <w:bCs/>
          <w:lang w:eastAsia="lv-LV"/>
        </w:rPr>
        <w:t>cilvēkresursi netiek noslogoti un ekonomikas attīstībai</w:t>
      </w:r>
      <w:r w:rsidR="00EC4FCB">
        <w:rPr>
          <w:rFonts w:ascii="Candara" w:eastAsia="Times New Roman" w:hAnsi="Candara"/>
          <w:bCs/>
          <w:lang w:eastAsia="lv-LV"/>
        </w:rPr>
        <w:t>,</w:t>
      </w:r>
    </w:p>
    <w:p w:rsidR="00C561E2" w:rsidP="00B27815" w14:paraId="01BB19E4" w14:textId="77777777">
      <w:pPr>
        <w:spacing w:after="0"/>
        <w:ind w:firstLine="426"/>
        <w:jc w:val="both"/>
        <w:rPr>
          <w:rFonts w:ascii="Candara" w:eastAsia="Times New Roman" w:hAnsi="Candara"/>
          <w:bCs/>
          <w:lang w:eastAsia="lv-LV"/>
        </w:rPr>
      </w:pPr>
    </w:p>
    <w:p w:rsidR="00C561E2" w:rsidP="00B27815" w14:paraId="01DCFCC0" w14:textId="77777777">
      <w:pPr>
        <w:spacing w:after="0"/>
        <w:ind w:firstLine="426"/>
        <w:jc w:val="both"/>
        <w:rPr>
          <w:rFonts w:ascii="Candara" w:eastAsia="Times New Roman" w:hAnsi="Candara"/>
          <w:bCs/>
          <w:lang w:eastAsia="lv-LV"/>
        </w:rPr>
      </w:pPr>
    </w:p>
    <w:p w:rsidR="00C561E2" w:rsidP="00B27815" w14:paraId="15D8F8B8" w14:textId="77777777">
      <w:pPr>
        <w:spacing w:after="0"/>
        <w:ind w:firstLine="426"/>
        <w:jc w:val="both"/>
        <w:rPr>
          <w:rFonts w:ascii="Candara" w:eastAsia="Times New Roman" w:hAnsi="Candara"/>
          <w:bCs/>
          <w:lang w:eastAsia="lv-LV"/>
        </w:rPr>
      </w:pPr>
    </w:p>
    <w:p w:rsidR="00C561E2" w:rsidP="00B27815" w14:paraId="3FCA6057" w14:textId="77777777">
      <w:pPr>
        <w:spacing w:after="0"/>
        <w:ind w:firstLine="426"/>
        <w:jc w:val="both"/>
        <w:rPr>
          <w:rFonts w:ascii="Candara" w:eastAsia="Times New Roman" w:hAnsi="Candara"/>
          <w:bCs/>
          <w:lang w:eastAsia="lv-LV"/>
        </w:rPr>
      </w:pPr>
    </w:p>
    <w:p w:rsidR="00C561E2" w:rsidP="00B27815" w14:paraId="51DEAFFB" w14:textId="77777777">
      <w:pPr>
        <w:spacing w:after="0"/>
        <w:ind w:firstLine="426"/>
        <w:jc w:val="both"/>
        <w:rPr>
          <w:rFonts w:ascii="Candara" w:eastAsia="Times New Roman" w:hAnsi="Candara"/>
          <w:bCs/>
          <w:lang w:eastAsia="lv-LV"/>
        </w:rPr>
      </w:pPr>
    </w:p>
    <w:p w:rsidR="00C561E2" w:rsidP="00B27815" w14:paraId="671217A8" w14:textId="77777777">
      <w:pPr>
        <w:spacing w:after="0"/>
        <w:ind w:firstLine="426"/>
        <w:jc w:val="both"/>
        <w:rPr>
          <w:rFonts w:ascii="Candara" w:eastAsia="Times New Roman" w:hAnsi="Candara"/>
          <w:bCs/>
          <w:lang w:eastAsia="lv-LV"/>
        </w:rPr>
      </w:pPr>
    </w:p>
    <w:p w:rsidR="00C561E2" w:rsidP="00B27815" w14:paraId="3C228251" w14:textId="77777777">
      <w:pPr>
        <w:spacing w:after="0"/>
        <w:ind w:firstLine="426"/>
        <w:jc w:val="both"/>
        <w:rPr>
          <w:rFonts w:ascii="Candara" w:eastAsia="Times New Roman" w:hAnsi="Candara"/>
          <w:bCs/>
          <w:lang w:eastAsia="lv-LV"/>
        </w:rPr>
      </w:pPr>
    </w:p>
    <w:p w:rsidR="00C561E2" w:rsidP="00B27815" w14:paraId="12EE21B0" w14:textId="77777777">
      <w:pPr>
        <w:spacing w:after="0"/>
        <w:ind w:firstLine="426"/>
        <w:jc w:val="both"/>
        <w:rPr>
          <w:rFonts w:ascii="Candara" w:eastAsia="Times New Roman" w:hAnsi="Candara"/>
          <w:bCs/>
          <w:lang w:eastAsia="lv-LV"/>
        </w:rPr>
      </w:pPr>
    </w:p>
    <w:p w:rsidR="00C561E2" w:rsidP="00B27815" w14:paraId="548F229F" w14:textId="77777777">
      <w:pPr>
        <w:spacing w:after="0"/>
        <w:ind w:firstLine="426"/>
        <w:jc w:val="both"/>
        <w:rPr>
          <w:rFonts w:ascii="Candara" w:eastAsia="Times New Roman" w:hAnsi="Candara"/>
          <w:bCs/>
          <w:lang w:eastAsia="lv-LV"/>
        </w:rPr>
      </w:pPr>
    </w:p>
    <w:p w:rsidR="00B27815" w:rsidRPr="00B27815" w:rsidP="00B27815" w14:paraId="123004C2" w14:textId="77777777">
      <w:pPr>
        <w:spacing w:after="0"/>
        <w:ind w:firstLine="426"/>
        <w:jc w:val="both"/>
        <w:rPr>
          <w:rFonts w:ascii="Candara" w:eastAsia="Times New Roman" w:hAnsi="Candara" w:cs="Times New Roman"/>
          <w:bCs/>
          <w:lang w:eastAsia="lv-LV"/>
        </w:rPr>
      </w:pPr>
      <w:r>
        <w:rPr>
          <w:rFonts w:ascii="Candara" w:eastAsia="Times New Roman" w:hAnsi="Candara"/>
          <w:bCs/>
          <w:lang w:eastAsia="lv-LV"/>
        </w:rPr>
        <w:br/>
      </w:r>
    </w:p>
    <w:tbl>
      <w:tblPr>
        <w:tblStyle w:val="PlainTable41"/>
        <w:tblW w:w="0" w:type="auto"/>
        <w:tblLook w:val="04A0"/>
      </w:tblPr>
      <w:tblGrid>
        <w:gridCol w:w="3311"/>
        <w:gridCol w:w="3311"/>
        <w:gridCol w:w="3301"/>
      </w:tblGrid>
      <w:tr w14:paraId="00F98168" w14:textId="77777777" w:rsidTr="00322BAC">
        <w:tblPrEx>
          <w:tblW w:w="0" w:type="auto"/>
          <w:tblLook w:val="04A0"/>
        </w:tblPrEx>
        <w:tc>
          <w:tcPr>
            <w:tcW w:w="3311" w:type="dxa"/>
            <w:vAlign w:val="center"/>
          </w:tcPr>
          <w:p w:rsidR="00B27815" w:rsidRPr="00507FC5" w:rsidP="00B27815" w14:paraId="57333588" w14:textId="77777777">
            <w:pPr>
              <w:ind w:left="-113" w:right="-113"/>
              <w:jc w:val="center"/>
              <w:rPr>
                <w:b w:val="0"/>
                <w:sz w:val="20"/>
              </w:rPr>
            </w:pPr>
            <w:r w:rsidRPr="00C7324C">
              <w:rPr>
                <w:rFonts w:ascii="Candara" w:hAnsi="Candara"/>
                <w:color w:val="000000" w:themeColor="text1"/>
                <w:spacing w:val="-8"/>
                <w:sz w:val="20"/>
                <w:szCs w:val="18"/>
                <w:lang w:bidi="lo-LA"/>
              </w:rPr>
              <w:t>7.attēls. Valsts finansējums P&amp;A</w:t>
            </w:r>
            <w:r>
              <w:rPr>
                <w:rFonts w:ascii="Candara" w:hAnsi="Candara"/>
                <w:b w:val="0"/>
                <w:color w:val="000000" w:themeColor="text1"/>
                <w:spacing w:val="-8"/>
                <w:sz w:val="20"/>
                <w:szCs w:val="18"/>
                <w:lang w:bidi="lo-LA"/>
              </w:rPr>
              <w:t xml:space="preserve"> </w:t>
            </w:r>
            <w:r>
              <w:rPr>
                <w:rFonts w:ascii="Candara" w:hAnsi="Candara"/>
                <w:b w:val="0"/>
                <w:color w:val="000000" w:themeColor="text1"/>
                <w:spacing w:val="-8"/>
                <w:sz w:val="20"/>
                <w:szCs w:val="18"/>
                <w:lang w:bidi="lo-LA"/>
              </w:rPr>
              <w:br/>
              <w:t>milj. EUR</w:t>
            </w:r>
          </w:p>
        </w:tc>
        <w:tc>
          <w:tcPr>
            <w:tcW w:w="3311" w:type="dxa"/>
            <w:vAlign w:val="center"/>
          </w:tcPr>
          <w:p w:rsidR="00B27815" w:rsidRPr="00507FC5" w:rsidP="00B27815" w14:paraId="62997EF1" w14:textId="77777777">
            <w:pPr>
              <w:ind w:left="-113" w:right="-113"/>
              <w:jc w:val="center"/>
              <w:rPr>
                <w:b w:val="0"/>
                <w:sz w:val="20"/>
              </w:rPr>
            </w:pPr>
            <w:r w:rsidRPr="00C7324C">
              <w:rPr>
                <w:rFonts w:ascii="Candara" w:hAnsi="Candara"/>
                <w:color w:val="000000" w:themeColor="text1"/>
                <w:spacing w:val="-8"/>
                <w:sz w:val="20"/>
                <w:szCs w:val="18"/>
                <w:lang w:bidi="lo-LA"/>
              </w:rPr>
              <w:t>8. attēls. Uzņēmumu finansējums P&amp;A</w:t>
            </w:r>
            <w:r>
              <w:rPr>
                <w:rFonts w:ascii="Candara" w:hAnsi="Candara"/>
                <w:b w:val="0"/>
                <w:color w:val="000000" w:themeColor="text1"/>
                <w:spacing w:val="-8"/>
                <w:sz w:val="20"/>
                <w:szCs w:val="18"/>
                <w:lang w:bidi="lo-LA"/>
              </w:rPr>
              <w:t xml:space="preserve"> </w:t>
            </w:r>
            <w:r>
              <w:rPr>
                <w:rFonts w:ascii="Candara" w:hAnsi="Candara"/>
                <w:b w:val="0"/>
                <w:color w:val="000000" w:themeColor="text1"/>
                <w:spacing w:val="-8"/>
                <w:sz w:val="20"/>
                <w:szCs w:val="18"/>
                <w:lang w:bidi="lo-LA"/>
              </w:rPr>
              <w:br/>
              <w:t>milj. EUR</w:t>
            </w:r>
          </w:p>
        </w:tc>
        <w:tc>
          <w:tcPr>
            <w:tcW w:w="3301" w:type="dxa"/>
            <w:vAlign w:val="center"/>
          </w:tcPr>
          <w:p w:rsidR="00B27815" w:rsidRPr="00507FC5" w:rsidP="00B27815" w14:paraId="35A7C9E7" w14:textId="77777777">
            <w:pPr>
              <w:ind w:left="-113" w:right="-113"/>
              <w:jc w:val="center"/>
              <w:rPr>
                <w:b w:val="0"/>
                <w:sz w:val="20"/>
              </w:rPr>
            </w:pPr>
            <w:r w:rsidRPr="00C7324C">
              <w:rPr>
                <w:rFonts w:ascii="Candara" w:hAnsi="Candara"/>
                <w:color w:val="000000" w:themeColor="text1"/>
                <w:spacing w:val="-8"/>
                <w:sz w:val="20"/>
                <w:szCs w:val="18"/>
                <w:lang w:bidi="lo-LA"/>
              </w:rPr>
              <w:t>9.attēls. Ārvalstu finansējums P&amp;A</w:t>
            </w:r>
            <w:r>
              <w:rPr>
                <w:rFonts w:ascii="Candara" w:hAnsi="Candara"/>
                <w:b w:val="0"/>
                <w:color w:val="000000" w:themeColor="text1"/>
                <w:spacing w:val="-8"/>
                <w:sz w:val="20"/>
                <w:szCs w:val="18"/>
                <w:lang w:bidi="lo-LA"/>
              </w:rPr>
              <w:t xml:space="preserve"> </w:t>
            </w:r>
            <w:r>
              <w:rPr>
                <w:rFonts w:ascii="Candara" w:hAnsi="Candara"/>
                <w:b w:val="0"/>
                <w:color w:val="000000" w:themeColor="text1"/>
                <w:spacing w:val="-8"/>
                <w:sz w:val="20"/>
                <w:szCs w:val="18"/>
                <w:lang w:bidi="lo-LA"/>
              </w:rPr>
              <w:br/>
              <w:t>milj. EUR</w:t>
            </w:r>
          </w:p>
        </w:tc>
      </w:tr>
      <w:tr w14:paraId="1326EBEA" w14:textId="77777777" w:rsidTr="00322BAC">
        <w:tblPrEx>
          <w:tblW w:w="0" w:type="auto"/>
          <w:tblLook w:val="04A0"/>
        </w:tblPrEx>
        <w:tc>
          <w:tcPr>
            <w:tcW w:w="3311" w:type="dxa"/>
            <w:shd w:val="clear" w:color="auto" w:fill="auto"/>
          </w:tcPr>
          <w:p w:rsidR="00B27815" w:rsidP="00322BAC" w14:paraId="7EE62820" w14:textId="77777777">
            <w:pPr>
              <w:ind w:left="-113" w:right="-113"/>
              <w:jc w:val="center"/>
              <w:rPr>
                <w:sz w:val="24"/>
                <w:szCs w:val="24"/>
              </w:rPr>
            </w:pPr>
            <w:r w:rsidRPr="00DA622B">
              <w:rPr>
                <w:rFonts w:ascii="Garamond" w:hAnsi="Garamond" w:cs="Segoe UI"/>
                <w:noProof/>
                <w:sz w:val="20"/>
                <w:lang w:eastAsia="lv-LV"/>
              </w:rPr>
              <w:drawing>
                <wp:inline distT="0" distB="0" distL="0" distR="0">
                  <wp:extent cx="2052000" cy="1800000"/>
                  <wp:effectExtent l="0" t="0" r="5715" b="0"/>
                  <wp:docPr id="14"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311" w:type="dxa"/>
            <w:shd w:val="clear" w:color="auto" w:fill="auto"/>
          </w:tcPr>
          <w:p w:rsidR="00B27815" w:rsidP="00322BAC" w14:paraId="5E9E606A" w14:textId="77777777">
            <w:pPr>
              <w:ind w:left="-113" w:right="-113"/>
              <w:jc w:val="both"/>
              <w:rPr>
                <w:sz w:val="24"/>
                <w:szCs w:val="24"/>
              </w:rPr>
            </w:pPr>
            <w:r w:rsidRPr="00DA622B">
              <w:rPr>
                <w:rFonts w:ascii="Garamond" w:hAnsi="Garamond" w:cs="Segoe UI"/>
                <w:noProof/>
                <w:sz w:val="20"/>
                <w:lang w:eastAsia="lv-LV"/>
              </w:rPr>
              <w:drawing>
                <wp:inline distT="0" distB="0" distL="0" distR="0">
                  <wp:extent cx="2052000" cy="1800000"/>
                  <wp:effectExtent l="0" t="0" r="5715" b="0"/>
                  <wp:docPr id="34932"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301" w:type="dxa"/>
            <w:shd w:val="clear" w:color="auto" w:fill="auto"/>
          </w:tcPr>
          <w:p w:rsidR="00B27815" w:rsidP="00322BAC" w14:paraId="7CE5B392" w14:textId="77777777">
            <w:pPr>
              <w:ind w:left="-113" w:right="-113"/>
              <w:jc w:val="both"/>
              <w:rPr>
                <w:sz w:val="24"/>
                <w:szCs w:val="24"/>
              </w:rPr>
            </w:pPr>
            <w:r w:rsidRPr="00DA622B">
              <w:rPr>
                <w:rFonts w:ascii="Garamond" w:hAnsi="Garamond" w:cs="Segoe UI"/>
                <w:noProof/>
                <w:sz w:val="20"/>
                <w:lang w:eastAsia="lv-LV"/>
              </w:rPr>
              <w:drawing>
                <wp:inline distT="0" distB="0" distL="0" distR="0">
                  <wp:extent cx="2052000" cy="1800000"/>
                  <wp:effectExtent l="0" t="0" r="0" b="0"/>
                  <wp:docPr id="34933"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DF2882" w:rsidP="00B86F69" w14:paraId="57353DDB" w14:textId="77777777">
      <w:pPr>
        <w:spacing w:before="120" w:after="0"/>
        <w:jc w:val="both"/>
        <w:rPr>
          <w:rFonts w:ascii="Candara" w:eastAsia="Times New Roman" w:hAnsi="Candara"/>
          <w:bCs/>
          <w:lang w:eastAsia="lv-LV"/>
        </w:rPr>
      </w:pPr>
      <w:r>
        <w:rPr>
          <w:rFonts w:ascii="Candara" w:eastAsia="Times New Roman" w:hAnsi="Candara"/>
          <w:bCs/>
          <w:lang w:eastAsia="lv-LV"/>
        </w:rPr>
        <w:t>nepieciešamās zināšanas netiek nodrošinātas pietiekamā apmērā.</w:t>
      </w:r>
      <w:r>
        <w:rPr>
          <w:rFonts w:ascii="Candara" w:eastAsia="Times New Roman" w:hAnsi="Candara" w:cs="Times New Roman"/>
          <w:bCs/>
          <w:lang w:eastAsia="lv-LV"/>
        </w:rPr>
        <w:t xml:space="preserve"> </w:t>
      </w:r>
      <w:r w:rsidR="00636EF4">
        <w:rPr>
          <w:rFonts w:ascii="Candara" w:eastAsia="Times New Roman" w:hAnsi="Candara"/>
          <w:bCs/>
          <w:lang w:eastAsia="lv-LV"/>
        </w:rPr>
        <w:t>Tādā veidā tika radīta situācija, kurā pētniecībā nodarbinātajiem nebija darba iespēju nedz valsts</w:t>
      </w:r>
      <w:r w:rsidR="006354DC">
        <w:rPr>
          <w:rFonts w:ascii="Candara" w:eastAsia="Times New Roman" w:hAnsi="Candara"/>
          <w:bCs/>
          <w:lang w:eastAsia="lv-LV"/>
        </w:rPr>
        <w:t>,</w:t>
      </w:r>
      <w:r w:rsidR="00636EF4">
        <w:rPr>
          <w:rFonts w:ascii="Candara" w:eastAsia="Times New Roman" w:hAnsi="Candara"/>
          <w:bCs/>
          <w:lang w:eastAsia="lv-LV"/>
        </w:rPr>
        <w:t xml:space="preserve"> nedz privātajā sektorā. Ņemot vērā pētniecības darba tirgus globālo raksturu, valdības budžeta izstrādes gaitā pieņemtie lēmumi </w:t>
      </w:r>
      <w:r w:rsidR="00B86F69">
        <w:rPr>
          <w:rFonts w:ascii="Candara" w:eastAsia="Times New Roman" w:hAnsi="Candara"/>
          <w:bCs/>
          <w:lang w:eastAsia="lv-LV"/>
        </w:rPr>
        <w:t xml:space="preserve">nefinansēt pētniecību ir </w:t>
      </w:r>
      <w:r w:rsidR="00636EF4">
        <w:rPr>
          <w:rFonts w:ascii="Candara" w:eastAsia="Times New Roman" w:hAnsi="Candara"/>
          <w:bCs/>
          <w:lang w:eastAsia="lv-LV"/>
        </w:rPr>
        <w:t>veicinājuši “smadzeņu aizplūšanu”</w:t>
      </w:r>
      <w:r w:rsidR="00EC4FCB">
        <w:rPr>
          <w:rFonts w:ascii="Candara" w:eastAsia="Times New Roman" w:hAnsi="Candara"/>
          <w:bCs/>
          <w:lang w:eastAsia="lv-LV"/>
        </w:rPr>
        <w:t xml:space="preserve"> - Latvija turpina zaudēt talantus globālajā augstas pievienotās vērtības nozaru darba tirgū</w:t>
      </w:r>
      <w:r w:rsidR="00636EF4">
        <w:rPr>
          <w:rFonts w:ascii="Candara" w:eastAsia="Times New Roman" w:hAnsi="Candara"/>
          <w:bCs/>
          <w:lang w:eastAsia="lv-LV"/>
        </w:rPr>
        <w:t>. Tas rada vēl lielākus riskus tam, ka tautsaimniecības transformācija uz augstāku pievienot</w:t>
      </w:r>
      <w:r w:rsidR="00B86F69">
        <w:rPr>
          <w:rFonts w:ascii="Candara" w:eastAsia="Times New Roman" w:hAnsi="Candara"/>
          <w:bCs/>
          <w:lang w:eastAsia="lv-LV"/>
        </w:rPr>
        <w:t>o vērtību varētu nenotikt.</w:t>
      </w:r>
    </w:p>
    <w:p w:rsidR="00DF2882" w:rsidP="00667955" w14:paraId="3092F033" w14:textId="77777777">
      <w:pPr>
        <w:spacing w:after="0"/>
        <w:ind w:firstLine="426"/>
        <w:jc w:val="both"/>
        <w:rPr>
          <w:rFonts w:ascii="Candara" w:eastAsia="Times New Roman" w:hAnsi="Candara" w:cs="Times New Roman"/>
          <w:bCs/>
          <w:lang w:eastAsia="lv-LV"/>
        </w:rPr>
      </w:pPr>
      <w:r>
        <w:rPr>
          <w:rFonts w:ascii="Candara" w:eastAsia="Times New Roman" w:hAnsi="Candara"/>
          <w:bCs/>
          <w:lang w:eastAsia="lv-LV"/>
        </w:rPr>
        <w:t xml:space="preserve">Investīcijas </w:t>
      </w:r>
      <w:r w:rsidR="00346B1F">
        <w:rPr>
          <w:rFonts w:ascii="Candara" w:eastAsia="Times New Roman" w:hAnsi="Candara"/>
          <w:bCs/>
          <w:lang w:eastAsia="lv-LV"/>
        </w:rPr>
        <w:t xml:space="preserve"> </w:t>
      </w:r>
      <w:r>
        <w:rPr>
          <w:rFonts w:ascii="Candara" w:eastAsia="Times New Roman" w:hAnsi="Candara"/>
          <w:bCs/>
          <w:lang w:eastAsia="lv-LV"/>
        </w:rPr>
        <w:t xml:space="preserve">pētniecībā </w:t>
      </w:r>
      <w:r w:rsidR="00346B1F">
        <w:rPr>
          <w:rFonts w:ascii="Candara" w:eastAsia="Times New Roman" w:hAnsi="Candara"/>
          <w:bCs/>
          <w:lang w:eastAsia="lv-LV"/>
        </w:rPr>
        <w:t xml:space="preserve">paredz arī Zinātniskās darbības likuma 33. panta otrā daļa, kas nosaka ikgadēju finansējuma pieaugumu zinātniskajai darbībai ne mazāku par 0.15% no IKP līdz valsts piešķirtais finansējums zinātniskajai darbībai sasniedz vismaz vienu procentu no iekšzemes kopprodukta. </w:t>
      </w:r>
      <w:r>
        <w:rPr>
          <w:rFonts w:ascii="Candara" w:eastAsia="Times New Roman" w:hAnsi="Candara" w:cs="Times New Roman"/>
          <w:bCs/>
          <w:lang w:eastAsia="lv-LV"/>
        </w:rPr>
        <w:t xml:space="preserve">Situācijas nopietnība ir konstatēta arī </w:t>
      </w:r>
      <w:r w:rsidRPr="00A3103F">
        <w:rPr>
          <w:rFonts w:ascii="Candara" w:eastAsia="Times New Roman" w:hAnsi="Candara" w:cs="Times New Roman"/>
          <w:bCs/>
          <w:lang w:eastAsia="lv-LV"/>
        </w:rPr>
        <w:t>Eiropas Komisijas pētījum</w:t>
      </w:r>
      <w:r w:rsidR="00655436">
        <w:rPr>
          <w:rFonts w:ascii="Candara" w:eastAsia="Times New Roman" w:hAnsi="Candara" w:cs="Times New Roman"/>
          <w:bCs/>
          <w:lang w:eastAsia="lv-LV"/>
        </w:rPr>
        <w:t>ā</w:t>
      </w:r>
      <w:r>
        <w:rPr>
          <w:rStyle w:val="FootnoteReference"/>
          <w:rFonts w:ascii="Candara" w:eastAsia="Times New Roman" w:hAnsi="Candara" w:cs="Times New Roman"/>
          <w:bCs/>
          <w:lang w:eastAsia="lv-LV"/>
        </w:rPr>
        <w:footnoteReference w:id="15"/>
      </w:r>
      <w:r>
        <w:rPr>
          <w:rFonts w:ascii="Candara" w:eastAsia="Times New Roman" w:hAnsi="Candara" w:cs="Times New Roman"/>
          <w:bCs/>
          <w:lang w:eastAsia="lv-LV"/>
        </w:rPr>
        <w:t xml:space="preserve"> </w:t>
      </w:r>
      <w:r w:rsidRPr="00A3103F">
        <w:rPr>
          <w:rFonts w:ascii="Candara" w:eastAsia="Times New Roman" w:hAnsi="Candara" w:cs="Times New Roman"/>
          <w:bCs/>
          <w:lang w:eastAsia="lv-LV"/>
        </w:rPr>
        <w:t>par 2014.–2020.gada plānošanas perioda Kohēzijas politikas ietvaros sagaidāmajiem rezultātiem</w:t>
      </w:r>
      <w:r>
        <w:rPr>
          <w:rFonts w:ascii="Candara" w:eastAsia="Times New Roman" w:hAnsi="Candara" w:cs="Times New Roman"/>
          <w:bCs/>
          <w:lang w:eastAsia="lv-LV"/>
        </w:rPr>
        <w:t>, kas secina</w:t>
      </w:r>
      <w:r w:rsidRPr="00A3103F">
        <w:rPr>
          <w:rFonts w:ascii="Candara" w:eastAsia="Times New Roman" w:hAnsi="Candara" w:cs="Times New Roman"/>
          <w:bCs/>
          <w:lang w:eastAsia="lv-LV"/>
        </w:rPr>
        <w:t>, ka 2014.–2020.gada plānošanas periodā Latvijai starp Baltijas valstīm</w:t>
      </w:r>
      <w:r>
        <w:rPr>
          <w:rFonts w:ascii="Candara" w:eastAsia="Times New Roman" w:hAnsi="Candara" w:cs="Times New Roman"/>
          <w:bCs/>
          <w:lang w:eastAsia="lv-LV"/>
        </w:rPr>
        <w:t xml:space="preserve"> ne tika</w:t>
      </w:r>
      <w:r w:rsidR="006354DC">
        <w:rPr>
          <w:rFonts w:ascii="Candara" w:eastAsia="Times New Roman" w:hAnsi="Candara" w:cs="Times New Roman"/>
          <w:bCs/>
          <w:lang w:eastAsia="lv-LV"/>
        </w:rPr>
        <w:t>i</w:t>
      </w:r>
      <w:r w:rsidRPr="00A3103F">
        <w:rPr>
          <w:rFonts w:ascii="Candara" w:eastAsia="Times New Roman" w:hAnsi="Candara" w:cs="Times New Roman"/>
          <w:bCs/>
          <w:lang w:eastAsia="lv-LV"/>
        </w:rPr>
        <w:t xml:space="preserve"> zemākais nacionālā finansējuma piešķīrums P&amp;A no kopējā publiskā finansējuma</w:t>
      </w:r>
      <w:r>
        <w:rPr>
          <w:rStyle w:val="FootnoteReference"/>
          <w:rFonts w:ascii="Candara" w:eastAsia="Times New Roman" w:hAnsi="Candara" w:cs="Times New Roman"/>
          <w:bCs/>
          <w:lang w:eastAsia="lv-LV"/>
        </w:rPr>
        <w:footnoteReference w:id="16"/>
      </w:r>
      <w:r w:rsidR="00655436">
        <w:rPr>
          <w:rFonts w:ascii="Candara" w:eastAsia="Times New Roman" w:hAnsi="Candara" w:cs="Times New Roman"/>
          <w:bCs/>
          <w:lang w:eastAsia="lv-LV"/>
        </w:rPr>
        <w:t>, bet arī</w:t>
      </w:r>
      <w:r>
        <w:rPr>
          <w:rFonts w:ascii="Candara" w:eastAsia="Times New Roman" w:hAnsi="Candara" w:cs="Times New Roman"/>
          <w:bCs/>
          <w:lang w:eastAsia="lv-LV"/>
        </w:rPr>
        <w:t xml:space="preserve"> </w:t>
      </w:r>
      <w:r w:rsidRPr="00A3103F">
        <w:rPr>
          <w:rFonts w:ascii="Candara" w:eastAsia="Times New Roman" w:hAnsi="Candara" w:cs="Times New Roman"/>
          <w:bCs/>
          <w:lang w:eastAsia="lv-LV"/>
        </w:rPr>
        <w:t>zemākais Kohēzijas politikas ietvaros plānotā finansējuma apjoms P&amp;A</w:t>
      </w:r>
      <w:r>
        <w:rPr>
          <w:rStyle w:val="FootnoteReference"/>
          <w:rFonts w:ascii="Candara" w:eastAsia="Times New Roman" w:hAnsi="Candara" w:cs="Times New Roman"/>
          <w:bCs/>
          <w:lang w:eastAsia="lv-LV"/>
        </w:rPr>
        <w:footnoteReference w:id="17"/>
      </w:r>
      <w:r>
        <w:rPr>
          <w:rFonts w:ascii="Candara" w:eastAsia="Times New Roman" w:hAnsi="Candara" w:cs="Times New Roman"/>
          <w:bCs/>
          <w:lang w:eastAsia="lv-LV"/>
        </w:rPr>
        <w:t>. Faktiski, pašreiz plānotās investīcijas, pat ja tās tiktu investētas pilnā apjomā</w:t>
      </w:r>
      <w:r w:rsidR="00026310">
        <w:rPr>
          <w:rFonts w:ascii="Candara" w:eastAsia="Times New Roman" w:hAnsi="Candara" w:cs="Times New Roman"/>
          <w:bCs/>
          <w:lang w:eastAsia="lv-LV"/>
        </w:rPr>
        <w:t>,</w:t>
      </w:r>
      <w:r>
        <w:rPr>
          <w:rFonts w:ascii="Candara" w:eastAsia="Times New Roman" w:hAnsi="Candara" w:cs="Times New Roman"/>
          <w:bCs/>
          <w:lang w:eastAsia="lv-LV"/>
        </w:rPr>
        <w:t xml:space="preserve"> nav pietiekošas, lai nodrošinātu vēlamo attīstību un objektīvi varētu rezultēties</w:t>
      </w:r>
      <w:r w:rsidRPr="00A3103F">
        <w:rPr>
          <w:rFonts w:ascii="Candara" w:eastAsia="Times New Roman" w:hAnsi="Candara" w:cs="Times New Roman"/>
          <w:bCs/>
          <w:lang w:eastAsia="lv-LV"/>
        </w:rPr>
        <w:t xml:space="preserve"> </w:t>
      </w:r>
      <w:r>
        <w:rPr>
          <w:rFonts w:ascii="Candara" w:eastAsia="Times New Roman" w:hAnsi="Candara" w:cs="Times New Roman"/>
          <w:bCs/>
          <w:lang w:eastAsia="lv-LV"/>
        </w:rPr>
        <w:t xml:space="preserve">vien tādā tautsaimniecības struktūrā, kuras zināšanu ietilpība ir apmēram </w:t>
      </w:r>
      <w:r w:rsidRPr="00A3103F">
        <w:rPr>
          <w:rFonts w:ascii="Candara" w:eastAsia="Times New Roman" w:hAnsi="Candara" w:cs="Times New Roman"/>
          <w:bCs/>
          <w:lang w:eastAsia="lv-LV"/>
        </w:rPr>
        <w:t xml:space="preserve">0,8% no Latvijas IKP.  </w:t>
      </w:r>
    </w:p>
    <w:p w:rsidR="00860A6B" w:rsidP="00B86F69" w14:paraId="10158EC0" w14:textId="77777777">
      <w:pPr>
        <w:spacing w:after="0"/>
        <w:ind w:firstLine="426"/>
        <w:jc w:val="both"/>
        <w:rPr>
          <w:rFonts w:ascii="Candara" w:eastAsia="Times New Roman" w:hAnsi="Candara"/>
          <w:bCs/>
          <w:lang w:eastAsia="lv-LV"/>
        </w:rPr>
      </w:pPr>
      <w:r>
        <w:rPr>
          <w:rFonts w:ascii="Candara" w:eastAsia="Times New Roman" w:hAnsi="Candara"/>
          <w:bCs/>
          <w:lang w:eastAsia="lv-LV"/>
        </w:rPr>
        <w:t xml:space="preserve">RIS3 ietvaros plānotais ES fondu (ārvalstu) finansējums </w:t>
      </w:r>
      <w:r w:rsidR="00946865">
        <w:rPr>
          <w:rFonts w:ascii="Candara" w:eastAsia="Times New Roman" w:hAnsi="Candara"/>
          <w:bCs/>
          <w:lang w:eastAsia="lv-LV"/>
        </w:rPr>
        <w:t xml:space="preserve">līdz 2016.gadam </w:t>
      </w:r>
      <w:r>
        <w:rPr>
          <w:rFonts w:ascii="Candara" w:eastAsia="Times New Roman" w:hAnsi="Candara"/>
          <w:bCs/>
          <w:lang w:eastAsia="lv-LV"/>
        </w:rPr>
        <w:t>pārsniedz</w:t>
      </w:r>
      <w:r w:rsidR="00946865">
        <w:rPr>
          <w:rFonts w:ascii="Candara" w:eastAsia="Times New Roman" w:hAnsi="Candara"/>
          <w:bCs/>
          <w:lang w:eastAsia="lv-LV"/>
        </w:rPr>
        <w:t>a</w:t>
      </w:r>
      <w:r>
        <w:rPr>
          <w:rFonts w:ascii="Candara" w:eastAsia="Times New Roman" w:hAnsi="Candara"/>
          <w:bCs/>
          <w:lang w:eastAsia="lv-LV"/>
        </w:rPr>
        <w:t xml:space="preserve"> plānoto par 7 milj. eiro gadā (9.attēls). Šādu attīstību skaidro tas, ka valdības lēmums neinvestēt plānoto finansējumu pētniecībā </w:t>
      </w:r>
      <w:r w:rsidR="00EC4FCB">
        <w:rPr>
          <w:rFonts w:ascii="Candara" w:eastAsia="Times New Roman" w:hAnsi="Candara"/>
          <w:bCs/>
          <w:lang w:eastAsia="lv-LV"/>
        </w:rPr>
        <w:t xml:space="preserve">tika </w:t>
      </w:r>
      <w:r>
        <w:rPr>
          <w:rFonts w:ascii="Candara" w:eastAsia="Times New Roman" w:hAnsi="Candara"/>
          <w:bCs/>
          <w:lang w:eastAsia="lv-LV"/>
        </w:rPr>
        <w:t>kompensē</w:t>
      </w:r>
      <w:r w:rsidR="00EC4FCB">
        <w:rPr>
          <w:rFonts w:ascii="Candara" w:eastAsia="Times New Roman" w:hAnsi="Candara"/>
          <w:bCs/>
          <w:lang w:eastAsia="lv-LV"/>
        </w:rPr>
        <w:t xml:space="preserve">ts ar </w:t>
      </w:r>
      <w:r>
        <w:rPr>
          <w:rFonts w:ascii="Candara" w:eastAsia="Times New Roman" w:hAnsi="Candara"/>
          <w:bCs/>
          <w:lang w:eastAsia="lv-LV"/>
        </w:rPr>
        <w:t xml:space="preserve"> papildus ES fondu investīcij</w:t>
      </w:r>
      <w:r w:rsidR="00EC4FCB">
        <w:rPr>
          <w:rFonts w:ascii="Candara" w:eastAsia="Times New Roman" w:hAnsi="Candara"/>
          <w:bCs/>
          <w:lang w:eastAsia="lv-LV"/>
        </w:rPr>
        <w:t>ām</w:t>
      </w:r>
      <w:r>
        <w:rPr>
          <w:rFonts w:ascii="Candara" w:eastAsia="Times New Roman" w:hAnsi="Candara"/>
          <w:bCs/>
          <w:lang w:eastAsia="lv-LV"/>
        </w:rPr>
        <w:t xml:space="preserve"> zinātnisko institūciju konsolidācijā un attīstībā 2014. un 2015.gadā, kas vienlaikus finansēja institucionālas izmaiņas un ļāva zinātniskajām institūcijām iesaistīt personālu pārmaiņu administrēšanā</w:t>
      </w:r>
      <w:r w:rsidR="00EC4FCB">
        <w:rPr>
          <w:rFonts w:ascii="Candara" w:eastAsia="Times New Roman" w:hAnsi="Candara"/>
          <w:bCs/>
          <w:lang w:eastAsia="lv-LV"/>
        </w:rPr>
        <w:t>, tādējādi īstermiņā noturot ar ES fondu ieguldījumiem piesaistītos talantus.</w:t>
      </w:r>
      <w:r>
        <w:rPr>
          <w:rFonts w:ascii="Candara" w:eastAsia="Times New Roman" w:hAnsi="Candara"/>
          <w:bCs/>
          <w:lang w:eastAsia="lv-LV"/>
        </w:rPr>
        <w:t xml:space="preserve"> Lai gan šī pasākuma rezultātā tika nedaudz mazināti personāla zaudēšanas riski, tomēr Latvijas zinātniskajos institūtu personāla skaits ir </w:t>
      </w:r>
      <w:r w:rsidR="00EC4FCB">
        <w:rPr>
          <w:rFonts w:ascii="Candara" w:eastAsia="Times New Roman" w:hAnsi="Candara"/>
          <w:bCs/>
          <w:lang w:eastAsia="lv-LV"/>
        </w:rPr>
        <w:t xml:space="preserve">būtiski </w:t>
      </w:r>
      <w:r>
        <w:rPr>
          <w:rFonts w:ascii="Candara" w:eastAsia="Times New Roman" w:hAnsi="Candara"/>
          <w:bCs/>
          <w:lang w:eastAsia="lv-LV"/>
        </w:rPr>
        <w:t>samazinājies.</w:t>
      </w:r>
      <w:r w:rsidR="00946865">
        <w:rPr>
          <w:rFonts w:ascii="Candara" w:eastAsia="Times New Roman" w:hAnsi="Candara"/>
          <w:bCs/>
          <w:lang w:eastAsia="lv-LV"/>
        </w:rPr>
        <w:t xml:space="preserve"> </w:t>
      </w:r>
      <w:r w:rsidR="00EC4FCB">
        <w:rPr>
          <w:rFonts w:ascii="Candara" w:eastAsia="Times New Roman" w:hAnsi="Candara"/>
          <w:bCs/>
          <w:lang w:eastAsia="lv-LV"/>
        </w:rPr>
        <w:t xml:space="preserve">Šis pasākums tomēr nespēja kompensēt situāciju, kas izveidojās </w:t>
      </w:r>
      <w:r w:rsidR="00946865">
        <w:rPr>
          <w:rFonts w:ascii="Candara" w:eastAsia="Times New Roman" w:hAnsi="Candara"/>
          <w:bCs/>
          <w:lang w:eastAsia="lv-LV"/>
        </w:rPr>
        <w:t>2016.gadā</w:t>
      </w:r>
      <w:r w:rsidR="00EC4FCB">
        <w:rPr>
          <w:rFonts w:ascii="Candara" w:eastAsia="Times New Roman" w:hAnsi="Candara"/>
          <w:bCs/>
          <w:lang w:eastAsia="lv-LV"/>
        </w:rPr>
        <w:t>, kad</w:t>
      </w:r>
      <w:r w:rsidR="00946865">
        <w:rPr>
          <w:rFonts w:ascii="Candara" w:eastAsia="Times New Roman" w:hAnsi="Candara"/>
          <w:bCs/>
          <w:lang w:eastAsia="lv-LV"/>
        </w:rPr>
        <w:t xml:space="preserve"> ES fondu (ārvalstu) finansējums pētniecībai samazinājās par 37.8 milj. eiro, jeb par 55 % gada laikā</w:t>
      </w:r>
      <w:r w:rsidR="00EC4FCB">
        <w:rPr>
          <w:rFonts w:ascii="Candara" w:eastAsia="Times New Roman" w:hAnsi="Candara"/>
          <w:bCs/>
          <w:lang w:eastAsia="lv-LV"/>
        </w:rPr>
        <w:t>, un ZTAIP plānotais investīciju pieaugums netika īstenots.</w:t>
      </w:r>
    </w:p>
    <w:p w:rsidR="00DF2882" w:rsidRPr="00133ACC" w:rsidP="00B86F69" w14:paraId="26121466" w14:textId="77777777">
      <w:pPr>
        <w:spacing w:after="0"/>
        <w:ind w:firstLine="426"/>
        <w:jc w:val="both"/>
        <w:rPr>
          <w:noProof/>
          <w:lang w:eastAsia="lv-LV"/>
        </w:rPr>
      </w:pPr>
      <w:r>
        <w:rPr>
          <w:rFonts w:ascii="Candara" w:hAnsi="Candara"/>
          <w:noProof/>
          <w:lang w:eastAsia="lv-LV"/>
        </w:rPr>
        <w:t>Tādējādi, s</w:t>
      </w:r>
      <w:r w:rsidRPr="00655436">
        <w:rPr>
          <w:rFonts w:ascii="Candara" w:hAnsi="Candara"/>
          <w:noProof/>
          <w:lang w:eastAsia="lv-LV"/>
        </w:rPr>
        <w:t xml:space="preserve">alīdzinājumā ar citām ES dalībvalstīm, Latvija joprojām atrodas to valstu starpā, kuras </w:t>
      </w:r>
      <w:r w:rsidRPr="008106E3">
        <w:rPr>
          <w:rFonts w:ascii="Candara" w:hAnsi="Candara"/>
          <w:i/>
          <w:noProof/>
          <w:lang w:eastAsia="lv-LV"/>
        </w:rPr>
        <w:t xml:space="preserve">de-facto </w:t>
      </w:r>
      <w:r w:rsidRPr="00655436">
        <w:rPr>
          <w:rFonts w:ascii="Candara" w:hAnsi="Candara"/>
          <w:noProof/>
          <w:lang w:eastAsia="lv-LV"/>
        </w:rPr>
        <w:t xml:space="preserve">nav pieņēmušas stratēģisku lēmumu investēt zināšanās un tehnoloģiju attīstībā balstītā tautsaimniecībā (10.attēls). </w:t>
      </w:r>
      <w:r w:rsidRPr="00655436">
        <w:rPr>
          <w:rFonts w:ascii="Candara" w:eastAsia="Times New Roman" w:hAnsi="Candara" w:cs="Times New Roman"/>
          <w:bCs/>
          <w:lang w:eastAsia="lv-LV"/>
        </w:rPr>
        <w:t xml:space="preserve">Latvija </w:t>
      </w:r>
      <w:r>
        <w:rPr>
          <w:rFonts w:ascii="Candara" w:eastAsia="Times New Roman" w:hAnsi="Candara" w:cs="Times New Roman"/>
          <w:bCs/>
          <w:lang w:eastAsia="lv-LV"/>
        </w:rPr>
        <w:t>ar kopējiem P&amp;</w:t>
      </w:r>
      <w:r w:rsidRPr="00021C3E">
        <w:rPr>
          <w:rFonts w:ascii="Candara" w:eastAsia="Times New Roman" w:hAnsi="Candara" w:cs="Times New Roman"/>
          <w:bCs/>
          <w:lang w:eastAsia="lv-LV"/>
        </w:rPr>
        <w:t xml:space="preserve">A </w:t>
      </w:r>
      <w:r>
        <w:rPr>
          <w:rFonts w:ascii="Candara" w:eastAsia="Times New Roman" w:hAnsi="Candara" w:cs="Times New Roman"/>
          <w:bCs/>
          <w:lang w:eastAsia="lv-LV"/>
        </w:rPr>
        <w:t xml:space="preserve">izdevumiem </w:t>
      </w:r>
      <w:r w:rsidRPr="00021C3E">
        <w:rPr>
          <w:rFonts w:ascii="Candara" w:eastAsia="Times New Roman" w:hAnsi="Candara" w:cs="Times New Roman"/>
          <w:bCs/>
          <w:lang w:eastAsia="lv-LV"/>
        </w:rPr>
        <w:t>152,3 milj.</w:t>
      </w:r>
      <w:r>
        <w:rPr>
          <w:rFonts w:ascii="Candara" w:eastAsia="Times New Roman" w:hAnsi="Candara" w:cs="Times New Roman"/>
          <w:bCs/>
          <w:lang w:eastAsia="lv-LV"/>
        </w:rPr>
        <w:t xml:space="preserve"> eiro jeb 0,63 % no IKP </w:t>
      </w:r>
      <w:r w:rsidRPr="00021C3E">
        <w:rPr>
          <w:rFonts w:ascii="Candara" w:eastAsia="Times New Roman" w:hAnsi="Candara" w:cs="Times New Roman"/>
          <w:bCs/>
          <w:lang w:eastAsia="lv-LV"/>
        </w:rPr>
        <w:t>2015.gadā</w:t>
      </w:r>
      <w:r>
        <w:rPr>
          <w:rFonts w:ascii="Candara" w:eastAsia="Times New Roman" w:hAnsi="Candara" w:cs="Times New Roman"/>
          <w:bCs/>
          <w:lang w:eastAsia="lv-LV"/>
        </w:rPr>
        <w:t xml:space="preserve"> ir līdzīgā situācijā ar tādām tradicionāli zemas pievienotās vērtības ekonomikas valstīm, kā Kipra un Rumānija. Tai pat laikā</w:t>
      </w:r>
      <w:r w:rsidR="002A573F">
        <w:rPr>
          <w:rFonts w:ascii="Candara" w:eastAsia="Times New Roman" w:hAnsi="Candara" w:cs="Times New Roman"/>
          <w:bCs/>
          <w:lang w:eastAsia="lv-LV"/>
        </w:rPr>
        <w:t>, piemēram,</w:t>
      </w:r>
      <w:r>
        <w:rPr>
          <w:rFonts w:ascii="Candara" w:eastAsia="Times New Roman" w:hAnsi="Candara" w:cs="Times New Roman"/>
          <w:bCs/>
          <w:lang w:eastAsia="lv-LV"/>
        </w:rPr>
        <w:t xml:space="preserve"> Igaunijas, Čehijas un Slovākijas tautsaimniecības struktūra jau ir daudz tuvāka ES </w:t>
      </w:r>
      <w:r w:rsidR="00655436">
        <w:rPr>
          <w:rFonts w:ascii="Candara" w:eastAsia="Times New Roman" w:hAnsi="Candara" w:cs="Times New Roman"/>
          <w:bCs/>
          <w:lang w:eastAsia="lv-LV"/>
        </w:rPr>
        <w:t>vidējam</w:t>
      </w:r>
      <w:r w:rsidR="00B86F69">
        <w:rPr>
          <w:rFonts w:ascii="Candara" w:eastAsia="Times New Roman" w:hAnsi="Candara" w:cs="Times New Roman"/>
          <w:bCs/>
          <w:lang w:eastAsia="lv-LV"/>
        </w:rPr>
        <w:t xml:space="preserve"> līmenim.</w:t>
      </w:r>
    </w:p>
    <w:p w:rsidR="00DF2882" w:rsidP="00DF2882" w14:paraId="1EA54CD2" w14:textId="77777777">
      <w:pPr>
        <w:spacing w:after="0"/>
        <w:jc w:val="both"/>
        <w:rPr>
          <w:rFonts w:ascii="Candara" w:eastAsia="Times New Roman" w:hAnsi="Candara" w:cs="Times New Roman"/>
          <w:bCs/>
          <w:lang w:eastAsia="lv-LV"/>
        </w:rPr>
      </w:pPr>
      <w:r>
        <w:rPr>
          <w:noProof/>
          <w:lang w:eastAsia="lv-LV"/>
        </w:rPr>
        <w:drawing>
          <wp:inline distT="0" distB="0" distL="0" distR="0">
            <wp:extent cx="6153150" cy="22288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F2882" w:rsidRPr="00655436" w:rsidP="00B86F69" w14:paraId="4680DDDE" w14:textId="77777777">
      <w:pPr>
        <w:spacing w:after="0"/>
        <w:ind w:firstLine="426"/>
        <w:jc w:val="both"/>
        <w:rPr>
          <w:rFonts w:ascii="Candara" w:eastAsia="Times New Roman" w:hAnsi="Candara" w:cs="Times New Roman"/>
          <w:bCs/>
          <w:lang w:eastAsia="lv-LV"/>
        </w:rPr>
      </w:pPr>
      <w:r w:rsidRPr="00655436">
        <w:rPr>
          <w:rFonts w:ascii="Candara" w:hAnsi="Candara"/>
        </w:rPr>
        <w:t>Atsev</w:t>
      </w:r>
      <w:r w:rsidR="00655436">
        <w:rPr>
          <w:rFonts w:ascii="Candara" w:hAnsi="Candara"/>
        </w:rPr>
        <w:t>išķi apskatot Latvijas valsts P&amp;</w:t>
      </w:r>
      <w:r w:rsidRPr="00655436">
        <w:rPr>
          <w:rFonts w:ascii="Candara" w:hAnsi="Candara"/>
        </w:rPr>
        <w:t>A izdevumu apmēru uz 1 iedzīvotāju, Latvijas valsts P&amp;A izdevumi</w:t>
      </w:r>
      <w:r w:rsidRPr="00A058E3">
        <w:t xml:space="preserve"> </w:t>
      </w:r>
      <w:r w:rsidRPr="00655436">
        <w:rPr>
          <w:rFonts w:ascii="Candara" w:hAnsi="Candara"/>
        </w:rPr>
        <w:t xml:space="preserve">2015.gadā veido vien </w:t>
      </w:r>
      <w:r w:rsidRPr="00655436">
        <w:rPr>
          <w:rFonts w:ascii="Candara" w:hAnsi="Candara"/>
          <w:b/>
        </w:rPr>
        <w:t>25 eiro gadā</w:t>
      </w:r>
      <w:r w:rsidRPr="00655436">
        <w:rPr>
          <w:rFonts w:ascii="Candara" w:hAnsi="Candara"/>
        </w:rPr>
        <w:t xml:space="preserve">, kas ir 13,6% no ES vidējā līmeņa un aptuveni 5% apmērā no Luksemburgas, Dānijas, Austrijas un Zviedrijas līmeņa. </w:t>
      </w:r>
      <w:r w:rsidRPr="00655436">
        <w:rPr>
          <w:rFonts w:ascii="Candara" w:eastAsia="Times New Roman" w:hAnsi="Candara" w:cs="Times New Roman"/>
          <w:bCs/>
          <w:lang w:eastAsia="lv-LV"/>
        </w:rPr>
        <w:t>Latvijas IKP uz vien</w:t>
      </w:r>
      <w:r w:rsidR="00D40E84">
        <w:rPr>
          <w:rFonts w:ascii="Candara" w:eastAsia="Times New Roman" w:hAnsi="Candara" w:cs="Times New Roman"/>
          <w:bCs/>
          <w:lang w:eastAsia="lv-LV"/>
        </w:rPr>
        <w:t>u iedzīvotāju 2015.gadā bija 64</w:t>
      </w:r>
      <w:r w:rsidRPr="00655436">
        <w:rPr>
          <w:rFonts w:ascii="Candara" w:eastAsia="Times New Roman" w:hAnsi="Candara" w:cs="Times New Roman"/>
          <w:bCs/>
          <w:lang w:eastAsia="lv-LV"/>
        </w:rPr>
        <w:t>% apmērā no ES vidējā līmeņa. Salīdzinot Latvijas rādītājus ar Lietuvu un Igauniju</w:t>
      </w:r>
      <w:r w:rsidR="00655436">
        <w:rPr>
          <w:rFonts w:ascii="Candara" w:eastAsia="Times New Roman" w:hAnsi="Candara" w:cs="Times New Roman"/>
          <w:bCs/>
          <w:lang w:eastAsia="lv-LV"/>
        </w:rPr>
        <w:t>,</w:t>
      </w:r>
      <w:r w:rsidRPr="00655436">
        <w:rPr>
          <w:rFonts w:ascii="Candara" w:eastAsia="Times New Roman" w:hAnsi="Candara" w:cs="Times New Roman"/>
          <w:bCs/>
          <w:lang w:eastAsia="lv-LV"/>
        </w:rPr>
        <w:t xml:space="preserve"> kurās IKP uz vienu iedzīvotāju </w:t>
      </w:r>
      <w:r w:rsidR="00655436">
        <w:rPr>
          <w:rFonts w:ascii="Candara" w:eastAsia="Times New Roman" w:hAnsi="Candara" w:cs="Times New Roman"/>
          <w:bCs/>
          <w:lang w:eastAsia="lv-LV"/>
        </w:rPr>
        <w:t xml:space="preserve">ir tikai nedaudz lielāks </w:t>
      </w:r>
      <w:r w:rsidRPr="00655436">
        <w:rPr>
          <w:rFonts w:ascii="Candara" w:eastAsia="Times New Roman" w:hAnsi="Candara" w:cs="Times New Roman"/>
          <w:bCs/>
          <w:lang w:eastAsia="lv-LV"/>
        </w:rPr>
        <w:t>kā Latvijā (Lietuva</w:t>
      </w:r>
      <w:r w:rsidR="00B86F69">
        <w:rPr>
          <w:rFonts w:ascii="Candara" w:eastAsia="Times New Roman" w:hAnsi="Candara" w:cs="Times New Roman"/>
          <w:bCs/>
          <w:lang w:eastAsia="lv-LV"/>
        </w:rPr>
        <w:t xml:space="preserve"> </w:t>
      </w:r>
      <w:r w:rsidR="00D40E84">
        <w:rPr>
          <w:rFonts w:ascii="Candara" w:eastAsia="Times New Roman" w:hAnsi="Candara" w:cs="Times New Roman"/>
          <w:bCs/>
          <w:lang w:eastAsia="lv-LV"/>
        </w:rPr>
        <w:t>- 73,3</w:t>
      </w:r>
      <w:r w:rsidRPr="00655436">
        <w:rPr>
          <w:rFonts w:ascii="Candara" w:eastAsia="Times New Roman" w:hAnsi="Candara" w:cs="Times New Roman"/>
          <w:bCs/>
          <w:lang w:eastAsia="lv-LV"/>
        </w:rPr>
        <w:t>% no ES</w:t>
      </w:r>
      <w:r w:rsidR="00D40E84">
        <w:rPr>
          <w:rFonts w:ascii="Candara" w:eastAsia="Times New Roman" w:hAnsi="Candara" w:cs="Times New Roman"/>
          <w:bCs/>
          <w:lang w:eastAsia="lv-LV"/>
        </w:rPr>
        <w:t xml:space="preserve"> vidējā līmeņa, Igaunija – 73,6</w:t>
      </w:r>
      <w:r w:rsidRPr="00655436">
        <w:rPr>
          <w:rFonts w:ascii="Candara" w:eastAsia="Times New Roman" w:hAnsi="Candara" w:cs="Times New Roman"/>
          <w:bCs/>
          <w:lang w:eastAsia="lv-LV"/>
        </w:rPr>
        <w:t>%), redzam</w:t>
      </w:r>
      <w:r w:rsidR="00655436">
        <w:rPr>
          <w:rFonts w:ascii="Candara" w:eastAsia="Times New Roman" w:hAnsi="Candara" w:cs="Times New Roman"/>
          <w:bCs/>
          <w:lang w:eastAsia="lv-LV"/>
        </w:rPr>
        <w:t>s, ka kopējo P&amp;</w:t>
      </w:r>
      <w:r w:rsidRPr="00655436">
        <w:rPr>
          <w:rFonts w:ascii="Candara" w:eastAsia="Times New Roman" w:hAnsi="Candara" w:cs="Times New Roman"/>
          <w:bCs/>
          <w:lang w:eastAsia="lv-LV"/>
        </w:rPr>
        <w:t>A izdevumu apmērs uz 1 iedzīvotāju Liet</w:t>
      </w:r>
      <w:r w:rsidR="00D40E84">
        <w:rPr>
          <w:rFonts w:ascii="Candara" w:eastAsia="Times New Roman" w:hAnsi="Candara" w:cs="Times New Roman"/>
          <w:bCs/>
          <w:lang w:eastAsia="lv-LV"/>
        </w:rPr>
        <w:t>uvai ir 133 eiro apmērā (par 72</w:t>
      </w:r>
      <w:r w:rsidRPr="00655436">
        <w:rPr>
          <w:rFonts w:ascii="Candara" w:eastAsia="Times New Roman" w:hAnsi="Candara" w:cs="Times New Roman"/>
          <w:bCs/>
          <w:lang w:eastAsia="lv-LV"/>
        </w:rPr>
        <w:t xml:space="preserve">% vairāk nekā Latvijai) un Igaunijai </w:t>
      </w:r>
      <w:r w:rsidR="00D40E84">
        <w:rPr>
          <w:rFonts w:ascii="Candara" w:eastAsia="Times New Roman" w:hAnsi="Candara" w:cs="Times New Roman"/>
          <w:bCs/>
          <w:lang w:eastAsia="lv-LV"/>
        </w:rPr>
        <w:t>tas ir 231 eiro apmērā (par 200</w:t>
      </w:r>
      <w:r w:rsidRPr="00655436">
        <w:rPr>
          <w:rFonts w:ascii="Candara" w:eastAsia="Times New Roman" w:hAnsi="Candara" w:cs="Times New Roman"/>
          <w:bCs/>
          <w:lang w:eastAsia="lv-LV"/>
        </w:rPr>
        <w:t>% vairāk nekā Latvijai). Šī atšķirība skai</w:t>
      </w:r>
      <w:r w:rsidR="00655436">
        <w:rPr>
          <w:rFonts w:ascii="Candara" w:eastAsia="Times New Roman" w:hAnsi="Candara" w:cs="Times New Roman"/>
          <w:bCs/>
          <w:lang w:eastAsia="lv-LV"/>
        </w:rPr>
        <w:t xml:space="preserve">dri demonstrē, ka atšķirībā no </w:t>
      </w:r>
      <w:r w:rsidRPr="00655436">
        <w:rPr>
          <w:rFonts w:ascii="Candara" w:eastAsia="Times New Roman" w:hAnsi="Candara" w:cs="Times New Roman"/>
          <w:bCs/>
          <w:lang w:eastAsia="lv-LV"/>
        </w:rPr>
        <w:t>Lietuvas un Igaunijas</w:t>
      </w:r>
      <w:r w:rsidR="00655436">
        <w:rPr>
          <w:rFonts w:ascii="Candara" w:eastAsia="Times New Roman" w:hAnsi="Candara" w:cs="Times New Roman"/>
          <w:bCs/>
          <w:lang w:eastAsia="lv-LV"/>
        </w:rPr>
        <w:t>,</w:t>
      </w:r>
      <w:r w:rsidRPr="00655436">
        <w:rPr>
          <w:rFonts w:ascii="Candara" w:eastAsia="Times New Roman" w:hAnsi="Candara" w:cs="Times New Roman"/>
          <w:bCs/>
          <w:lang w:eastAsia="lv-LV"/>
        </w:rPr>
        <w:t xml:space="preserve"> Latvija nav politiskajā līmenī par prioritāti izvirzījusi augstas pievienotās vērtības ekonomikas attīstību. Jau vidējā termiņā tas rada risku Latvijai nespēt izkļūt no nabadzības. </w:t>
      </w:r>
    </w:p>
    <w:p w:rsidR="00852583" w:rsidP="00B86F69" w14:paraId="58CC75B9" w14:textId="77777777">
      <w:pPr>
        <w:spacing w:before="120" w:after="0"/>
        <w:ind w:firstLine="426"/>
        <w:jc w:val="both"/>
        <w:rPr>
          <w:rFonts w:ascii="Candara" w:hAnsi="Candara"/>
        </w:rPr>
      </w:pPr>
      <w:r w:rsidRPr="00655436">
        <w:rPr>
          <w:rFonts w:ascii="Candara" w:hAnsi="Candara"/>
          <w:b/>
        </w:rPr>
        <w:t>Inovatīvi aktīvo uzņēmumu īpatsvars</w:t>
      </w:r>
      <w:r w:rsidRPr="00655436">
        <w:rPr>
          <w:rFonts w:ascii="Candara" w:hAnsi="Candara"/>
        </w:rPr>
        <w:t xml:space="preserve"> pārskata periodā par 2012.</w:t>
      </w:r>
      <w:r w:rsidR="00973753">
        <w:rPr>
          <w:rFonts w:ascii="Candara" w:hAnsi="Candara"/>
        </w:rPr>
        <w:t xml:space="preserve"> – </w:t>
      </w:r>
      <w:r w:rsidRPr="00655436">
        <w:rPr>
          <w:rFonts w:ascii="Candara" w:hAnsi="Candara"/>
        </w:rPr>
        <w:t>2014.gadu samazinājās par 4,9%, bet par 10,1% palielinājās to uzņēmumu skaits, kuros bija tikai netehnoloģiskās inovācijas – tirgdarbības un organizatoriskās. Tādējādi pārskata periodā par 2012.</w:t>
      </w:r>
      <w:r w:rsidR="00973753">
        <w:rPr>
          <w:rFonts w:ascii="Candara" w:hAnsi="Candara"/>
        </w:rPr>
        <w:t xml:space="preserve"> – </w:t>
      </w:r>
      <w:r w:rsidRPr="00655436">
        <w:rPr>
          <w:rFonts w:ascii="Candara" w:hAnsi="Candara"/>
        </w:rPr>
        <w:t>2014.gadu inovatīvo uzņēmumu īpatsvars (% no visiem uzņēmumiem) bija 25,5% (2010.</w:t>
      </w:r>
      <w:r w:rsidR="00973753">
        <w:rPr>
          <w:rFonts w:ascii="Candara" w:hAnsi="Candara"/>
        </w:rPr>
        <w:t xml:space="preserve"> – </w:t>
      </w:r>
      <w:r w:rsidRPr="00655436">
        <w:rPr>
          <w:rFonts w:ascii="Candara" w:hAnsi="Candara"/>
        </w:rPr>
        <w:t>2012.gadu periodā – 30,4%). 60,2% rūpniecības un 47,9%</w:t>
      </w:r>
      <w:r w:rsidRPr="00D64BE7">
        <w:rPr>
          <w:rFonts w:ascii="Candara" w:hAnsi="Candara"/>
        </w:rPr>
        <w:t xml:space="preserve"> pakalpojumu nozares uzņēmumu ieviesa tehnoloģiskās inovācijas, bet ne-tehnoloģiskās inovācijas ieviesa 39,8% rūpniecības un 52,1% pakalpojumu nozares uzņēmumu.</w:t>
      </w:r>
    </w:p>
    <w:p w:rsidR="00852583" w:rsidP="00852583" w14:paraId="36CD1F83" w14:textId="77777777">
      <w:pPr>
        <w:spacing w:after="0"/>
        <w:jc w:val="both"/>
        <w:rPr>
          <w:rFonts w:ascii="Candara" w:hAnsi="Candara"/>
        </w:rPr>
      </w:pPr>
      <w:r w:rsidRPr="0087136B">
        <w:rPr>
          <w:rFonts w:ascii="Candara" w:hAnsi="Candara"/>
          <w:noProof/>
          <w:lang w:eastAsia="lv-LV"/>
        </w:rPr>
        <w:drawing>
          <wp:inline distT="0" distB="0" distL="0" distR="0">
            <wp:extent cx="2019300" cy="1743075"/>
            <wp:effectExtent l="0" t="0" r="0" b="0"/>
            <wp:docPr id="85401522" name="Chart 2" title="Inovatīvo uzņēmumu īpatsvars (%) un mērķis līdz 2020.gadam"/>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lv-LV"/>
        </w:rPr>
        <w:drawing>
          <wp:inline distT="0" distB="0" distL="0" distR="0">
            <wp:extent cx="4267200" cy="1828800"/>
            <wp:effectExtent l="0" t="0" r="0" b="0"/>
            <wp:docPr id="15" name="Chart 15">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6se="http://schemas.microsoft.com/office/word/2015/wordml/symex" id="{C3F8697C-8C31-43E6-BE77-AA60AE081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52583" w:rsidRPr="00E32DDC" w:rsidP="00B86F69" w14:paraId="763EAE3E" w14:textId="77777777">
      <w:pPr>
        <w:spacing w:after="0"/>
        <w:ind w:firstLine="426"/>
        <w:jc w:val="both"/>
        <w:rPr>
          <w:rFonts w:ascii="Candara" w:hAnsi="Candara"/>
        </w:rPr>
      </w:pPr>
      <w:r>
        <w:rPr>
          <w:rFonts w:ascii="Candara" w:hAnsi="Candara"/>
        </w:rPr>
        <w:t xml:space="preserve">Jāsecina, ka </w:t>
      </w:r>
      <w:r w:rsidRPr="00E32DDC">
        <w:rPr>
          <w:rFonts w:ascii="Candara" w:hAnsi="Candara"/>
        </w:rPr>
        <w:t xml:space="preserve">Latvijas uzņēmumu inovācijas un pētniecības kapacitāte ir nepietiekama, lai nodrošinātu jaunu konkurences priekšrocību radīšanu un uzņēmumu izaugsmi ilgtermiņā. </w:t>
      </w:r>
      <w:r>
        <w:rPr>
          <w:rFonts w:ascii="Candara" w:hAnsi="Candara"/>
        </w:rPr>
        <w:t xml:space="preserve">Tas lielā mērā ir saistīts ar esošo tautsaimniecības struktūru, zemo apstrādes rūpniecības daļu, kur </w:t>
      </w:r>
      <w:r w:rsidRPr="00E32DDC">
        <w:rPr>
          <w:rFonts w:ascii="Candara" w:hAnsi="Candara"/>
        </w:rPr>
        <w:t>dominē zemo un vidēji zemo tehnoloģiju nozares</w:t>
      </w:r>
      <w:r>
        <w:rPr>
          <w:rFonts w:ascii="Candara" w:hAnsi="Candara"/>
        </w:rPr>
        <w:t xml:space="preserve">. </w:t>
      </w:r>
      <w:r w:rsidRPr="00E32DDC">
        <w:rPr>
          <w:rFonts w:ascii="Candara" w:hAnsi="Candara"/>
        </w:rPr>
        <w:t xml:space="preserve">Turklāt Latvijas </w:t>
      </w:r>
      <w:r>
        <w:rPr>
          <w:rFonts w:ascii="Candara" w:hAnsi="Candara"/>
        </w:rPr>
        <w:t>uzņēmumu struktūrā</w:t>
      </w:r>
      <w:r w:rsidRPr="00E32DDC">
        <w:rPr>
          <w:rFonts w:ascii="Candara" w:hAnsi="Candara"/>
        </w:rPr>
        <w:t xml:space="preserve"> </w:t>
      </w:r>
      <w:r>
        <w:rPr>
          <w:rFonts w:ascii="Candara" w:hAnsi="Candara"/>
        </w:rPr>
        <w:t xml:space="preserve">lielākā daļa ir </w:t>
      </w:r>
      <w:r w:rsidRPr="00E32DDC">
        <w:rPr>
          <w:rFonts w:ascii="Candara" w:hAnsi="Candara"/>
        </w:rPr>
        <w:t>mikro un MVU (2013.gadā – 99,6% no visiem ekonomiski aktīvajiem individuālajiem komersantiem un komercsabiedrībām. No tiem mikro uzņēmumi – 86,2%, mazie uzņēmumi – 11,1%, vidējie uzņēmumi – 2,3%).</w:t>
      </w:r>
    </w:p>
    <w:p w:rsidR="00852583" w:rsidP="00B86F69" w14:paraId="5DAF6F91" w14:textId="77777777">
      <w:pPr>
        <w:spacing w:after="0"/>
        <w:ind w:firstLine="426"/>
        <w:jc w:val="both"/>
        <w:rPr>
          <w:rFonts w:ascii="Candara" w:hAnsi="Candara"/>
        </w:rPr>
      </w:pPr>
      <w:r>
        <w:rPr>
          <w:rFonts w:ascii="Candara" w:hAnsi="Candara"/>
        </w:rPr>
        <w:t xml:space="preserve">Savukārt </w:t>
      </w:r>
      <w:r w:rsidRPr="00E32DDC">
        <w:rPr>
          <w:rFonts w:ascii="Candara" w:hAnsi="Candara"/>
        </w:rPr>
        <w:t>mikro un MVU inovācijas potenciālu un sniegumu ietekmē gan ierobežotie cilvēkresursi, gan pašu finanšu resursi, kas pieejami šiem uzņēmumiem P&amp;A un inovācijas aktivitāšu īstenošanai, tostarp ierobežotas iespējas piesaistīt finansējumu augsto tehnoloģisko un biznesa risku dēļ. Tāpat Latvijas uzņēmumiem lielākoties ir nepietiekami attīstītas sasvstarpējās sadarbības prasmes nozares vai starpnozaru aspektā,  bet jo īpaši – nepietiekami attīstīta sadarbība ar pētniecības institūcijām Latvijā un ārvalstīs.</w:t>
      </w:r>
    </w:p>
    <w:tbl>
      <w:tblPr>
        <w:tblStyle w:val="PlainTable41"/>
        <w:tblpPr w:leftFromText="180" w:rightFromText="180" w:vertAnchor="text" w:horzAnchor="margin" w:tblpXSpec="right" w:tblpY="679"/>
        <w:tblOverlap w:val="never"/>
        <w:tblW w:w="0" w:type="auto"/>
        <w:tblLook w:val="04A0"/>
      </w:tblPr>
      <w:tblGrid>
        <w:gridCol w:w="3919"/>
      </w:tblGrid>
      <w:tr w14:paraId="7E78F7B0" w14:textId="77777777" w:rsidTr="008F097D">
        <w:tblPrEx>
          <w:tblW w:w="0" w:type="auto"/>
          <w:tblLook w:val="04A0"/>
        </w:tblPrEx>
        <w:tc>
          <w:tcPr>
            <w:tcW w:w="3392" w:type="dxa"/>
            <w:vAlign w:val="center"/>
          </w:tcPr>
          <w:p w:rsidR="00852583" w:rsidRPr="00507FC5" w:rsidP="008F097D" w14:paraId="2E57EF02" w14:textId="77777777">
            <w:pPr>
              <w:ind w:left="-113" w:right="-113"/>
              <w:jc w:val="center"/>
              <w:rPr>
                <w:b w:val="0"/>
                <w:sz w:val="20"/>
              </w:rPr>
            </w:pPr>
            <w:r>
              <w:rPr>
                <w:rFonts w:ascii="Candara" w:hAnsi="Candara"/>
                <w:color w:val="000000" w:themeColor="text1"/>
                <w:spacing w:val="-8"/>
                <w:sz w:val="20"/>
                <w:szCs w:val="18"/>
                <w:lang w:bidi="lo-LA"/>
              </w:rPr>
              <w:t>13</w:t>
            </w:r>
            <w:r w:rsidRPr="00C7324C">
              <w:rPr>
                <w:rFonts w:ascii="Candara" w:hAnsi="Candara"/>
                <w:color w:val="000000" w:themeColor="text1"/>
                <w:spacing w:val="-8"/>
                <w:sz w:val="20"/>
                <w:szCs w:val="18"/>
                <w:lang w:bidi="lo-LA"/>
              </w:rPr>
              <w:t xml:space="preserve">.attēls. </w:t>
            </w:r>
            <w:r w:rsidRPr="00642162">
              <w:rPr>
                <w:rFonts w:ascii="Candara" w:hAnsi="Candara"/>
                <w:color w:val="000000" w:themeColor="text1"/>
                <w:spacing w:val="-8"/>
                <w:sz w:val="20"/>
                <w:szCs w:val="18"/>
                <w:lang w:bidi="lo-LA"/>
              </w:rPr>
              <w:t>Augsto tehnoloģiju produktu daļa Latvijas kopējā eksportā</w:t>
            </w:r>
            <w:r>
              <w:rPr>
                <w:rFonts w:ascii="Candara" w:hAnsi="Candara"/>
                <w:color w:val="000000" w:themeColor="text1"/>
                <w:spacing w:val="-8"/>
                <w:sz w:val="20"/>
                <w:szCs w:val="18"/>
                <w:lang w:bidi="lo-LA"/>
              </w:rPr>
              <w:t xml:space="preserve">, </w:t>
            </w:r>
            <w:r>
              <w:rPr>
                <w:rFonts w:ascii="Candara" w:hAnsi="Candara"/>
                <w:b w:val="0"/>
                <w:color w:val="000000" w:themeColor="text1"/>
                <w:spacing w:val="-8"/>
                <w:sz w:val="20"/>
                <w:szCs w:val="18"/>
                <w:lang w:bidi="lo-LA"/>
              </w:rPr>
              <w:t>%</w:t>
            </w:r>
          </w:p>
        </w:tc>
      </w:tr>
      <w:tr w14:paraId="365F3588" w14:textId="77777777" w:rsidTr="008F097D">
        <w:tblPrEx>
          <w:tblW w:w="0" w:type="auto"/>
          <w:tblLook w:val="04A0"/>
        </w:tblPrEx>
        <w:tc>
          <w:tcPr>
            <w:tcW w:w="3392" w:type="dxa"/>
            <w:shd w:val="clear" w:color="auto" w:fill="auto"/>
          </w:tcPr>
          <w:p w:rsidR="00852583" w:rsidP="008F097D" w14:paraId="01C32496" w14:textId="77777777">
            <w:pPr>
              <w:ind w:left="-113" w:right="-113"/>
              <w:jc w:val="center"/>
              <w:rPr>
                <w:sz w:val="24"/>
                <w:szCs w:val="24"/>
              </w:rPr>
            </w:pPr>
            <w:r w:rsidRPr="00DA622B">
              <w:rPr>
                <w:rFonts w:ascii="Garamond" w:hAnsi="Garamond" w:cs="Segoe UI"/>
                <w:noProof/>
                <w:sz w:val="20"/>
                <w:lang w:eastAsia="lv-LV"/>
              </w:rPr>
              <w:drawing>
                <wp:inline distT="0" distB="0" distL="0" distR="0">
                  <wp:extent cx="2423160" cy="1971675"/>
                  <wp:effectExtent l="0" t="0" r="0" b="0"/>
                  <wp:docPr id="16"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852583" w:rsidP="00B86F69" w14:paraId="7D956E3C" w14:textId="77777777">
      <w:pPr>
        <w:spacing w:after="0"/>
        <w:ind w:firstLine="426"/>
        <w:jc w:val="both"/>
        <w:rPr>
          <w:rFonts w:ascii="Candara" w:hAnsi="Candara"/>
        </w:rPr>
      </w:pPr>
      <w:r w:rsidRPr="00105F1D">
        <w:rPr>
          <w:rFonts w:ascii="Candara" w:hAnsi="Candara"/>
        </w:rPr>
        <w:t>Privātā sektora P&amp;A izdevumu samazinājums saistāms ar vairāku faktoru kopumu, jo īpaši Krievijas  noteikto  embarg</w:t>
      </w:r>
      <w:r w:rsidR="00B86F69">
        <w:rPr>
          <w:rFonts w:ascii="Candara" w:hAnsi="Candara"/>
        </w:rPr>
        <w:t xml:space="preserve">o </w:t>
      </w:r>
      <w:r w:rsidRPr="00105F1D">
        <w:rPr>
          <w:rFonts w:ascii="Candara" w:hAnsi="Candara"/>
        </w:rPr>
        <w:t>atsevišķiem  produktiem un Krievijas rubļa devalvāciju, kā arī viena  no lielā</w:t>
      </w:r>
      <w:r w:rsidR="00B86F69">
        <w:rPr>
          <w:rFonts w:ascii="Candara" w:hAnsi="Candara"/>
        </w:rPr>
        <w:t xml:space="preserve">kajiem  apstrādes  rūpniecības </w:t>
      </w:r>
      <w:r w:rsidRPr="00105F1D">
        <w:rPr>
          <w:rFonts w:ascii="Candara" w:hAnsi="Candara"/>
        </w:rPr>
        <w:t>uzņēmumiem – AS “Liepājas metalurgs” darbības</w:t>
      </w:r>
      <w:r w:rsidR="00B86F69">
        <w:rPr>
          <w:rFonts w:ascii="Candara" w:hAnsi="Candara"/>
        </w:rPr>
        <w:t xml:space="preserve"> pārtraukšanu. Krievijas krīzes</w:t>
      </w:r>
      <w:r w:rsidRPr="00105F1D">
        <w:rPr>
          <w:rFonts w:ascii="Candara" w:hAnsi="Candara"/>
        </w:rPr>
        <w:t xml:space="preserve"> rezultātā samazinājās Latvijas uzņēmumu apgrozījums no šī tirgus, tāpēc uzņēmumi bija spiesti veikt radikālu izmaksu samazināšanu – darbinieku atlaišanas, investīciju projektu iesaldēšanu, kā arī inovāciju, P&amp;A darbu atlikšanu uz vēlāku laiku.</w:t>
      </w:r>
    </w:p>
    <w:p w:rsidR="00852583" w:rsidP="00B86F69" w14:paraId="68B2DDBE" w14:textId="77777777">
      <w:pPr>
        <w:spacing w:before="120" w:after="0"/>
        <w:ind w:firstLine="426"/>
        <w:jc w:val="both"/>
        <w:rPr>
          <w:rFonts w:ascii="Candara" w:hAnsi="Candara"/>
        </w:rPr>
      </w:pPr>
      <w:r w:rsidRPr="00350EB9">
        <w:rPr>
          <w:rFonts w:ascii="Candara" w:hAnsi="Candara"/>
        </w:rPr>
        <w:t xml:space="preserve">Laika periodā no 2012. līdz 2015.gadam </w:t>
      </w:r>
      <w:r w:rsidRPr="00B26F53">
        <w:rPr>
          <w:rFonts w:ascii="Candara" w:hAnsi="Candara"/>
          <w:b/>
        </w:rPr>
        <w:t>augsto un vidēji augsto tehnoloģiju nozaru produktu eksports</w:t>
      </w:r>
      <w:r w:rsidRPr="00350EB9">
        <w:rPr>
          <w:rFonts w:ascii="Candara" w:hAnsi="Candara"/>
        </w:rPr>
        <w:t xml:space="preserve"> (fakt</w:t>
      </w:r>
      <w:r>
        <w:rPr>
          <w:rFonts w:ascii="Candara" w:hAnsi="Candara"/>
        </w:rPr>
        <w:t>iskajās cenās) pieauga par 7,3%</w:t>
      </w:r>
      <w:r w:rsidR="000D1F85">
        <w:rPr>
          <w:rFonts w:ascii="Candara" w:hAnsi="Candara"/>
        </w:rPr>
        <w:t xml:space="preserve">. </w:t>
      </w:r>
      <w:r>
        <w:rPr>
          <w:rFonts w:ascii="Candara" w:hAnsi="Candara"/>
        </w:rPr>
        <w:t xml:space="preserve"> </w:t>
      </w:r>
      <w:r w:rsidRPr="00350EB9">
        <w:rPr>
          <w:rFonts w:ascii="Candara" w:hAnsi="Candara"/>
        </w:rPr>
        <w:t>Par pozitīvām izmaiņām eksporta struktūrā liecin</w:t>
      </w:r>
      <w:r w:rsidR="00B86F69">
        <w:rPr>
          <w:rFonts w:ascii="Candara" w:hAnsi="Candara"/>
        </w:rPr>
        <w:t>a augsto tehnoloģiju (</w:t>
      </w:r>
      <w:r w:rsidRPr="00B86F69" w:rsidR="00B86F69">
        <w:rPr>
          <w:rFonts w:ascii="Candara" w:hAnsi="Candara"/>
          <w:i/>
        </w:rPr>
        <w:t>high-</w:t>
      </w:r>
      <w:r w:rsidRPr="00B86F69">
        <w:rPr>
          <w:rFonts w:ascii="Candara" w:hAnsi="Candara"/>
          <w:i/>
        </w:rPr>
        <w:t>tech</w:t>
      </w:r>
      <w:r w:rsidRPr="00350EB9">
        <w:rPr>
          <w:rFonts w:ascii="Candara" w:hAnsi="Candara"/>
        </w:rPr>
        <w:t xml:space="preserve">) produktu īpatsvara pieaugums. Lai gan augsto tehnoloģiju produktu īpatsvars kopējā eksporta apjomā joprojām ir zemāks nekā vidēji ES, tomēr kopš 2012.gada  tas ir palielinājies gandrīz </w:t>
      </w:r>
      <w:r>
        <w:rPr>
          <w:rFonts w:ascii="Candara" w:hAnsi="Candara"/>
        </w:rPr>
        <w:t>par pusotru reizi (13.attēls).</w:t>
      </w:r>
    </w:p>
    <w:p w:rsidR="00DF2882" w:rsidRPr="00572A77" w:rsidP="000419A4" w14:paraId="30F1BC3C" w14:textId="34C2BC0E">
      <w:pPr>
        <w:spacing w:after="0"/>
        <w:ind w:firstLine="426"/>
        <w:jc w:val="both"/>
        <w:rPr>
          <w:rFonts w:ascii="Candara" w:hAnsi="Candara"/>
        </w:rPr>
      </w:pPr>
      <w:r>
        <w:rPr>
          <w:noProof/>
          <w:lang w:eastAsia="lv-LV"/>
        </w:rPr>
        <w:drawing>
          <wp:anchor distT="0" distB="0" distL="114300" distR="114300" simplePos="0" relativeHeight="251875328" behindDoc="1" locked="0" layoutInCell="1" allowOverlap="1">
            <wp:simplePos x="0" y="0"/>
            <wp:positionH relativeFrom="margin">
              <wp:posOffset>0</wp:posOffset>
            </wp:positionH>
            <wp:positionV relativeFrom="paragraph">
              <wp:posOffset>0</wp:posOffset>
            </wp:positionV>
            <wp:extent cx="3707765" cy="2699385"/>
            <wp:effectExtent l="0" t="0" r="6985" b="5715"/>
            <wp:wrapTight wrapText="bothSides">
              <wp:wrapPolygon>
                <wp:start x="0" y="0"/>
                <wp:lineTo x="0" y="21493"/>
                <wp:lineTo x="21530" y="21493"/>
                <wp:lineTo x="21530" y="0"/>
                <wp:lineTo x="0" y="0"/>
              </wp:wrapPolygon>
            </wp:wrapTight>
            <wp:docPr id="18612215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8F4E4D">
        <w:rPr>
          <w:rFonts w:ascii="Candara" w:hAnsi="Candara"/>
        </w:rPr>
        <w:t>Jaunu P&amp;A investīciju neesamība un f</w:t>
      </w:r>
      <w:r>
        <w:rPr>
          <w:rFonts w:ascii="Candara" w:hAnsi="Candara"/>
        </w:rPr>
        <w:t xml:space="preserve">inansējuma deficīts ir arī ir iemesls  </w:t>
      </w:r>
      <w:r w:rsidRPr="009C3B6B">
        <w:rPr>
          <w:rFonts w:ascii="Candara" w:hAnsi="Candara"/>
          <w:b/>
        </w:rPr>
        <w:t>zinātnisko darbinieku skaita P&amp;A</w:t>
      </w:r>
      <w:r w:rsidR="008F4E4D">
        <w:rPr>
          <w:rFonts w:ascii="Candara" w:hAnsi="Candara"/>
          <w:b/>
        </w:rPr>
        <w:t xml:space="preserve"> samazinājumam</w:t>
      </w:r>
      <w:r>
        <w:rPr>
          <w:rFonts w:ascii="Candara" w:hAnsi="Candara"/>
        </w:rPr>
        <w:t>, kur izpilde 2020.gadā paredzētajie</w:t>
      </w:r>
      <w:r w:rsidR="00D40E84">
        <w:rPr>
          <w:rFonts w:ascii="Candara" w:hAnsi="Candara"/>
        </w:rPr>
        <w:t xml:space="preserve">m </w:t>
      </w:r>
      <w:r>
        <w:rPr>
          <w:rFonts w:ascii="Candara" w:hAnsi="Candara"/>
        </w:rPr>
        <w:t xml:space="preserve">7000 zinātniskajiem darbiniekiem nenotiek un esošais P&amp;A finansējums </w:t>
      </w:r>
      <w:r w:rsidR="006D1D87">
        <w:rPr>
          <w:rFonts w:ascii="Candara" w:hAnsi="Candara"/>
        </w:rPr>
        <w:t>pat nav ļāvis</w:t>
      </w:r>
      <w:r>
        <w:rPr>
          <w:rFonts w:ascii="Candara" w:hAnsi="Candara"/>
        </w:rPr>
        <w:t xml:space="preserve"> noturēt zinātniskā personāla skaitu 2012.gada līmenī (1</w:t>
      </w:r>
      <w:r w:rsidR="00264208">
        <w:rPr>
          <w:rFonts w:ascii="Candara" w:hAnsi="Candara"/>
        </w:rPr>
        <w:t>4</w:t>
      </w:r>
      <w:r>
        <w:rPr>
          <w:rFonts w:ascii="Candara" w:hAnsi="Candara"/>
        </w:rPr>
        <w:t xml:space="preserve">.attēls). Turklāt, ņemot vērā </w:t>
      </w:r>
      <w:r w:rsidR="008F4E4D">
        <w:rPr>
          <w:rFonts w:ascii="Candara" w:hAnsi="Candara"/>
        </w:rPr>
        <w:t xml:space="preserve">kompensējošā </w:t>
      </w:r>
      <w:r>
        <w:rPr>
          <w:rFonts w:ascii="Candara" w:hAnsi="Candara"/>
        </w:rPr>
        <w:t xml:space="preserve">ES fondu finansējuma </w:t>
      </w:r>
      <w:r w:rsidR="008F4E4D">
        <w:rPr>
          <w:rFonts w:ascii="Candara" w:hAnsi="Candara"/>
        </w:rPr>
        <w:t xml:space="preserve">neesamību </w:t>
      </w:r>
      <w:r>
        <w:rPr>
          <w:rFonts w:ascii="Candara" w:hAnsi="Candara"/>
        </w:rPr>
        <w:t xml:space="preserve">2016.gadā, ir </w:t>
      </w:r>
      <w:r w:rsidR="006D1D87">
        <w:rPr>
          <w:rFonts w:ascii="Candara" w:hAnsi="Candara"/>
        </w:rPr>
        <w:t xml:space="preserve">vērojams </w:t>
      </w:r>
      <w:r>
        <w:rPr>
          <w:rFonts w:ascii="Candara" w:hAnsi="Candara"/>
        </w:rPr>
        <w:t xml:space="preserve">būtisks zinātnisko darbinieku skaita samazinājums 2016.gadā. Pēdējo gadu </w:t>
      </w:r>
      <w:r w:rsidR="008F4E4D">
        <w:rPr>
          <w:rFonts w:ascii="Candara" w:hAnsi="Candara"/>
        </w:rPr>
        <w:t xml:space="preserve">samazinājums </w:t>
      </w:r>
      <w:r>
        <w:rPr>
          <w:rFonts w:ascii="Candara" w:hAnsi="Candara"/>
        </w:rPr>
        <w:t>zinātnisko darbinieku skaitā raksturo kopējo zinātnes nozares finansējuma un īstenoto pētniecības darbu apmēru</w:t>
      </w:r>
      <w:r w:rsidR="008F4E4D">
        <w:rPr>
          <w:rFonts w:ascii="Candara" w:hAnsi="Candara"/>
        </w:rPr>
        <w:t xml:space="preserve"> un n</w:t>
      </w:r>
      <w:r>
        <w:rPr>
          <w:rFonts w:ascii="Candara" w:hAnsi="Candara"/>
        </w:rPr>
        <w:t>epalielinoties nozares finansējumam</w:t>
      </w:r>
      <w:r w:rsidR="00EF3DE5">
        <w:rPr>
          <w:rFonts w:ascii="Candara" w:hAnsi="Candara"/>
        </w:rPr>
        <w:t>,</w:t>
      </w:r>
      <w:r>
        <w:rPr>
          <w:rFonts w:ascii="Candara" w:hAnsi="Candara"/>
        </w:rPr>
        <w:t xml:space="preserve"> nav gaidāms </w:t>
      </w:r>
      <w:r w:rsidR="00655436">
        <w:rPr>
          <w:rFonts w:ascii="Candara" w:hAnsi="Candara"/>
        </w:rPr>
        <w:t>zinātnisko darbinieku skaita pieaugums</w:t>
      </w:r>
      <w:r>
        <w:rPr>
          <w:rFonts w:ascii="Candara" w:hAnsi="Candara"/>
        </w:rPr>
        <w:t xml:space="preserve">. </w:t>
      </w:r>
      <w:r w:rsidR="008F4E4D">
        <w:rPr>
          <w:rFonts w:ascii="Candara" w:hAnsi="Candara"/>
        </w:rPr>
        <w:t>Šo tendenci</w:t>
      </w:r>
      <w:r>
        <w:rPr>
          <w:rFonts w:ascii="Candara" w:hAnsi="Candara"/>
        </w:rPr>
        <w:t xml:space="preserve"> </w:t>
      </w:r>
      <w:r w:rsidR="008F4E4D">
        <w:rPr>
          <w:rFonts w:ascii="Candara" w:hAnsi="Candara"/>
        </w:rPr>
        <w:t xml:space="preserve">pastiprina </w:t>
      </w:r>
      <w:r>
        <w:rPr>
          <w:rFonts w:ascii="Candara" w:hAnsi="Candara"/>
        </w:rPr>
        <w:t xml:space="preserve"> arī tas</w:t>
      </w:r>
      <w:r w:rsidR="00D40E84">
        <w:rPr>
          <w:rFonts w:ascii="Candara" w:hAnsi="Candara"/>
        </w:rPr>
        <w:t>, ka Latvijas P&amp;A izdevumi uz 1 </w:t>
      </w:r>
      <w:r>
        <w:rPr>
          <w:rFonts w:ascii="Candara" w:hAnsi="Candara"/>
        </w:rPr>
        <w:t>zinātnisko darbinieku ir ievērojami mazākā skaitā nekā citās ES valstīs un arī pārējās Baltijas valstīs (1</w:t>
      </w:r>
      <w:r w:rsidR="00264208">
        <w:rPr>
          <w:rFonts w:ascii="Candara" w:hAnsi="Candara"/>
        </w:rPr>
        <w:t>5</w:t>
      </w:r>
      <w:r>
        <w:rPr>
          <w:rFonts w:ascii="Candara" w:hAnsi="Candara"/>
        </w:rPr>
        <w:t>.attēls).</w:t>
      </w:r>
      <w:r w:rsidRPr="006E5EEC" w:rsidR="000419A4">
        <w:rPr>
          <w:noProof/>
          <w:lang w:eastAsia="en-GB"/>
        </w:rPr>
        <w:t xml:space="preserve"> </w:t>
      </w:r>
      <w:r w:rsidRPr="006E5EEC" w:rsidR="00572A77">
        <w:rPr>
          <w:noProof/>
          <w:lang w:eastAsia="en-GB"/>
        </w:rPr>
        <w:t xml:space="preserve">Lai </w:t>
      </w:r>
      <w:r w:rsidRPr="006E5EEC" w:rsidR="00042F23">
        <w:rPr>
          <w:noProof/>
          <w:lang w:eastAsia="en-GB"/>
        </w:rPr>
        <w:t>veicinātu</w:t>
      </w:r>
      <w:r w:rsidRPr="006E5EEC" w:rsidR="00572A77">
        <w:rPr>
          <w:noProof/>
          <w:lang w:eastAsia="en-GB"/>
        </w:rPr>
        <w:t xml:space="preserve"> šī rādītāja izpildi p</w:t>
      </w:r>
      <w:r w:rsidRPr="006E5EEC" w:rsidR="00572A77">
        <w:rPr>
          <w:rFonts w:ascii="Candara" w:hAnsi="Candara"/>
          <w:noProof/>
          <w:lang w:eastAsia="en-GB"/>
        </w:rPr>
        <w:t>asākumu plān</w:t>
      </w:r>
      <w:r w:rsidRPr="006E5EEC" w:rsidR="006D1B59">
        <w:rPr>
          <w:rFonts w:ascii="Candara" w:hAnsi="Candara"/>
          <w:noProof/>
          <w:lang w:eastAsia="en-GB"/>
        </w:rPr>
        <w:t xml:space="preserve">a </w:t>
      </w:r>
      <w:r w:rsidRPr="006E5EEC" w:rsidR="00914049">
        <w:rPr>
          <w:rFonts w:ascii="Candara" w:hAnsi="Candara"/>
          <w:noProof/>
          <w:lang w:eastAsia="en-GB"/>
        </w:rPr>
        <w:t>201</w:t>
      </w:r>
      <w:r w:rsidR="00914049">
        <w:rPr>
          <w:rFonts w:ascii="Candara" w:hAnsi="Candara"/>
          <w:noProof/>
          <w:lang w:eastAsia="en-GB"/>
        </w:rPr>
        <w:t>8</w:t>
      </w:r>
      <w:r w:rsidRPr="006E5EEC" w:rsidR="00572A77">
        <w:rPr>
          <w:rFonts w:ascii="Candara" w:hAnsi="Candara"/>
          <w:noProof/>
          <w:lang w:eastAsia="en-GB"/>
        </w:rPr>
        <w:t xml:space="preserve">. – 2020.gadam </w:t>
      </w:r>
      <w:r w:rsidRPr="006E5EEC" w:rsidR="006D1B59">
        <w:rPr>
          <w:rFonts w:ascii="Candara" w:hAnsi="Candara"/>
          <w:noProof/>
          <w:lang w:eastAsia="en-GB"/>
        </w:rPr>
        <w:t>uzdevumos 1.13, 1.13a, 1.14</w:t>
      </w:r>
      <w:r w:rsidRPr="006E5EEC" w:rsidR="00BA1A17">
        <w:rPr>
          <w:rFonts w:ascii="Candara" w:hAnsi="Candara"/>
          <w:noProof/>
          <w:lang w:eastAsia="en-GB"/>
        </w:rPr>
        <w:t>, 1.24, 6,13, 6.14.</w:t>
      </w:r>
      <w:r w:rsidRPr="006E5EEC" w:rsidR="00D46D12">
        <w:rPr>
          <w:rFonts w:ascii="Candara" w:hAnsi="Candara"/>
          <w:noProof/>
          <w:lang w:eastAsia="en-GB"/>
        </w:rPr>
        <w:t xml:space="preserve"> </w:t>
      </w:r>
      <w:r w:rsidRPr="006E5EEC" w:rsidR="00042F23">
        <w:rPr>
          <w:rFonts w:ascii="Candara" w:hAnsi="Candara"/>
          <w:noProof/>
          <w:lang w:eastAsia="en-GB"/>
        </w:rPr>
        <w:t>punktos ir noteikti rezultāta vai iznākuma rādītāji, kuri sniedz ieguldījumu zinātnisko darbinieku skaita palielināšanā. Uz šo rādītāja sasniegšanu ir vērsts arī RIS3 makro rādītājs “P&amp;I projektos iesaistīto maģistrantu un doktorantu skaits” kura rezultātu sasniegšanā ir iestrādāti stimuli Praktiskajos pētījumos, Inovācijas grantos studentiem, Kompetences centru programmā, Tehnoloģijas pārneses programmā, Zinātnes bāzes finansējumā, Valsts Pētījumu programmās, Fundamentālo un lietišķo pētījumu projektos un Augstskolu snieguma finansēju</w:t>
      </w:r>
      <w:r w:rsidRPr="006E5EEC" w:rsidR="00E50B85">
        <w:rPr>
          <w:rFonts w:ascii="Candara" w:hAnsi="Candara"/>
          <w:noProof/>
          <w:lang w:eastAsia="en-GB"/>
        </w:rPr>
        <w:t xml:space="preserve">mā. Tomēr, zinātnes finansējuma apjoms, kas ir pieejams šajās programmās, kurās ir stimuli uz šī mērķa sasniegšanu, ir nepietiekams, lai nodrošinātu šī rādītāja plānoto vērtību sasniegšanu 2020.gadā. </w:t>
      </w:r>
    </w:p>
    <w:p w:rsidR="00DF2882" w:rsidP="00DF2882" w14:paraId="44CF0717" w14:textId="77777777">
      <w:pPr>
        <w:spacing w:after="0"/>
        <w:jc w:val="center"/>
        <w:rPr>
          <w:rFonts w:ascii="Candara" w:hAnsi="Candara"/>
        </w:rPr>
      </w:pPr>
    </w:p>
    <w:p w:rsidR="00DF2882" w:rsidP="00DF2882" w14:paraId="554FC729" w14:textId="77777777">
      <w:pPr>
        <w:spacing w:after="0"/>
        <w:jc w:val="both"/>
        <w:rPr>
          <w:rFonts w:ascii="Candara" w:hAnsi="Candara"/>
        </w:rPr>
      </w:pPr>
    </w:p>
    <w:p w:rsidR="00133ACC" w:rsidP="00DF2882" w14:paraId="70984682" w14:textId="77777777">
      <w:pPr>
        <w:spacing w:after="0"/>
        <w:jc w:val="both"/>
        <w:rPr>
          <w:rFonts w:ascii="Candara" w:hAnsi="Candara"/>
        </w:rPr>
      </w:pPr>
    </w:p>
    <w:p w:rsidR="008E687D" w:rsidP="00B86F69" w14:paraId="1CD5E888" w14:textId="77777777">
      <w:pPr>
        <w:spacing w:after="0"/>
        <w:ind w:firstLine="426"/>
        <w:jc w:val="both"/>
        <w:rPr>
          <w:rFonts w:ascii="Candara" w:hAnsi="Candara"/>
        </w:rPr>
      </w:pPr>
      <w:r>
        <w:rPr>
          <w:noProof/>
          <w:lang w:eastAsia="lv-LV"/>
        </w:rPr>
        <w:drawing>
          <wp:anchor distT="0" distB="0" distL="114300" distR="114300" simplePos="0" relativeHeight="251874304" behindDoc="0" locked="0" layoutInCell="1" allowOverlap="1">
            <wp:simplePos x="0" y="0"/>
            <wp:positionH relativeFrom="column">
              <wp:posOffset>413385</wp:posOffset>
            </wp:positionH>
            <wp:positionV relativeFrom="paragraph">
              <wp:posOffset>0</wp:posOffset>
            </wp:positionV>
            <wp:extent cx="5695950" cy="2165350"/>
            <wp:effectExtent l="0" t="0" r="0" b="6350"/>
            <wp:wrapSquare wrapText="bothSides"/>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DF2882">
        <w:rPr>
          <w:rFonts w:ascii="Candara" w:hAnsi="Candara"/>
        </w:rPr>
        <w:t>Būtiska loma zinātnē nodarbināto cilvēkresursu piesaistē bija iepriekšējā 2007. – 2013.gada fondu perioda aktivitātēm, piemēram</w:t>
      </w:r>
      <w:r w:rsidR="00973753">
        <w:rPr>
          <w:rFonts w:ascii="Candara" w:hAnsi="Candara"/>
        </w:rPr>
        <w:t>,</w:t>
      </w:r>
      <w:r w:rsidR="00DF2882">
        <w:rPr>
          <w:rFonts w:ascii="Candara" w:hAnsi="Candara"/>
        </w:rPr>
        <w:t xml:space="preserve"> īstenojot apakšaktivitāti “</w:t>
      </w:r>
      <w:r w:rsidRPr="00E30C5A" w:rsidR="00DF2882">
        <w:rPr>
          <w:rFonts w:ascii="Candara" w:hAnsi="Candara"/>
        </w:rPr>
        <w:t>Atbalsts doktora studiju programmu īstenošanai</w:t>
      </w:r>
      <w:r w:rsidR="00DF2882">
        <w:rPr>
          <w:rFonts w:ascii="Candara" w:hAnsi="Candara"/>
        </w:rPr>
        <w:t xml:space="preserve">”, kuras īstenošanas rezultātā bija izdevies ievērojami palielināt </w:t>
      </w:r>
      <w:r w:rsidRPr="00EF3DE5" w:rsidR="00DF2882">
        <w:rPr>
          <w:rFonts w:ascii="Candara" w:hAnsi="Candara"/>
          <w:b/>
        </w:rPr>
        <w:t>doktora grāda iegu</w:t>
      </w:r>
      <w:r w:rsidR="00973753">
        <w:rPr>
          <w:rFonts w:ascii="Candara" w:hAnsi="Candara"/>
          <w:b/>
        </w:rPr>
        <w:t>vušo</w:t>
      </w:r>
      <w:r w:rsidRPr="00EF3DE5" w:rsidR="00DF2882">
        <w:rPr>
          <w:rFonts w:ascii="Candara" w:hAnsi="Candara"/>
          <w:b/>
        </w:rPr>
        <w:t xml:space="preserve"> skaitu</w:t>
      </w:r>
      <w:r w:rsidR="00DF2882">
        <w:rPr>
          <w:rFonts w:ascii="Candara" w:hAnsi="Candara"/>
        </w:rPr>
        <w:t xml:space="preserve"> pēdējo gadu laikā. </w:t>
      </w:r>
      <w:r w:rsidR="008F4E4D">
        <w:rPr>
          <w:rFonts w:ascii="Candara" w:hAnsi="Candara"/>
        </w:rPr>
        <w:t>Laika posmā</w:t>
      </w:r>
      <w:r w:rsidR="00DF2882">
        <w:rPr>
          <w:rFonts w:ascii="Candara" w:hAnsi="Candara"/>
        </w:rPr>
        <w:t xml:space="preserve"> starp 2011. </w:t>
      </w:r>
      <w:r w:rsidR="00776BB2">
        <w:rPr>
          <w:rFonts w:ascii="Candara" w:hAnsi="Candara"/>
        </w:rPr>
        <w:t>un</w:t>
      </w:r>
      <w:r w:rsidR="00DF2882">
        <w:rPr>
          <w:rFonts w:ascii="Candara" w:hAnsi="Candara"/>
        </w:rPr>
        <w:t xml:space="preserve"> 2013.gadu doktora grāda ieguvēju s</w:t>
      </w:r>
      <w:r w:rsidR="00D40E84">
        <w:rPr>
          <w:rFonts w:ascii="Candara" w:hAnsi="Candara"/>
        </w:rPr>
        <w:t>kaits palielinājās par 138</w:t>
      </w:r>
      <w:r w:rsidR="00264208">
        <w:rPr>
          <w:rFonts w:ascii="Candara" w:hAnsi="Candara"/>
        </w:rPr>
        <w:t>% (16</w:t>
      </w:r>
      <w:r w:rsidR="00DF2882">
        <w:rPr>
          <w:rFonts w:ascii="Candara" w:hAnsi="Candara"/>
        </w:rPr>
        <w:t>.attēls).</w:t>
      </w:r>
      <w:r w:rsidR="00133ACC">
        <w:rPr>
          <w:rFonts w:ascii="Candara" w:hAnsi="Candara"/>
        </w:rPr>
        <w:t xml:space="preserve"> </w:t>
      </w:r>
    </w:p>
    <w:p w:rsidR="00DF2882" w:rsidP="00B86F69" w14:paraId="55467442" w14:textId="77777777">
      <w:pPr>
        <w:spacing w:after="0"/>
        <w:ind w:firstLine="426"/>
        <w:jc w:val="both"/>
        <w:rPr>
          <w:rFonts w:ascii="Candara" w:hAnsi="Candara"/>
        </w:rPr>
      </w:pPr>
      <w:r>
        <w:rPr>
          <w:noProof/>
          <w:lang w:eastAsia="lv-LV"/>
        </w:rPr>
        <w:drawing>
          <wp:anchor distT="0" distB="0" distL="114300" distR="114300" simplePos="0" relativeHeight="251761664" behindDoc="1" locked="0" layoutInCell="1" allowOverlap="1">
            <wp:simplePos x="0" y="0"/>
            <wp:positionH relativeFrom="margin">
              <wp:posOffset>9525</wp:posOffset>
            </wp:positionH>
            <wp:positionV relativeFrom="paragraph">
              <wp:posOffset>838835</wp:posOffset>
            </wp:positionV>
            <wp:extent cx="2790825" cy="2019300"/>
            <wp:effectExtent l="0" t="0" r="0" b="0"/>
            <wp:wrapTight wrapText="bothSides">
              <wp:wrapPolygon>
                <wp:start x="0" y="0"/>
                <wp:lineTo x="0" y="21396"/>
                <wp:lineTo x="21379" y="21396"/>
                <wp:lineTo x="21379"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133ACC">
        <w:rPr>
          <w:rFonts w:ascii="Candara" w:hAnsi="Candara"/>
        </w:rPr>
        <w:t>L</w:t>
      </w:r>
      <w:r>
        <w:rPr>
          <w:rFonts w:ascii="Candara" w:hAnsi="Candara"/>
        </w:rPr>
        <w:t xml:space="preserve">ielā mērā pateicoties šiem ieguldījumiem bija izdevies būtiski </w:t>
      </w:r>
      <w:r w:rsidR="008F4E4D">
        <w:rPr>
          <w:rFonts w:ascii="Candara" w:hAnsi="Candara"/>
        </w:rPr>
        <w:t xml:space="preserve">uzlabot zinātnes cilvēkresursu vecuma struktūru </w:t>
      </w:r>
      <w:r w:rsidR="00BC42D1">
        <w:rPr>
          <w:rFonts w:ascii="Candara" w:hAnsi="Candara"/>
        </w:rPr>
        <w:t xml:space="preserve">- </w:t>
      </w:r>
      <w:r>
        <w:rPr>
          <w:rFonts w:ascii="Candara" w:hAnsi="Candara"/>
        </w:rPr>
        <w:t>palielināt 35 – 44</w:t>
      </w:r>
      <w:r w:rsidR="00776BB2">
        <w:rPr>
          <w:rFonts w:ascii="Candara" w:hAnsi="Candara"/>
        </w:rPr>
        <w:t xml:space="preserve"> gadu</w:t>
      </w:r>
      <w:r>
        <w:rPr>
          <w:rFonts w:ascii="Candara" w:hAnsi="Candara"/>
        </w:rPr>
        <w:t xml:space="preserve"> veco zinātnisko darbinieku skaitu laika posmā starp 2012. un 2015.gadu no 21,</w:t>
      </w:r>
      <w:r w:rsidR="00D40E84">
        <w:rPr>
          <w:rFonts w:ascii="Candara" w:hAnsi="Candara"/>
        </w:rPr>
        <w:t>1% uz 23,4</w:t>
      </w:r>
      <w:r>
        <w:rPr>
          <w:rFonts w:ascii="Candara" w:hAnsi="Candara"/>
        </w:rPr>
        <w:t>%, kā arī noturēt stabi</w:t>
      </w:r>
      <w:r w:rsidR="00264208">
        <w:rPr>
          <w:rFonts w:ascii="Candara" w:hAnsi="Candara"/>
        </w:rPr>
        <w:t>lu skaitu vecumgrupā 25 – 34 (17</w:t>
      </w:r>
      <w:r>
        <w:rPr>
          <w:rFonts w:ascii="Candara" w:hAnsi="Candara"/>
        </w:rPr>
        <w:t>.attēls). Ņemot vērā, ka beidzoties apakšaktivitātes “</w:t>
      </w:r>
      <w:r w:rsidRPr="00E30C5A">
        <w:rPr>
          <w:rFonts w:ascii="Candara" w:hAnsi="Candara"/>
        </w:rPr>
        <w:t>Atbalsts doktora studiju programmu īstenošanai</w:t>
      </w:r>
      <w:r>
        <w:rPr>
          <w:rFonts w:ascii="Candara" w:hAnsi="Candara"/>
        </w:rPr>
        <w:t xml:space="preserve">” īstenošanas periodam sāk ievērojami samazināties </w:t>
      </w:r>
      <w:r w:rsidR="00BC42D1">
        <w:rPr>
          <w:rFonts w:ascii="Candara" w:hAnsi="Candara"/>
        </w:rPr>
        <w:t xml:space="preserve">ikgadējais </w:t>
      </w:r>
      <w:r>
        <w:rPr>
          <w:rFonts w:ascii="Candara" w:hAnsi="Candara"/>
        </w:rPr>
        <w:t>doktora grāda ieguvēju skaits</w:t>
      </w:r>
      <w:r w:rsidR="00655436">
        <w:rPr>
          <w:rFonts w:ascii="Candara" w:hAnsi="Candara"/>
        </w:rPr>
        <w:t>,</w:t>
      </w:r>
      <w:r>
        <w:rPr>
          <w:rFonts w:ascii="Candara" w:hAnsi="Candara"/>
        </w:rPr>
        <w:t xml:space="preserve"> ir nepieciešamas jaunas </w:t>
      </w:r>
      <w:r w:rsidR="00BC42D1">
        <w:rPr>
          <w:rFonts w:ascii="Candara" w:hAnsi="Candara"/>
        </w:rPr>
        <w:t xml:space="preserve">pētniecības programmas un stimuli, kas sekmētu talantu piesaisti </w:t>
      </w:r>
      <w:r w:rsidR="00776BB2">
        <w:rPr>
          <w:rFonts w:ascii="Candara" w:hAnsi="Candara"/>
        </w:rPr>
        <w:t>pētnieciskaj</w:t>
      </w:r>
      <w:r w:rsidR="00BC42D1">
        <w:rPr>
          <w:rFonts w:ascii="Candara" w:hAnsi="Candara"/>
        </w:rPr>
        <w:t xml:space="preserve">am </w:t>
      </w:r>
      <w:r w:rsidR="00776BB2">
        <w:rPr>
          <w:rFonts w:ascii="Candara" w:hAnsi="Candara"/>
        </w:rPr>
        <w:t>darb</w:t>
      </w:r>
      <w:r w:rsidR="00BC42D1">
        <w:rPr>
          <w:rFonts w:ascii="Candara" w:hAnsi="Candara"/>
        </w:rPr>
        <w:t>am</w:t>
      </w:r>
      <w:r>
        <w:rPr>
          <w:rFonts w:ascii="Candara" w:hAnsi="Candara"/>
        </w:rPr>
        <w:t>.</w:t>
      </w:r>
    </w:p>
    <w:p w:rsidR="00DF2882" w:rsidP="00B86F69" w14:paraId="0AE6F36D" w14:textId="77777777">
      <w:pPr>
        <w:spacing w:after="0"/>
        <w:ind w:firstLine="426"/>
        <w:jc w:val="both"/>
        <w:rPr>
          <w:rFonts w:ascii="Candara" w:eastAsia="Times New Roman" w:hAnsi="Candara" w:cs="Times New Roman"/>
          <w:bCs/>
          <w:lang w:eastAsia="lv-LV"/>
        </w:rPr>
      </w:pPr>
      <w:r w:rsidRPr="00EF3DE5">
        <w:rPr>
          <w:rFonts w:ascii="Candara" w:eastAsia="Times New Roman" w:hAnsi="Candara" w:cs="Times New Roman"/>
          <w:b/>
          <w:bCs/>
          <w:lang w:eastAsia="lv-LV"/>
        </w:rPr>
        <w:t>Zinātnisko darbinieku</w:t>
      </w:r>
      <w:r w:rsidRPr="00F438FA">
        <w:rPr>
          <w:rFonts w:ascii="Candara" w:eastAsia="Times New Roman" w:hAnsi="Candara" w:cs="Times New Roman"/>
          <w:bCs/>
          <w:lang w:eastAsia="lv-LV"/>
        </w:rPr>
        <w:t xml:space="preserve"> (zinātnieki, zinātnes tehniskais un apkalpojošais personāls) </w:t>
      </w:r>
      <w:r w:rsidRPr="00EF3DE5">
        <w:rPr>
          <w:rFonts w:ascii="Candara" w:eastAsia="Times New Roman" w:hAnsi="Candara" w:cs="Times New Roman"/>
          <w:b/>
          <w:bCs/>
          <w:lang w:eastAsia="lv-LV"/>
        </w:rPr>
        <w:t>skaits Latvijā</w:t>
      </w:r>
      <w:r w:rsidRPr="00F438FA">
        <w:rPr>
          <w:rFonts w:ascii="Candara" w:eastAsia="Times New Roman" w:hAnsi="Candara" w:cs="Times New Roman"/>
          <w:bCs/>
          <w:lang w:eastAsia="lv-LV"/>
        </w:rPr>
        <w:t xml:space="preserve"> (PLE izteiksmē) 2015.gadā</w:t>
      </w:r>
      <w:r w:rsidR="00D40E84">
        <w:rPr>
          <w:rFonts w:ascii="Candara" w:eastAsia="Times New Roman" w:hAnsi="Candara" w:cs="Times New Roman"/>
          <w:bCs/>
          <w:lang w:eastAsia="lv-LV"/>
        </w:rPr>
        <w:t xml:space="preserve"> bija 5570, kas kopā veido</w:t>
      </w:r>
      <w:r w:rsidR="00BC42D1">
        <w:rPr>
          <w:rFonts w:ascii="Candara" w:eastAsia="Times New Roman" w:hAnsi="Candara" w:cs="Times New Roman"/>
          <w:bCs/>
          <w:lang w:eastAsia="lv-LV"/>
        </w:rPr>
        <w:t>ja</w:t>
      </w:r>
      <w:r w:rsidR="00D40E84">
        <w:rPr>
          <w:rFonts w:ascii="Candara" w:eastAsia="Times New Roman" w:hAnsi="Candara" w:cs="Times New Roman"/>
          <w:bCs/>
          <w:lang w:eastAsia="lv-LV"/>
        </w:rPr>
        <w:t xml:space="preserve"> 0,58</w:t>
      </w:r>
      <w:r w:rsidRPr="00F438FA">
        <w:rPr>
          <w:rFonts w:ascii="Candara" w:eastAsia="Times New Roman" w:hAnsi="Candara" w:cs="Times New Roman"/>
          <w:bCs/>
          <w:lang w:eastAsia="lv-LV"/>
        </w:rPr>
        <w:t>% no nodarbināto skaita Latvijā. Zinātnisko darbinieku īpatsvars kopējā darbaspē</w:t>
      </w:r>
      <w:r w:rsidR="00D40E84">
        <w:rPr>
          <w:rFonts w:ascii="Candara" w:eastAsia="Times New Roman" w:hAnsi="Candara" w:cs="Times New Roman"/>
          <w:bCs/>
          <w:lang w:eastAsia="lv-LV"/>
        </w:rPr>
        <w:t>ka struktūrā Latvijā ir vien 48</w:t>
      </w:r>
      <w:r w:rsidRPr="00F438FA">
        <w:rPr>
          <w:rFonts w:ascii="Candara" w:eastAsia="Times New Roman" w:hAnsi="Candara" w:cs="Times New Roman"/>
          <w:bCs/>
          <w:lang w:eastAsia="lv-LV"/>
        </w:rPr>
        <w:t>% apmērā salīdzin</w:t>
      </w:r>
      <w:r w:rsidR="00D40E84">
        <w:rPr>
          <w:rFonts w:ascii="Candara" w:eastAsia="Times New Roman" w:hAnsi="Candara" w:cs="Times New Roman"/>
          <w:bCs/>
          <w:lang w:eastAsia="lv-LV"/>
        </w:rPr>
        <w:t>ājumā ar ES vidējo līmeni (1,20%).  Tikai 3 </w:t>
      </w:r>
      <w:r w:rsidRPr="00F438FA">
        <w:rPr>
          <w:rFonts w:ascii="Candara" w:eastAsia="Times New Roman" w:hAnsi="Candara" w:cs="Times New Roman"/>
          <w:bCs/>
          <w:lang w:eastAsia="lv-LV"/>
        </w:rPr>
        <w:t xml:space="preserve">ES valstīs ir vēl mazāka zinātnisko darbinieku loma kopējā darbaspēka struktūrā (Horvātija, Rumānija, Kipra) </w:t>
      </w:r>
      <w:r w:rsidR="00264208">
        <w:rPr>
          <w:rFonts w:ascii="Candara" w:eastAsia="Times New Roman" w:hAnsi="Candara" w:cs="Times New Roman"/>
          <w:bCs/>
          <w:lang w:eastAsia="lv-LV"/>
        </w:rPr>
        <w:t>(18</w:t>
      </w:r>
      <w:r>
        <w:rPr>
          <w:rFonts w:ascii="Candara" w:eastAsia="Times New Roman" w:hAnsi="Candara" w:cs="Times New Roman"/>
          <w:bCs/>
          <w:lang w:eastAsia="lv-LV"/>
        </w:rPr>
        <w:t>.attēls)</w:t>
      </w:r>
      <w:r w:rsidRPr="00F438FA">
        <w:rPr>
          <w:rFonts w:ascii="Candara" w:eastAsia="Times New Roman" w:hAnsi="Candara" w:cs="Times New Roman"/>
          <w:bCs/>
          <w:lang w:eastAsia="lv-LV"/>
        </w:rPr>
        <w:t>.</w:t>
      </w:r>
    </w:p>
    <w:p w:rsidR="00D036C8" w:rsidP="00901832" w14:paraId="59156234" w14:textId="77777777">
      <w:pPr>
        <w:spacing w:after="0"/>
        <w:jc w:val="both"/>
        <w:rPr>
          <w:rFonts w:ascii="Candara" w:hAnsi="Candara"/>
          <w:color w:val="000000"/>
        </w:rPr>
      </w:pPr>
      <w:r>
        <w:rPr>
          <w:noProof/>
          <w:lang w:eastAsia="lv-LV"/>
        </w:rPr>
        <w:drawing>
          <wp:anchor distT="0" distB="0" distL="114300" distR="114300" simplePos="0" relativeHeight="251853824" behindDoc="0" locked="0" layoutInCell="1" allowOverlap="1">
            <wp:simplePos x="0" y="0"/>
            <wp:positionH relativeFrom="margin">
              <wp:align>left</wp:align>
            </wp:positionH>
            <wp:positionV relativeFrom="paragraph">
              <wp:posOffset>1905</wp:posOffset>
            </wp:positionV>
            <wp:extent cx="2764155" cy="2352675"/>
            <wp:effectExtent l="0" t="0" r="0" b="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anchor>
        </w:drawing>
      </w:r>
      <w:r>
        <w:rPr>
          <w:rFonts w:ascii="Candara" w:hAnsi="Candara"/>
        </w:rPr>
        <w:tab/>
      </w:r>
      <w:r w:rsidR="00860A6B">
        <w:rPr>
          <w:rFonts w:ascii="Candara" w:hAnsi="Candara"/>
        </w:rPr>
        <w:t>Plānotās vērtības ir sasniegtas tajos rādītājos</w:t>
      </w:r>
      <w:r w:rsidRPr="00AB75F0" w:rsidR="00860A6B">
        <w:rPr>
          <w:rFonts w:ascii="Candara" w:hAnsi="Candara"/>
        </w:rPr>
        <w:t>, kuriem ir saistība ar P&amp;A nozarē veiktajām strukturālajām reformām.</w:t>
      </w:r>
      <w:r w:rsidR="00860A6B">
        <w:rPr>
          <w:rFonts w:ascii="Candara" w:hAnsi="Candara"/>
        </w:rPr>
        <w:t xml:space="preserve"> Šo reformu īstenošana bija priekšnoteikums, lai nodrošinātu 2014. – 2020.gada ES fondu ieguldījumus zinātnē un inovācijās.</w:t>
      </w:r>
      <w:r w:rsidRPr="00AB75F0" w:rsidR="00860A6B">
        <w:rPr>
          <w:rFonts w:ascii="Candara" w:hAnsi="Candara"/>
        </w:rPr>
        <w:t xml:space="preserve"> Piemēram, </w:t>
      </w:r>
      <w:r w:rsidRPr="009C3B6B" w:rsidR="00860A6B">
        <w:rPr>
          <w:rFonts w:ascii="Candara" w:hAnsi="Candara"/>
          <w:b/>
        </w:rPr>
        <w:t>valsts finansēto zinātnisko institūciju skaita samazinājums</w:t>
      </w:r>
      <w:r w:rsidRPr="00AB75F0" w:rsidR="00860A6B">
        <w:rPr>
          <w:rFonts w:ascii="Candara" w:hAnsi="Candara"/>
        </w:rPr>
        <w:t xml:space="preserve"> no 42 institūcijām 2013.gadā līdz </w:t>
      </w:r>
      <w:r w:rsidR="00BC42D1">
        <w:rPr>
          <w:rFonts w:ascii="Candara" w:hAnsi="Candara"/>
        </w:rPr>
        <w:t xml:space="preserve">20 </w:t>
      </w:r>
      <w:r w:rsidRPr="00AB75F0" w:rsidR="00860A6B">
        <w:rPr>
          <w:rFonts w:ascii="Candara" w:hAnsi="Candara"/>
        </w:rPr>
        <w:t>institūcijām 2020.gadā jau ir gandrīz panākts 2017.gadā</w:t>
      </w:r>
      <w:r w:rsidR="00BC42D1">
        <w:rPr>
          <w:rFonts w:ascii="Candara" w:hAnsi="Candara"/>
        </w:rPr>
        <w:t>, kad bāzes finansējumu saņem 22 valsts dibinātas zinātniskās institūcijas</w:t>
      </w:r>
      <w:r w:rsidR="00860A6B">
        <w:rPr>
          <w:rFonts w:ascii="Candara" w:hAnsi="Candara"/>
        </w:rPr>
        <w:t>. Šo progres</w:t>
      </w:r>
      <w:r w:rsidR="00D40E84">
        <w:rPr>
          <w:rFonts w:ascii="Candara" w:hAnsi="Candara"/>
        </w:rPr>
        <w:t>u nodrošināja vairāki pasākumi.</w:t>
      </w:r>
      <w:r w:rsidRPr="00AB75F0" w:rsidR="00860A6B">
        <w:rPr>
          <w:rFonts w:ascii="Candara" w:hAnsi="Candara"/>
        </w:rPr>
        <w:t xml:space="preserve"> </w:t>
      </w:r>
      <w:r w:rsidR="00860A6B">
        <w:rPr>
          <w:rFonts w:ascii="Candara" w:hAnsi="Candara"/>
        </w:rPr>
        <w:t>Pirmkārt, zinātnisko institūciju konsolidāciju</w:t>
      </w:r>
      <w:r w:rsidRPr="00AB75F0" w:rsidR="00860A6B">
        <w:rPr>
          <w:rFonts w:ascii="Candara" w:hAnsi="Candara"/>
        </w:rPr>
        <w:t xml:space="preserve"> stimulēja normatīvā regulējuma izmaiņas zinātnes bāzes finansējuma </w:t>
      </w:r>
      <w:r w:rsidR="00860A6B">
        <w:rPr>
          <w:rFonts w:ascii="Candara" w:hAnsi="Candara"/>
        </w:rPr>
        <w:t>piešķiršanas kārtībā – 2013.gadā tika noteikts</w:t>
      </w:r>
      <w:r w:rsidRPr="00AB75F0" w:rsidR="00860A6B">
        <w:rPr>
          <w:rFonts w:ascii="Candara" w:hAnsi="Candara"/>
        </w:rPr>
        <w:t xml:space="preserve">, ka no 2016.gada </w:t>
      </w:r>
      <w:r w:rsidR="00860A6B">
        <w:rPr>
          <w:rFonts w:ascii="Candara" w:hAnsi="Candara"/>
        </w:rPr>
        <w:t>šis</w:t>
      </w:r>
      <w:r w:rsidRPr="00AB75F0" w:rsidR="00860A6B">
        <w:rPr>
          <w:rFonts w:ascii="Candara" w:hAnsi="Candara"/>
        </w:rPr>
        <w:t xml:space="preserve"> </w:t>
      </w:r>
      <w:r w:rsidRPr="00AB75F0" w:rsidR="00EF3DE5">
        <w:rPr>
          <w:rFonts w:ascii="Candara" w:hAnsi="Candara"/>
        </w:rPr>
        <w:t>finansējum</w:t>
      </w:r>
      <w:r w:rsidR="00EF3DE5">
        <w:rPr>
          <w:rFonts w:ascii="Candara" w:hAnsi="Candara"/>
        </w:rPr>
        <w:t>s</w:t>
      </w:r>
      <w:r w:rsidRPr="00AB75F0" w:rsidR="00EF3DE5">
        <w:rPr>
          <w:rFonts w:ascii="Candara" w:hAnsi="Candara"/>
        </w:rPr>
        <w:t xml:space="preserve"> </w:t>
      </w:r>
      <w:r w:rsidRPr="00AB75F0" w:rsidR="00860A6B">
        <w:rPr>
          <w:rFonts w:ascii="Candara" w:hAnsi="Candara"/>
        </w:rPr>
        <w:t>vairs net</w:t>
      </w:r>
      <w:r w:rsidR="00860A6B">
        <w:rPr>
          <w:rFonts w:ascii="Candara" w:hAnsi="Candara"/>
        </w:rPr>
        <w:t>iks</w:t>
      </w:r>
      <w:r w:rsidRPr="00AB75F0" w:rsidR="00860A6B">
        <w:rPr>
          <w:rFonts w:ascii="Candara" w:hAnsi="Candara"/>
        </w:rPr>
        <w:t xml:space="preserve"> piešķirts tām institūcijām, kuras </w:t>
      </w:r>
      <w:r w:rsidRPr="00AB75F0" w:rsidR="00860A6B">
        <w:rPr>
          <w:rFonts w:ascii="Candara" w:hAnsi="Candara"/>
          <w:color w:val="000000"/>
        </w:rPr>
        <w:t>zinātnisko institūciju darbības starptautiskajā izvērtējumā bija saņēmušas zemu novērtējumu</w:t>
      </w:r>
      <w:r w:rsidR="00860A6B">
        <w:rPr>
          <w:rFonts w:ascii="Candara" w:hAnsi="Candara"/>
          <w:color w:val="000000"/>
        </w:rPr>
        <w:t xml:space="preserve">. Vienlaikus, zinātnisko institūciju pašu inicētajai </w:t>
      </w:r>
      <w:r w:rsidRPr="00AB75F0" w:rsidR="00860A6B">
        <w:rPr>
          <w:rFonts w:ascii="Candara" w:hAnsi="Candara"/>
          <w:color w:val="000000"/>
        </w:rPr>
        <w:t xml:space="preserve">konsolidācijai </w:t>
      </w:r>
      <w:r w:rsidR="00860A6B">
        <w:rPr>
          <w:rFonts w:ascii="Candara" w:hAnsi="Candara"/>
          <w:color w:val="000000"/>
        </w:rPr>
        <w:t>un RIS3 prioritātēm atbilstošu pētniecības programmu izstrādāšanai tika sniegts atbalsts ES fondu</w:t>
      </w:r>
      <w:r w:rsidR="00D40E84">
        <w:rPr>
          <w:rFonts w:ascii="Candara" w:hAnsi="Candara"/>
          <w:color w:val="000000"/>
        </w:rPr>
        <w:t xml:space="preserve"> 2.1.1.3.3. </w:t>
      </w:r>
      <w:r w:rsidRPr="00AB75F0" w:rsidR="00860A6B">
        <w:rPr>
          <w:rFonts w:ascii="Candara" w:hAnsi="Candara"/>
          <w:color w:val="000000"/>
        </w:rPr>
        <w:t xml:space="preserve">apakšaktivitātes "Zinātnisko institūciju institucionālās kapacitātes attīstība" </w:t>
      </w:r>
      <w:r w:rsidR="00860A6B">
        <w:rPr>
          <w:rFonts w:ascii="Candara" w:hAnsi="Candara"/>
          <w:color w:val="000000"/>
        </w:rPr>
        <w:t>programmas ietvaros</w:t>
      </w:r>
      <w:r w:rsidRPr="00AB75F0" w:rsidR="00860A6B">
        <w:rPr>
          <w:rFonts w:ascii="Candara" w:hAnsi="Candara"/>
          <w:color w:val="000000"/>
        </w:rPr>
        <w:t>.</w:t>
      </w:r>
      <w:r w:rsidR="00860A6B">
        <w:rPr>
          <w:rFonts w:ascii="Candara" w:hAnsi="Candara"/>
          <w:color w:val="000000"/>
        </w:rPr>
        <w:t xml:space="preserve"> Lai gan zinātniskās institūcijas veica visus valdības noteiktos </w:t>
      </w:r>
      <w:r w:rsidRPr="00155013">
        <w:rPr>
          <w:rFonts w:ascii="Arial Narrow" w:hAnsi="Arial Narrow"/>
          <w:noProof/>
          <w:lang w:eastAsia="lv-LV"/>
        </w:rPr>
        <w:drawing>
          <wp:inline distT="0" distB="0" distL="0" distR="0">
            <wp:extent cx="5686425" cy="180975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860A6B">
        <w:rPr>
          <w:rFonts w:ascii="Candara" w:hAnsi="Candara"/>
          <w:color w:val="000000"/>
        </w:rPr>
        <w:t xml:space="preserve">uzdevumus, īstenotajām konsolidācijas aktivitātēm un zināšanu un cilvēkkapitāla koncentrēšanai spēcīgākajās valsts zinātniskajās institūcijās līdz šim nav sekojušas atbilstošas nacionāla līmeņa darbības attiecībā uz pilnvērtīga zinātniskās darbības bāzes finansējuma un valsts pasūtījuma nodrošināšanu. Latvijas pētniecības resursi ir koncentrēti 22 spēcīgākajās zinātniskās institūcijās, kas saņem zinātnes bāzes finansējumu. Tomēr </w:t>
      </w:r>
      <w:r w:rsidR="00BC42D1">
        <w:rPr>
          <w:rFonts w:ascii="Candara" w:hAnsi="Candara"/>
          <w:color w:val="000000"/>
        </w:rPr>
        <w:t xml:space="preserve">joprojām </w:t>
      </w:r>
      <w:r w:rsidR="00860A6B">
        <w:rPr>
          <w:rFonts w:ascii="Candara" w:hAnsi="Candara"/>
          <w:color w:val="000000"/>
        </w:rPr>
        <w:t>zinātnes bāzes finansējums tiek piešķirts tikai 65% apmērā no aprēķinātā</w:t>
      </w:r>
      <w:r w:rsidR="00BC42D1">
        <w:rPr>
          <w:rFonts w:ascii="Candara" w:hAnsi="Candara"/>
          <w:color w:val="000000"/>
        </w:rPr>
        <w:t>, tādējādi nedodot zinātniskajām institūcijām pilnībā īstenot to potenciālu</w:t>
      </w:r>
      <w:r w:rsidR="00860A6B">
        <w:rPr>
          <w:rFonts w:ascii="Candara" w:hAnsi="Candara"/>
          <w:color w:val="000000"/>
        </w:rPr>
        <w:t xml:space="preserve">. </w:t>
      </w:r>
      <w:r w:rsidR="00BC42D1">
        <w:rPr>
          <w:rFonts w:ascii="Candara" w:hAnsi="Candara"/>
          <w:color w:val="000000"/>
        </w:rPr>
        <w:t>L</w:t>
      </w:r>
      <w:r w:rsidR="00D9709D">
        <w:rPr>
          <w:rFonts w:ascii="Candara" w:hAnsi="Candara"/>
          <w:color w:val="000000"/>
        </w:rPr>
        <w:t>ai</w:t>
      </w:r>
      <w:r w:rsidR="00BC42D1">
        <w:rPr>
          <w:rFonts w:ascii="Candara" w:hAnsi="Candara"/>
          <w:color w:val="000000"/>
        </w:rPr>
        <w:t xml:space="preserve"> zinātniskās institūcijas varētu palielināt savu darba apjomus, ir nepieciešams nodrošināt </w:t>
      </w:r>
      <w:r w:rsidR="00346B1F">
        <w:rPr>
          <w:rFonts w:ascii="Candara" w:hAnsi="Candara"/>
          <w:color w:val="000000"/>
        </w:rPr>
        <w:t xml:space="preserve"> zinātnes bāzes pilnā apmērā, tādējādi </w:t>
      </w:r>
      <w:r w:rsidR="00BC42D1">
        <w:rPr>
          <w:rFonts w:ascii="Candara" w:hAnsi="Candara"/>
          <w:color w:val="000000"/>
        </w:rPr>
        <w:t xml:space="preserve">investējot </w:t>
      </w:r>
      <w:r w:rsidR="00346B1F">
        <w:rPr>
          <w:rFonts w:ascii="Candara" w:hAnsi="Candara"/>
          <w:color w:val="000000"/>
        </w:rPr>
        <w:t>RIS3 virsmērķa sasniegšanu, palielinot ieguldījumu apmēru P&amp;A (% no IKP).</w:t>
      </w:r>
    </w:p>
    <w:p w:rsidR="00DF2882" w:rsidP="00B86F69" w14:paraId="24655B48" w14:textId="77777777">
      <w:pPr>
        <w:spacing w:after="0"/>
        <w:ind w:firstLine="426"/>
        <w:jc w:val="both"/>
        <w:rPr>
          <w:rFonts w:ascii="Candara" w:hAnsi="Candara"/>
        </w:rPr>
      </w:pPr>
      <w:r>
        <w:rPr>
          <w:noProof/>
          <w:lang w:eastAsia="lv-LV"/>
        </w:rPr>
        <w:drawing>
          <wp:anchor distT="0" distB="0" distL="114300" distR="114300" simplePos="0" relativeHeight="251852800" behindDoc="0" locked="0" layoutInCell="1" allowOverlap="1">
            <wp:simplePos x="0" y="0"/>
            <wp:positionH relativeFrom="margin">
              <wp:align>left</wp:align>
            </wp:positionH>
            <wp:positionV relativeFrom="paragraph">
              <wp:posOffset>29655</wp:posOffset>
            </wp:positionV>
            <wp:extent cx="3429000" cy="2400300"/>
            <wp:effectExtent l="0" t="0" r="0" b="0"/>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860A6B">
        <w:rPr>
          <w:rFonts w:ascii="Candara" w:hAnsi="Candara"/>
        </w:rPr>
        <w:t xml:space="preserve">Nav izdevies nodrošināt </w:t>
      </w:r>
      <w:r w:rsidRPr="009C3B6B" w:rsidR="00860A6B">
        <w:rPr>
          <w:rFonts w:ascii="Candara" w:hAnsi="Candara"/>
          <w:b/>
        </w:rPr>
        <w:t>STEM studiju programmu absolventu skaita pieaugumu</w:t>
      </w:r>
      <w:r w:rsidR="00860A6B">
        <w:rPr>
          <w:rFonts w:ascii="Candara" w:hAnsi="Candara"/>
        </w:rPr>
        <w:t xml:space="preserve"> RIS3 paredzētajā apjomā. STEM programmu studējošo īpatsvars ir pakāpeniski pieaudzis, ko izskaidro studiju vietu pārdale, kuras ietvaros STEM studiju vietām ir piešķirta augstāka prioritāte. Tomēr pēdējo gadu tendences parāda to, ka absolventu skaita pieaugums STEM programmās notiek ievērojami lēnāk un pēdējo 3 gadu laikā tas nav paliel</w:t>
      </w:r>
      <w:r w:rsidR="00B86F69">
        <w:rPr>
          <w:rFonts w:ascii="Candara" w:hAnsi="Candara"/>
        </w:rPr>
        <w:t>inājies (19.attēls).</w:t>
      </w:r>
    </w:p>
    <w:p w:rsidR="00860A6B" w:rsidP="00B86F69" w14:paraId="5F6B8C55" w14:textId="77777777">
      <w:pPr>
        <w:spacing w:after="0"/>
        <w:ind w:firstLine="426"/>
        <w:jc w:val="both"/>
        <w:rPr>
          <w:rFonts w:ascii="Candara" w:hAnsi="Candara"/>
        </w:rPr>
      </w:pPr>
      <w:r>
        <w:rPr>
          <w:rFonts w:ascii="Candara" w:hAnsi="Candara"/>
        </w:rPr>
        <w:t xml:space="preserve">Lielā mērā šie dati parāda to, ka STEM studiju programmās pēdējo gadu laikā ir būtiski palielinājies studentu atbirums. </w:t>
      </w:r>
      <w:r w:rsidR="00BC42D1">
        <w:rPr>
          <w:rFonts w:ascii="Candara" w:hAnsi="Candara"/>
        </w:rPr>
        <w:t>A</w:t>
      </w:r>
      <w:r w:rsidRPr="00AB75F0">
        <w:rPr>
          <w:rFonts w:ascii="Candara" w:hAnsi="Candara"/>
        </w:rPr>
        <w:t>bsolventu skaita kritumu izraisa  faktor</w:t>
      </w:r>
      <w:r w:rsidR="00BC42D1">
        <w:rPr>
          <w:rFonts w:ascii="Candara" w:hAnsi="Candara"/>
        </w:rPr>
        <w:t>u kopums</w:t>
      </w:r>
      <w:r w:rsidRPr="00AB75F0">
        <w:rPr>
          <w:rFonts w:ascii="Candara" w:hAnsi="Candara"/>
        </w:rPr>
        <w:t xml:space="preserve">, </w:t>
      </w:r>
      <w:r w:rsidR="00BC42D1">
        <w:rPr>
          <w:rFonts w:ascii="Candara" w:hAnsi="Candara"/>
        </w:rPr>
        <w:t xml:space="preserve">tai skaitā </w:t>
      </w:r>
      <w:r w:rsidR="00BA3A9A">
        <w:rPr>
          <w:rFonts w:ascii="Candara" w:hAnsi="Candara"/>
        </w:rPr>
        <w:t xml:space="preserve">salīdzinoši zemais </w:t>
      </w:r>
      <w:r w:rsidRPr="00AB75F0">
        <w:rPr>
          <w:rFonts w:ascii="Candara" w:hAnsi="Candara"/>
        </w:rPr>
        <w:t>augstākās izglītības finansējum</w:t>
      </w:r>
      <w:r w:rsidR="00BA3A9A">
        <w:rPr>
          <w:rFonts w:ascii="Candara" w:hAnsi="Candara"/>
        </w:rPr>
        <w:t>a apjoms uz vienu studējošo</w:t>
      </w:r>
      <w:r w:rsidRPr="00AB75F0">
        <w:rPr>
          <w:rFonts w:ascii="Candara" w:hAnsi="Candara"/>
        </w:rPr>
        <w:t xml:space="preserve">, </w:t>
      </w:r>
      <w:r>
        <w:rPr>
          <w:rFonts w:ascii="Candara" w:hAnsi="Candara"/>
        </w:rPr>
        <w:t>vidējās izglītības kvalitāte utml.</w:t>
      </w:r>
      <w:r w:rsidR="008C4E1B">
        <w:rPr>
          <w:rFonts w:ascii="Candara" w:hAnsi="Candara"/>
        </w:rPr>
        <w:t xml:space="preserve"> – </w:t>
      </w:r>
      <w:r w:rsidRPr="00AB75F0">
        <w:rPr>
          <w:rFonts w:ascii="Candara" w:hAnsi="Candara"/>
        </w:rPr>
        <w:t>pēdējo gadu tendences parāda to, ka absolventu</w:t>
      </w:r>
      <w:r>
        <w:rPr>
          <w:rFonts w:ascii="Candara" w:hAnsi="Candara"/>
        </w:rPr>
        <w:t xml:space="preserve"> kopējā</w:t>
      </w:r>
      <w:r w:rsidRPr="00AB75F0">
        <w:rPr>
          <w:rFonts w:ascii="Candara" w:hAnsi="Candara"/>
        </w:rPr>
        <w:t xml:space="preserve"> skaita samazinājums notiek lielākā tempā, salīdzinājumā ar</w:t>
      </w:r>
      <w:r>
        <w:rPr>
          <w:rFonts w:ascii="Candara" w:hAnsi="Candara"/>
        </w:rPr>
        <w:t xml:space="preserve"> kopēju studentu skaita kritumu, jo starp 2011.</w:t>
      </w:r>
      <w:r w:rsidRPr="00AB75F0">
        <w:rPr>
          <w:rFonts w:ascii="Candara" w:hAnsi="Candara"/>
        </w:rPr>
        <w:t xml:space="preserve"> </w:t>
      </w:r>
      <w:r>
        <w:rPr>
          <w:rFonts w:ascii="Candara" w:hAnsi="Candara"/>
        </w:rPr>
        <w:t xml:space="preserve">un 2016.gadu kopējais studējošo </w:t>
      </w:r>
      <w:r w:rsidR="00D40E84">
        <w:rPr>
          <w:rFonts w:ascii="Candara" w:hAnsi="Candara"/>
        </w:rPr>
        <w:t>skaits ir samazinājies par 14,5</w:t>
      </w:r>
      <w:r>
        <w:rPr>
          <w:rFonts w:ascii="Candara" w:hAnsi="Candara"/>
        </w:rPr>
        <w:t>%. Šīs kopējās tendences ir attiecināmas arī uz STEM studiju programmām un lai nodrošinātu kvalitatīvu speciālistu sagatavošanu STEM nozarē, kurā ir prognozējams būtisks darbaspēka deficīts, ir nepieciešams īstenot pasākumus, kas novērstu problēmas saistībā ar absolventu skaitu.</w:t>
      </w:r>
    </w:p>
    <w:p w:rsidR="00D036C8" w:rsidP="009A2B13" w14:paraId="3BF3750B" w14:textId="77777777">
      <w:pPr>
        <w:spacing w:after="0"/>
        <w:jc w:val="both"/>
        <w:rPr>
          <w:rFonts w:ascii="Candara" w:hAnsi="Candara"/>
        </w:rPr>
      </w:pPr>
      <w:r>
        <w:rPr>
          <w:noProof/>
          <w:lang w:eastAsia="lv-LV"/>
        </w:rPr>
        <w:drawing>
          <wp:anchor distT="0" distB="0" distL="114300" distR="114300" simplePos="0" relativeHeight="251665408" behindDoc="0" locked="0" layoutInCell="1" allowOverlap="1">
            <wp:simplePos x="0" y="0"/>
            <wp:positionH relativeFrom="margin">
              <wp:posOffset>-41910</wp:posOffset>
            </wp:positionH>
            <wp:positionV relativeFrom="paragraph">
              <wp:posOffset>200660</wp:posOffset>
            </wp:positionV>
            <wp:extent cx="3375660" cy="2567940"/>
            <wp:effectExtent l="0" t="0" r="0" b="3810"/>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00AB75F0" w:rsidP="00B86F69" w14:paraId="05DDEA83" w14:textId="77777777">
      <w:pPr>
        <w:spacing w:after="0"/>
        <w:ind w:firstLine="426"/>
        <w:jc w:val="both"/>
        <w:rPr>
          <w:rFonts w:ascii="Candara" w:hAnsi="Candara"/>
        </w:rPr>
      </w:pPr>
      <w:r>
        <w:rPr>
          <w:noProof/>
          <w:lang w:eastAsia="lv-LV"/>
        </w:rPr>
        <w:drawing>
          <wp:anchor distT="0" distB="0" distL="114300" distR="114300" simplePos="0" relativeHeight="251669504" behindDoc="1" locked="0" layoutInCell="1" allowOverlap="1">
            <wp:simplePos x="0" y="0"/>
            <wp:positionH relativeFrom="margin">
              <wp:posOffset>3280410</wp:posOffset>
            </wp:positionH>
            <wp:positionV relativeFrom="paragraph">
              <wp:posOffset>1654810</wp:posOffset>
            </wp:positionV>
            <wp:extent cx="2994660" cy="2219325"/>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BA4331">
        <w:rPr>
          <w:rFonts w:ascii="Candara" w:hAnsi="Candara"/>
        </w:rPr>
        <w:t>I</w:t>
      </w:r>
      <w:r w:rsidRPr="00AB75F0" w:rsidR="009A2B13">
        <w:rPr>
          <w:rFonts w:ascii="Candara" w:hAnsi="Candara"/>
        </w:rPr>
        <w:t xml:space="preserve">evērojams ir </w:t>
      </w:r>
      <w:r w:rsidRPr="009C3B6B" w:rsidR="009A2B13">
        <w:rPr>
          <w:rFonts w:ascii="Candara" w:hAnsi="Candara"/>
          <w:b/>
        </w:rPr>
        <w:t>grādu vai kvalifikāciju ieguvušo studentu skaita kritums augstskolās un koledžās</w:t>
      </w:r>
      <w:r w:rsidRPr="00AB75F0" w:rsidR="009A2B13">
        <w:rPr>
          <w:rFonts w:ascii="Candara" w:hAnsi="Candara"/>
        </w:rPr>
        <w:t xml:space="preserve">, kur ZTAI pamatnostādnes paredz to skaitu noturēt stabilā 2011.gada </w:t>
      </w:r>
      <w:r w:rsidRPr="00AB75F0" w:rsidR="008A4579">
        <w:rPr>
          <w:rFonts w:ascii="Candara" w:hAnsi="Candara"/>
        </w:rPr>
        <w:t xml:space="preserve">rādītāja </w:t>
      </w:r>
      <w:r w:rsidRPr="00AB75F0" w:rsidR="009A2B13">
        <w:rPr>
          <w:rFonts w:ascii="Candara" w:hAnsi="Candara"/>
        </w:rPr>
        <w:t>līmenī</w:t>
      </w:r>
      <w:r w:rsidR="00A65B70">
        <w:rPr>
          <w:rFonts w:ascii="Candara" w:hAnsi="Candara"/>
        </w:rPr>
        <w:t xml:space="preserve"> (20</w:t>
      </w:r>
      <w:r w:rsidR="002F0B00">
        <w:rPr>
          <w:rFonts w:ascii="Candara" w:hAnsi="Candara"/>
        </w:rPr>
        <w:t>.attēls)</w:t>
      </w:r>
      <w:r w:rsidRPr="00AB75F0" w:rsidR="009A2B13">
        <w:rPr>
          <w:rFonts w:ascii="Candara" w:hAnsi="Candara"/>
        </w:rPr>
        <w:t xml:space="preserve">. Reālie </w:t>
      </w:r>
      <w:r w:rsidRPr="00AB75F0" w:rsidR="008A4579">
        <w:rPr>
          <w:rFonts w:ascii="Candara" w:hAnsi="Candara"/>
        </w:rPr>
        <w:t>dati</w:t>
      </w:r>
      <w:r w:rsidRPr="00AB75F0" w:rsidR="009A2B13">
        <w:rPr>
          <w:rFonts w:ascii="Candara" w:hAnsi="Candara"/>
        </w:rPr>
        <w:t xml:space="preserve"> parāda absolventu skaita krit</w:t>
      </w:r>
      <w:r w:rsidR="00D40E84">
        <w:rPr>
          <w:rFonts w:ascii="Candara" w:hAnsi="Candara"/>
        </w:rPr>
        <w:t>umu starp 2011. un 2016.gadu 36</w:t>
      </w:r>
      <w:r w:rsidRPr="00AB75F0" w:rsidR="009A2B13">
        <w:rPr>
          <w:rFonts w:ascii="Candara" w:hAnsi="Candara"/>
        </w:rPr>
        <w:t>% apmērā, ko lielā mērā izraisa kopējais studējošo skaita kritums, galve</w:t>
      </w:r>
      <w:r w:rsidR="00437E17">
        <w:rPr>
          <w:rFonts w:ascii="Candara" w:hAnsi="Candara"/>
        </w:rPr>
        <w:t xml:space="preserve">nokārt demogrāfisko faktoru dēļ </w:t>
      </w:r>
      <w:r w:rsidRPr="00AB75F0" w:rsidR="009A2B13">
        <w:rPr>
          <w:rFonts w:ascii="Candara" w:hAnsi="Candara"/>
        </w:rPr>
        <w:t>(piemēram, 30 – 34 gadus vecu iedzīvotāju īpatsvars ar augstāko izglītību turpina pieaugt, kas parāda to, ka augstākās izglītības vērtība starp Latvijas</w:t>
      </w:r>
      <w:r w:rsidR="00B86D3A">
        <w:rPr>
          <w:rFonts w:ascii="Candara" w:hAnsi="Candara"/>
        </w:rPr>
        <w:t xml:space="preserve"> iedzīvotājiem ir ļoti augsta)</w:t>
      </w:r>
      <w:r w:rsidR="00437E17">
        <w:rPr>
          <w:rFonts w:ascii="Candara" w:hAnsi="Candara"/>
        </w:rPr>
        <w:t>, taču būtiska loma ir arī citiem faktoriem (</w:t>
      </w:r>
      <w:r w:rsidRPr="00AB75F0" w:rsidR="00437E17">
        <w:rPr>
          <w:rFonts w:ascii="Candara" w:hAnsi="Candara"/>
        </w:rPr>
        <w:t xml:space="preserve">nepilnīgais finansējums, </w:t>
      </w:r>
      <w:r w:rsidR="00437E17">
        <w:rPr>
          <w:rFonts w:ascii="Candara" w:hAnsi="Candara"/>
        </w:rPr>
        <w:t>vidējās izglītības kvalitātes līmenis, studentu atbirums u.c.)</w:t>
      </w:r>
      <w:r w:rsidR="00B86D3A">
        <w:rPr>
          <w:rFonts w:ascii="Candara" w:hAnsi="Candara"/>
        </w:rPr>
        <w:t>.</w:t>
      </w:r>
      <w:r w:rsidR="00437E17">
        <w:rPr>
          <w:rFonts w:ascii="Candara" w:hAnsi="Candara"/>
        </w:rPr>
        <w:t xml:space="preserve"> Šis ir arī ir viens no tiem rādītājiem, kuros ir skaidri prognozējams, ka ZTAI pamatnostādnēs noteiktās vērtības sasniegt 2020.gadā nav iespējams </w:t>
      </w:r>
      <w:r w:rsidR="00BC6A98">
        <w:rPr>
          <w:rFonts w:ascii="Candara" w:hAnsi="Candara"/>
        </w:rPr>
        <w:t xml:space="preserve">dēļ </w:t>
      </w:r>
      <w:r w:rsidR="00437E17">
        <w:rPr>
          <w:rFonts w:ascii="Candara" w:hAnsi="Candara"/>
        </w:rPr>
        <w:t>ievērojamā krituma imatrikulēto studējošo skaitā, taču, pasākumi, kuru rezultātā tiks samazināts esošo studējošo atbirums ir veicami, lai vismaz noturētu šo rādītāju 2016.gada līmenī.</w:t>
      </w:r>
    </w:p>
    <w:p w:rsidR="00D40E84" w:rsidP="009A2B13" w14:paraId="2D7A49F4" w14:textId="77777777">
      <w:pPr>
        <w:spacing w:after="0"/>
        <w:jc w:val="both"/>
        <w:rPr>
          <w:rFonts w:ascii="Candara" w:hAnsi="Candara"/>
        </w:rPr>
      </w:pPr>
    </w:p>
    <w:p w:rsidR="005C4374" w:rsidP="00B86F69" w14:paraId="4773EF7B" w14:textId="77777777">
      <w:pPr>
        <w:spacing w:after="0"/>
        <w:ind w:firstLine="426"/>
        <w:jc w:val="both"/>
        <w:rPr>
          <w:rFonts w:ascii="Candara" w:hAnsi="Candara"/>
        </w:rPr>
      </w:pPr>
      <w:r>
        <w:rPr>
          <w:noProof/>
          <w:lang w:eastAsia="lv-LV"/>
        </w:rPr>
        <w:drawing>
          <wp:anchor distT="0" distB="0" distL="114300" distR="114300" simplePos="0" relativeHeight="251660288" behindDoc="1" locked="0" layoutInCell="1" allowOverlap="1">
            <wp:simplePos x="0" y="0"/>
            <wp:positionH relativeFrom="margin">
              <wp:posOffset>-34290</wp:posOffset>
            </wp:positionH>
            <wp:positionV relativeFrom="paragraph">
              <wp:posOffset>469265</wp:posOffset>
            </wp:positionV>
            <wp:extent cx="3124200" cy="2724150"/>
            <wp:effectExtent l="0" t="0" r="0" b="0"/>
            <wp:wrapTight wrapText="bothSides">
              <wp:wrapPolygon>
                <wp:start x="0" y="0"/>
                <wp:lineTo x="0" y="21449"/>
                <wp:lineTo x="21468" y="21449"/>
                <wp:lineTo x="21468" y="0"/>
                <wp:lineTo x="0" y="0"/>
              </wp:wrapPolygon>
            </wp:wrapTight>
            <wp:docPr id="136406005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Pr>
          <w:rFonts w:ascii="Candara" w:hAnsi="Candara"/>
        </w:rPr>
        <w:t xml:space="preserve">Attiecībā uz </w:t>
      </w:r>
      <w:r w:rsidRPr="009C3B6B">
        <w:rPr>
          <w:rFonts w:ascii="Candara" w:hAnsi="Candara"/>
          <w:b/>
        </w:rPr>
        <w:t>patentu skaita pieaugumu</w:t>
      </w:r>
      <w:r w:rsidR="009564D9">
        <w:rPr>
          <w:rFonts w:ascii="Candara" w:hAnsi="Candara"/>
        </w:rPr>
        <w:t xml:space="preserve"> –</w:t>
      </w:r>
      <w:r>
        <w:rPr>
          <w:rFonts w:ascii="Candara" w:hAnsi="Candara"/>
        </w:rPr>
        <w:t xml:space="preserve"> pieš</w:t>
      </w:r>
      <w:r w:rsidR="00B91194">
        <w:rPr>
          <w:rFonts w:ascii="Candara" w:hAnsi="Candara"/>
        </w:rPr>
        <w:t>ķirto patentu skaits ir ļoti svārstīgs starp gadiem</w:t>
      </w:r>
      <w:r w:rsidR="009564D9">
        <w:rPr>
          <w:rFonts w:ascii="Candara" w:hAnsi="Candara"/>
        </w:rPr>
        <w:t>,</w:t>
      </w:r>
      <w:r w:rsidR="00B91194">
        <w:rPr>
          <w:rFonts w:ascii="Candara" w:hAnsi="Candara"/>
        </w:rPr>
        <w:t xml:space="preserve"> un tā pieauguma nelielās tendences ir ievērojami mazākā apmērā salīdzinā</w:t>
      </w:r>
      <w:r w:rsidR="00876E2D">
        <w:rPr>
          <w:rFonts w:ascii="Candara" w:hAnsi="Candara"/>
        </w:rPr>
        <w:t>jumā ar pamatnostādnēs plānoto</w:t>
      </w:r>
      <w:r w:rsidR="00A65B70">
        <w:rPr>
          <w:rFonts w:ascii="Candara" w:hAnsi="Candara"/>
        </w:rPr>
        <w:t xml:space="preserve"> (21</w:t>
      </w:r>
      <w:r w:rsidR="009D5AC3">
        <w:rPr>
          <w:rFonts w:ascii="Candara" w:hAnsi="Candara"/>
        </w:rPr>
        <w:t>.attēls)</w:t>
      </w:r>
      <w:r w:rsidR="00876E2D">
        <w:rPr>
          <w:rFonts w:ascii="Candara" w:hAnsi="Candara"/>
        </w:rPr>
        <w:t>.</w:t>
      </w:r>
    </w:p>
    <w:p w:rsidR="00B86F69" w:rsidP="00B86F69" w14:paraId="45B7135B" w14:textId="77777777">
      <w:pPr>
        <w:spacing w:after="0"/>
        <w:ind w:firstLine="426"/>
        <w:jc w:val="both"/>
        <w:rPr>
          <w:rFonts w:ascii="Candara" w:hAnsi="Candara"/>
        </w:rPr>
      </w:pPr>
      <w:r>
        <w:rPr>
          <w:rFonts w:ascii="Candara" w:hAnsi="Candara"/>
        </w:rPr>
        <w:t xml:space="preserve">Būtiski nav mainījies arī Latvijas rezidentiem piešķirto Eiropas patentu </w:t>
      </w:r>
      <w:r w:rsidR="00BB6DBD">
        <w:rPr>
          <w:rFonts w:ascii="Candara" w:hAnsi="Candara"/>
        </w:rPr>
        <w:t xml:space="preserve">biroja </w:t>
      </w:r>
      <w:r>
        <w:rPr>
          <w:rFonts w:ascii="Candara" w:hAnsi="Candara"/>
        </w:rPr>
        <w:t xml:space="preserve">(turpmāk EPO) </w:t>
      </w:r>
      <w:r w:rsidR="00F858DC">
        <w:rPr>
          <w:rFonts w:ascii="Candara" w:hAnsi="Candara"/>
        </w:rPr>
        <w:t>patentu</w:t>
      </w:r>
      <w:r>
        <w:rPr>
          <w:rFonts w:ascii="Candara" w:hAnsi="Candara"/>
        </w:rPr>
        <w:t xml:space="preserve"> īpatsvars no visu piešķirto patentu kopskaita</w:t>
      </w:r>
      <w:r w:rsidR="008C4E1B">
        <w:rPr>
          <w:rFonts w:ascii="Candara" w:hAnsi="Candara"/>
        </w:rPr>
        <w:t>,</w:t>
      </w:r>
      <w:r>
        <w:rPr>
          <w:rFonts w:ascii="Candara" w:hAnsi="Candara"/>
        </w:rPr>
        <w:t xml:space="preserve"> 2011. un 2016.gadā Latvijas rezidentiem piešķirot 0,02% no </w:t>
      </w:r>
      <w:r w:rsidR="00F858DC">
        <w:rPr>
          <w:rFonts w:ascii="Candara" w:hAnsi="Candara"/>
        </w:rPr>
        <w:t xml:space="preserve">šo patentu </w:t>
      </w:r>
      <w:r w:rsidR="006062C2">
        <w:rPr>
          <w:rFonts w:ascii="Candara" w:hAnsi="Candara"/>
        </w:rPr>
        <w:t xml:space="preserve">kopskaita. </w:t>
      </w:r>
      <w:r w:rsidR="00F858DC">
        <w:rPr>
          <w:rFonts w:ascii="Candara" w:hAnsi="Candara"/>
        </w:rPr>
        <w:t xml:space="preserve">Latvijas rezidentiem piešķirto patentu kopējais skaits ir ļoti zems uz Rietumeiropas valstu fona, piemēram, salīdzinājumā ar Vāciju, kuras rezidentiem 2016.gadā ir piešķirti 18 728 patenti. Apskatot piešķirto patentu skaitu uz 1 milj. iedzīvotāju Latvija 2016.gadā ir </w:t>
      </w:r>
      <w:r w:rsidR="00D40E84">
        <w:rPr>
          <w:rFonts w:ascii="Candara" w:hAnsi="Candara"/>
        </w:rPr>
        <w:t>piešķīrusi 8 patentus, kas ir 3</w:t>
      </w:r>
      <w:r w:rsidR="00F858DC">
        <w:rPr>
          <w:rFonts w:ascii="Candara" w:hAnsi="Candara"/>
        </w:rPr>
        <w:t>% no Vācijas līmeņa (230 patenti uz 1 milj. iedzīvotāju). Latvijas piešķirto EPO patentu skaita tendences ir līdzīgas ar pārējām Baltijas valstīm (2016.gadā Igaunija ir piešķīrusi 10 EPO patentus, Lietuva – 16).</w:t>
      </w:r>
    </w:p>
    <w:p w:rsidR="0097720F" w:rsidP="00B86F69" w14:paraId="1B6E6373" w14:textId="77777777">
      <w:pPr>
        <w:spacing w:after="0"/>
        <w:ind w:firstLine="426"/>
        <w:jc w:val="both"/>
        <w:rPr>
          <w:rFonts w:ascii="Candara" w:hAnsi="Candara"/>
        </w:rPr>
      </w:pPr>
      <w:r>
        <w:rPr>
          <w:rFonts w:ascii="Candara" w:hAnsi="Candara"/>
        </w:rPr>
        <w:t>Daļēji arī piešķirto EPO patentu skaita pieaugumu 2016.gadā izskaidro straujais Latvijas patentu valdes izsniegto patentu samazinājums</w:t>
      </w:r>
      <w:r w:rsidR="00A65B70">
        <w:rPr>
          <w:rFonts w:ascii="Candara" w:hAnsi="Candara"/>
        </w:rPr>
        <w:t xml:space="preserve"> (22</w:t>
      </w:r>
      <w:r w:rsidR="009D5AC3">
        <w:rPr>
          <w:rFonts w:ascii="Candara" w:hAnsi="Candara"/>
        </w:rPr>
        <w:t>.attēls)</w:t>
      </w:r>
      <w:r>
        <w:rPr>
          <w:rFonts w:ascii="Candara" w:hAnsi="Candara"/>
        </w:rPr>
        <w:t>.</w:t>
      </w:r>
    </w:p>
    <w:p w:rsidR="00D40E84" w:rsidP="009A2B13" w14:paraId="74EA0100" w14:textId="77777777">
      <w:pPr>
        <w:spacing w:after="0"/>
        <w:jc w:val="both"/>
        <w:rPr>
          <w:rFonts w:ascii="Candara" w:hAnsi="Candara"/>
        </w:rPr>
      </w:pPr>
    </w:p>
    <w:p w:rsidR="00D40E84" w:rsidP="00B86F69" w14:paraId="50354F1D" w14:textId="77777777">
      <w:pPr>
        <w:spacing w:after="0"/>
        <w:ind w:firstLine="426"/>
        <w:jc w:val="both"/>
        <w:rPr>
          <w:rFonts w:ascii="Candara" w:hAnsi="Candara"/>
          <w:color w:val="000000"/>
        </w:rPr>
      </w:pPr>
      <w:r w:rsidRPr="007713D8">
        <w:rPr>
          <w:rFonts w:ascii="Candara" w:hAnsi="Candara"/>
          <w:noProof/>
          <w:lang w:eastAsia="lv-LV"/>
        </w:rPr>
        <w:drawing>
          <wp:anchor distT="0" distB="0" distL="114300" distR="114300" simplePos="0" relativeHeight="251702272" behindDoc="0" locked="0" layoutInCell="1" allowOverlap="1">
            <wp:simplePos x="0" y="0"/>
            <wp:positionH relativeFrom="margin">
              <wp:posOffset>481330</wp:posOffset>
            </wp:positionH>
            <wp:positionV relativeFrom="paragraph">
              <wp:posOffset>965835</wp:posOffset>
            </wp:positionV>
            <wp:extent cx="5553075" cy="1885950"/>
            <wp:effectExtent l="0" t="0" r="0" b="0"/>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Pr>
          <w:rFonts w:ascii="Candara" w:hAnsi="Candara"/>
          <w:color w:val="000000"/>
        </w:rPr>
        <w:t>Vērtējot</w:t>
      </w:r>
      <w:r w:rsidRPr="00AB75F0" w:rsidR="009A2B13">
        <w:rPr>
          <w:rFonts w:ascii="Candara" w:hAnsi="Candara"/>
          <w:color w:val="000000"/>
        </w:rPr>
        <w:t xml:space="preserve"> </w:t>
      </w:r>
      <w:r w:rsidRPr="009C3B6B" w:rsidR="009A2B13">
        <w:rPr>
          <w:rFonts w:ascii="Candara" w:hAnsi="Candara"/>
          <w:b/>
          <w:color w:val="000000"/>
        </w:rPr>
        <w:t>zinātnisko rakstu skaitu</w:t>
      </w:r>
      <w:r w:rsidR="009564D9">
        <w:rPr>
          <w:rFonts w:ascii="Candara" w:hAnsi="Candara"/>
          <w:b/>
          <w:color w:val="000000"/>
        </w:rPr>
        <w:t xml:space="preserve"> žurnālos</w:t>
      </w:r>
      <w:r w:rsidRPr="009C3B6B" w:rsidR="009A2B13">
        <w:rPr>
          <w:rFonts w:ascii="Candara" w:hAnsi="Candara"/>
          <w:b/>
          <w:color w:val="000000"/>
        </w:rPr>
        <w:t>, kur</w:t>
      </w:r>
      <w:r w:rsidR="009564D9">
        <w:rPr>
          <w:rFonts w:ascii="Candara" w:hAnsi="Candara"/>
          <w:b/>
          <w:color w:val="000000"/>
        </w:rPr>
        <w:t>i</w:t>
      </w:r>
      <w:r w:rsidRPr="009C3B6B" w:rsidR="009A2B13">
        <w:rPr>
          <w:rFonts w:ascii="Candara" w:hAnsi="Candara"/>
          <w:b/>
          <w:color w:val="000000"/>
        </w:rPr>
        <w:t xml:space="preserve"> ir </w:t>
      </w:r>
      <w:r w:rsidR="009564D9">
        <w:rPr>
          <w:rFonts w:ascii="Candara" w:hAnsi="Candara"/>
          <w:b/>
          <w:color w:val="000000"/>
        </w:rPr>
        <w:t>iekļauti</w:t>
      </w:r>
      <w:r w:rsidRPr="009C3B6B" w:rsidR="009564D9">
        <w:rPr>
          <w:rFonts w:ascii="Candara" w:hAnsi="Candara"/>
          <w:b/>
          <w:color w:val="000000"/>
        </w:rPr>
        <w:t xml:space="preserve"> </w:t>
      </w:r>
      <w:r w:rsidRPr="009C3B6B" w:rsidR="009A2B13">
        <w:rPr>
          <w:rFonts w:ascii="Candara" w:hAnsi="Candara"/>
          <w:b/>
          <w:color w:val="000000"/>
        </w:rPr>
        <w:t>starptautiskajās datubāzēs</w:t>
      </w:r>
      <w:r w:rsidRPr="00AB75F0" w:rsidR="009A2B13">
        <w:rPr>
          <w:rFonts w:ascii="Candara" w:hAnsi="Candara"/>
          <w:color w:val="000000"/>
        </w:rPr>
        <w:t xml:space="preserve">, šim rādītājam ir nodrošināts ievērojams pieaugums, jau 2016.gadā ievērojami pārsniedzot 2020.gadā plānotās rādītāju vērtības gan SCOPUS, gan Web of Science datubāzēs, kas lielā mērā ir saistīts ar to, ka dažādos normatīvajos aktos (zinātnes bāzes finansēšanas noteikumos, ES fondu pasākumos u.c.) tika </w:t>
      </w:r>
      <w:r w:rsidR="00407D46">
        <w:rPr>
          <w:rFonts w:ascii="Candara" w:hAnsi="Candara"/>
          <w:color w:val="000000"/>
        </w:rPr>
        <w:t xml:space="preserve">iestrādāti stimuli un </w:t>
      </w:r>
      <w:r w:rsidRPr="00AB75F0" w:rsidR="009A2B13">
        <w:rPr>
          <w:rFonts w:ascii="Candara" w:hAnsi="Candara"/>
          <w:color w:val="000000"/>
        </w:rPr>
        <w:t>liela nozīme piešķirta publikācijām šajās datubāzēs.</w:t>
      </w:r>
      <w:r>
        <w:rPr>
          <w:rFonts w:ascii="Candara" w:hAnsi="Candara"/>
          <w:color w:val="000000"/>
        </w:rPr>
        <w:t xml:space="preserve"> </w:t>
      </w:r>
    </w:p>
    <w:p w:rsidR="00D40E84" w:rsidP="0033472E" w14:paraId="2828FDF4" w14:textId="77777777">
      <w:pPr>
        <w:spacing w:after="0"/>
        <w:jc w:val="both"/>
        <w:rPr>
          <w:rFonts w:ascii="Candara" w:hAnsi="Candara"/>
          <w:color w:val="000000"/>
        </w:rPr>
      </w:pPr>
    </w:p>
    <w:p w:rsidR="0033472E" w:rsidRPr="00D40E84" w:rsidP="00B86F69" w14:paraId="47A33B21" w14:textId="77777777">
      <w:pPr>
        <w:spacing w:after="0"/>
        <w:ind w:firstLine="426"/>
        <w:jc w:val="both"/>
        <w:rPr>
          <w:rFonts w:ascii="Candara" w:hAnsi="Candara"/>
          <w:color w:val="000000"/>
        </w:rPr>
      </w:pPr>
      <w:r w:rsidRPr="007713D8">
        <w:rPr>
          <w:rFonts w:ascii="Candara" w:hAnsi="Candara"/>
        </w:rPr>
        <w:t>Apskatot publikāciju skaita dinamiku</w:t>
      </w:r>
      <w:r w:rsidR="001B61C0">
        <w:rPr>
          <w:rFonts w:ascii="Candara" w:hAnsi="Candara"/>
        </w:rPr>
        <w:t xml:space="preserve"> žurnālos, kas iekļauti</w:t>
      </w:r>
      <w:r w:rsidRPr="007713D8">
        <w:rPr>
          <w:rFonts w:ascii="Candara" w:hAnsi="Candara"/>
        </w:rPr>
        <w:t xml:space="preserve"> </w:t>
      </w:r>
      <w:r w:rsidRPr="000419A4">
        <w:rPr>
          <w:rFonts w:ascii="Candara" w:hAnsi="Candara"/>
          <w:i/>
        </w:rPr>
        <w:t>SCOPUS</w:t>
      </w:r>
      <w:r w:rsidRPr="007713D8">
        <w:rPr>
          <w:rFonts w:ascii="Candara" w:hAnsi="Candara"/>
        </w:rPr>
        <w:t xml:space="preserve"> un </w:t>
      </w:r>
      <w:r w:rsidRPr="000419A4">
        <w:rPr>
          <w:rFonts w:ascii="Candara" w:hAnsi="Candara"/>
          <w:i/>
        </w:rPr>
        <w:t>Web of Science</w:t>
      </w:r>
      <w:r w:rsidRPr="007713D8">
        <w:rPr>
          <w:rFonts w:ascii="Candara" w:hAnsi="Candara"/>
        </w:rPr>
        <w:t xml:space="preserve"> datubāzēs</w:t>
      </w:r>
      <w:r w:rsidR="00A92534">
        <w:rPr>
          <w:rFonts w:ascii="Candara" w:hAnsi="Candara"/>
        </w:rPr>
        <w:t xml:space="preserve"> (</w:t>
      </w:r>
      <w:r w:rsidR="000C4E3A">
        <w:rPr>
          <w:rFonts w:ascii="Candara" w:hAnsi="Candara"/>
        </w:rPr>
        <w:t>23</w:t>
      </w:r>
      <w:r w:rsidR="00A92534">
        <w:rPr>
          <w:rFonts w:ascii="Candara" w:hAnsi="Candara"/>
        </w:rPr>
        <w:t>.attēls)</w:t>
      </w:r>
      <w:r w:rsidRPr="007713D8">
        <w:rPr>
          <w:rFonts w:ascii="Candara" w:hAnsi="Candara"/>
        </w:rPr>
        <w:t xml:space="preserve">, var ievērot pozitīvu tendenci gan pēdējo 10 gadu griezumā, gan kopš 2013.gada (kad tika pieņemti zinātnes bāzes finansēšanas noteikumi). Starp 2013. un 2016.gadu kopējais publikāciju skaits ir pieaudzis par 10 % </w:t>
      </w:r>
      <w:r w:rsidRPr="007713D8">
        <w:rPr>
          <w:rFonts w:ascii="Candara" w:hAnsi="Candara"/>
          <w:i/>
        </w:rPr>
        <w:t>SCOPUS</w:t>
      </w:r>
      <w:r w:rsidRPr="007713D8">
        <w:rPr>
          <w:rFonts w:ascii="Candara" w:hAnsi="Candara"/>
        </w:rPr>
        <w:t xml:space="preserve"> un par 31 % </w:t>
      </w:r>
      <w:r w:rsidRPr="007713D8">
        <w:rPr>
          <w:rFonts w:ascii="Candara" w:hAnsi="Candara"/>
          <w:i/>
        </w:rPr>
        <w:t>Web of Science</w:t>
      </w:r>
      <w:r w:rsidRPr="007713D8">
        <w:rPr>
          <w:rFonts w:ascii="Candara" w:hAnsi="Candara"/>
        </w:rPr>
        <w:t xml:space="preserve"> datubāzē</w:t>
      </w:r>
      <w:r w:rsidR="001B61C0">
        <w:rPr>
          <w:rFonts w:ascii="Candara" w:hAnsi="Candara"/>
        </w:rPr>
        <w:t xml:space="preserve"> iekļautajos žurnālos</w:t>
      </w:r>
      <w:r w:rsidRPr="007713D8">
        <w:rPr>
          <w:rFonts w:ascii="Candara" w:hAnsi="Candara"/>
        </w:rPr>
        <w:t xml:space="preserve">. </w:t>
      </w:r>
      <w:r w:rsidR="00BA4331">
        <w:rPr>
          <w:rFonts w:ascii="Candara" w:hAnsi="Candara"/>
        </w:rPr>
        <w:t>P</w:t>
      </w:r>
      <w:r w:rsidRPr="007713D8">
        <w:rPr>
          <w:rFonts w:ascii="Candara" w:hAnsi="Candara"/>
        </w:rPr>
        <w:t>ozitīvi ir novērtējams, ka publikāciju skaits šajās datubāzēs</w:t>
      </w:r>
      <w:r w:rsidR="001B61C0">
        <w:rPr>
          <w:rFonts w:ascii="Candara" w:hAnsi="Candara"/>
        </w:rPr>
        <w:t xml:space="preserve"> iekļautos žurnālos</w:t>
      </w:r>
      <w:r w:rsidRPr="007713D8">
        <w:rPr>
          <w:rFonts w:ascii="Candara" w:hAnsi="Candara"/>
        </w:rPr>
        <w:t xml:space="preserve"> ir pieaudzis</w:t>
      </w:r>
      <w:r w:rsidR="001B61C0">
        <w:rPr>
          <w:rFonts w:ascii="Candara" w:hAnsi="Candara"/>
        </w:rPr>
        <w:t>,</w:t>
      </w:r>
      <w:r w:rsidRPr="007713D8">
        <w:rPr>
          <w:rFonts w:ascii="Candara" w:hAnsi="Candara"/>
        </w:rPr>
        <w:t xml:space="preserve"> pateicoties palielinājumam tieši zinātnisko žurnālu rakstu skaitam kā publikāciju veidam.</w:t>
      </w:r>
    </w:p>
    <w:p w:rsidR="0033472E" w:rsidRPr="00926349" w:rsidP="00B86F69" w14:paraId="5C203163" w14:textId="77777777">
      <w:pPr>
        <w:spacing w:after="0"/>
        <w:ind w:firstLine="426"/>
        <w:jc w:val="both"/>
        <w:rPr>
          <w:rFonts w:ascii="Candara" w:hAnsi="Candara"/>
        </w:rPr>
      </w:pPr>
      <w:r>
        <w:rPr>
          <w:noProof/>
          <w:lang w:eastAsia="lv-LV"/>
        </w:rPr>
        <w:drawing>
          <wp:anchor distT="0" distB="0" distL="114300" distR="114300" simplePos="0" relativeHeight="251701248" behindDoc="0" locked="0" layoutInCell="1" allowOverlap="1">
            <wp:simplePos x="0" y="0"/>
            <wp:positionH relativeFrom="margin">
              <wp:posOffset>5715</wp:posOffset>
            </wp:positionH>
            <wp:positionV relativeFrom="paragraph">
              <wp:posOffset>44450</wp:posOffset>
            </wp:positionV>
            <wp:extent cx="2828925" cy="1876425"/>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BA4331">
        <w:rPr>
          <w:rFonts w:ascii="Candara" w:hAnsi="Candara"/>
        </w:rPr>
        <w:t>Vienlaikus a</w:t>
      </w:r>
      <w:r>
        <w:rPr>
          <w:rFonts w:ascii="Candara" w:hAnsi="Candara"/>
        </w:rPr>
        <w:t xml:space="preserve">ugstu vērtējams ir tas, ka šis publikāciju skaita pieaugums nav noticis uz kvalitātes krituma </w:t>
      </w:r>
      <w:r w:rsidRPr="00926349">
        <w:rPr>
          <w:rFonts w:ascii="Candara" w:hAnsi="Candara"/>
        </w:rPr>
        <w:t>rēķina, ko parā</w:t>
      </w:r>
      <w:r w:rsidR="00D73C06">
        <w:rPr>
          <w:rFonts w:ascii="Candara" w:hAnsi="Candara"/>
        </w:rPr>
        <w:t>da publikāciju īpatsvars top 10</w:t>
      </w:r>
      <w:r w:rsidRPr="00926349">
        <w:rPr>
          <w:rFonts w:ascii="Candara" w:hAnsi="Candara"/>
        </w:rPr>
        <w:t>% zinātnisko žurnālu</w:t>
      </w:r>
      <w:r w:rsidR="00A65B70">
        <w:rPr>
          <w:rFonts w:ascii="Candara" w:hAnsi="Candara"/>
        </w:rPr>
        <w:t xml:space="preserve"> skaitā (</w:t>
      </w:r>
      <w:r w:rsidR="000C4E3A">
        <w:rPr>
          <w:rFonts w:ascii="Candara" w:hAnsi="Candara"/>
        </w:rPr>
        <w:t>2</w:t>
      </w:r>
      <w:r>
        <w:rPr>
          <w:rFonts w:ascii="Candara" w:hAnsi="Candara"/>
        </w:rPr>
        <w:t>4</w:t>
      </w:r>
      <w:r w:rsidR="006A6349">
        <w:rPr>
          <w:rFonts w:ascii="Candara" w:hAnsi="Candara"/>
        </w:rPr>
        <w:t>.attēls)</w:t>
      </w:r>
      <w:r w:rsidR="00BA4331">
        <w:rPr>
          <w:rFonts w:ascii="Candara" w:hAnsi="Candara"/>
        </w:rPr>
        <w:t>, kas pēdējo gadu laikā ir palielinājies</w:t>
      </w:r>
      <w:r w:rsidRPr="00926349">
        <w:rPr>
          <w:rFonts w:ascii="Candara" w:hAnsi="Candara"/>
        </w:rPr>
        <w:t>.</w:t>
      </w:r>
      <w:r>
        <w:rPr>
          <w:rStyle w:val="FootnoteReference"/>
          <w:rFonts w:ascii="Candara" w:hAnsi="Candara"/>
        </w:rPr>
        <w:footnoteReference w:id="18"/>
      </w:r>
      <w:r w:rsidR="00407D46">
        <w:rPr>
          <w:rFonts w:ascii="Candara" w:hAnsi="Candara"/>
        </w:rPr>
        <w:t xml:space="preserve"> Tas ļoti labi parāda Latvijas zinātnes nozares augsto kapacitāti, ja nozare spēj reaģēt uz ārējiem likumdošanas stimuliem</w:t>
      </w:r>
      <w:r w:rsidR="001B61C0">
        <w:rPr>
          <w:rFonts w:ascii="Candara" w:hAnsi="Candara"/>
        </w:rPr>
        <w:t>,</w:t>
      </w:r>
      <w:r w:rsidR="00407D46">
        <w:rPr>
          <w:rFonts w:ascii="Candara" w:hAnsi="Candara"/>
        </w:rPr>
        <w:t xml:space="preserve"> palielinot kvantitatīvi zinātnes rezultātu skaitu</w:t>
      </w:r>
      <w:r w:rsidR="001B61C0">
        <w:rPr>
          <w:rFonts w:ascii="Candara" w:hAnsi="Candara"/>
        </w:rPr>
        <w:t>,</w:t>
      </w:r>
      <w:r w:rsidR="00407D46">
        <w:rPr>
          <w:rFonts w:ascii="Candara" w:hAnsi="Candara"/>
        </w:rPr>
        <w:t xml:space="preserve"> nesamazinot (pat palielinot) kvalitāti.</w:t>
      </w:r>
    </w:p>
    <w:p w:rsidR="0033472E" w:rsidP="00B86F69" w14:paraId="5A1378FB" w14:textId="77777777">
      <w:pPr>
        <w:spacing w:after="0"/>
        <w:ind w:firstLine="426"/>
        <w:jc w:val="both"/>
        <w:rPr>
          <w:rFonts w:ascii="Candara" w:hAnsi="Candara"/>
        </w:rPr>
      </w:pPr>
      <w:r>
        <w:rPr>
          <w:noProof/>
          <w:lang w:eastAsia="lv-LV"/>
        </w:rPr>
        <w:drawing>
          <wp:anchor distT="0" distB="0" distL="114300" distR="114300" simplePos="0" relativeHeight="251703296" behindDoc="0" locked="0" layoutInCell="1" allowOverlap="1">
            <wp:simplePos x="0" y="0"/>
            <wp:positionH relativeFrom="margin">
              <wp:posOffset>3134360</wp:posOffset>
            </wp:positionH>
            <wp:positionV relativeFrom="paragraph">
              <wp:posOffset>634365</wp:posOffset>
            </wp:positionV>
            <wp:extent cx="3171825" cy="2247900"/>
            <wp:effectExtent l="0" t="0" r="0" b="0"/>
            <wp:wrapSquare wrapText="bothSides"/>
            <wp:docPr id="102627854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926349">
        <w:rPr>
          <w:rFonts w:ascii="Candara" w:hAnsi="Candara"/>
        </w:rPr>
        <w:t>Pēdējo gadu tendences parāda arī to, ka Latvijas publik</w:t>
      </w:r>
      <w:r>
        <w:rPr>
          <w:rFonts w:ascii="Candara" w:hAnsi="Candara"/>
        </w:rPr>
        <w:t>āciju skaita pieaugums ir straujākā tempā, salīdzinājumā ar ES vidējo rādītāju, ko apliecina tas, ka kopš 2007.gada Latvijas SCOPUS publikāciju daļa no ES kopskaita ir palielinājusies no 0,10 % līdz 0,21 % 2016.gadā.</w:t>
      </w:r>
      <w:r w:rsidR="00407D46">
        <w:rPr>
          <w:rFonts w:ascii="Candara" w:hAnsi="Candara"/>
        </w:rPr>
        <w:t xml:space="preserve"> Būtiska loma šim pieaugumam ir tajā, ka Latvija, līdzīgi kā citas ES jaunās dalībvalstis cenšas piedzīt Rietumeiropas līmeni, kas atspoguļojas arī zinātniskās darbības rezultātos</w:t>
      </w:r>
      <w:r w:rsidR="00A65B70">
        <w:rPr>
          <w:rFonts w:ascii="Candara" w:hAnsi="Candara"/>
        </w:rPr>
        <w:t xml:space="preserve"> (</w:t>
      </w:r>
      <w:r>
        <w:rPr>
          <w:rFonts w:ascii="Candara" w:hAnsi="Candara"/>
        </w:rPr>
        <w:t>25</w:t>
      </w:r>
      <w:r w:rsidR="00A92534">
        <w:rPr>
          <w:rFonts w:ascii="Candara" w:hAnsi="Candara"/>
        </w:rPr>
        <w:t>.attēls)</w:t>
      </w:r>
      <w:r w:rsidR="00407D46">
        <w:rPr>
          <w:rFonts w:ascii="Candara" w:hAnsi="Candara"/>
        </w:rPr>
        <w:t>.</w:t>
      </w:r>
    </w:p>
    <w:p w:rsidR="0033472E" w:rsidP="00B86F69" w14:paraId="3815231B" w14:textId="77777777">
      <w:pPr>
        <w:spacing w:after="0"/>
        <w:ind w:firstLine="426"/>
        <w:jc w:val="both"/>
        <w:rPr>
          <w:rFonts w:ascii="Candara" w:hAnsi="Candara"/>
        </w:rPr>
      </w:pPr>
      <w:r>
        <w:rPr>
          <w:rFonts w:ascii="Candara" w:hAnsi="Candara"/>
        </w:rPr>
        <w:t>Atsevišķi ir arī skatāms p</w:t>
      </w:r>
      <w:r w:rsidR="00437E17">
        <w:rPr>
          <w:rFonts w:ascii="Candara" w:hAnsi="Candara"/>
        </w:rPr>
        <w:t xml:space="preserve">ublikāciju skaita </w:t>
      </w:r>
      <w:r w:rsidRPr="00926349">
        <w:rPr>
          <w:rFonts w:ascii="Candara" w:hAnsi="Candara"/>
        </w:rPr>
        <w:t>salīdzinājums OECD 6 zinātnes nozaru</w:t>
      </w:r>
      <w:r>
        <w:rPr>
          <w:rFonts w:ascii="Candara" w:hAnsi="Candara"/>
        </w:rPr>
        <w:t xml:space="preserve"> grupu ietvaros, kur rezultāti parāda to, ka lielākajā daļā zinātņu nozaru ir pieaudzis publikāciju skaits straujākā tempā par ES vidējo līmeni, </w:t>
      </w:r>
      <w:r w:rsidR="00BD4C4B">
        <w:rPr>
          <w:rFonts w:ascii="Candara" w:hAnsi="Candara"/>
        </w:rPr>
        <w:t>vislabākos</w:t>
      </w:r>
      <w:r>
        <w:rPr>
          <w:rFonts w:ascii="Candara" w:hAnsi="Candara"/>
        </w:rPr>
        <w:t xml:space="preserve"> rezultātus iegūstot lauksaimniecības zinātnēs, inženierzinātnēs un dabaszinātnēs</w:t>
      </w:r>
      <w:r w:rsidR="00A65B70">
        <w:rPr>
          <w:rFonts w:ascii="Candara" w:hAnsi="Candara"/>
        </w:rPr>
        <w:t xml:space="preserve"> (26</w:t>
      </w:r>
      <w:r w:rsidR="00A92534">
        <w:rPr>
          <w:rFonts w:ascii="Candara" w:hAnsi="Candara"/>
        </w:rPr>
        <w:t>.attēls)</w:t>
      </w:r>
      <w:r>
        <w:rPr>
          <w:rFonts w:ascii="Candara" w:hAnsi="Candara"/>
        </w:rPr>
        <w:t>.</w:t>
      </w:r>
    </w:p>
    <w:p w:rsidR="00D73C06" w:rsidP="00DF46E9" w14:paraId="1DF08832" w14:textId="77777777">
      <w:pPr>
        <w:spacing w:after="0"/>
        <w:jc w:val="both"/>
        <w:rPr>
          <w:rFonts w:ascii="Candara" w:hAnsi="Candara"/>
        </w:rPr>
      </w:pPr>
    </w:p>
    <w:p w:rsidR="0097720F" w:rsidP="00DF46E9" w14:paraId="2FA5A149" w14:textId="77777777">
      <w:pPr>
        <w:spacing w:after="0"/>
        <w:jc w:val="both"/>
        <w:rPr>
          <w:rFonts w:ascii="Candara" w:hAnsi="Candara"/>
        </w:rPr>
      </w:pPr>
      <w:r>
        <w:rPr>
          <w:noProof/>
          <w:lang w:eastAsia="lv-LV"/>
        </w:rPr>
        <w:drawing>
          <wp:inline distT="0" distB="0" distL="0" distR="0">
            <wp:extent cx="5553075" cy="2124075"/>
            <wp:effectExtent l="0" t="0" r="0" b="0"/>
            <wp:docPr id="457592622"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73C06" w:rsidP="00E06C6C" w14:paraId="00292D10" w14:textId="77777777">
      <w:pPr>
        <w:spacing w:after="0"/>
        <w:jc w:val="both"/>
        <w:rPr>
          <w:rFonts w:ascii="Candara" w:hAnsi="Candara"/>
        </w:rPr>
      </w:pPr>
    </w:p>
    <w:p w:rsidR="00E06C6C" w:rsidP="00B86F69" w14:paraId="46B2737D" w14:textId="77777777">
      <w:pPr>
        <w:spacing w:after="0"/>
        <w:ind w:firstLine="426"/>
        <w:jc w:val="both"/>
        <w:rPr>
          <w:rFonts w:ascii="Candara" w:hAnsi="Candara"/>
          <w:color w:val="000000"/>
        </w:rPr>
      </w:pPr>
      <w:r w:rsidRPr="00BF333F">
        <w:rPr>
          <w:rFonts w:ascii="Candara" w:hAnsi="Candara"/>
        </w:rPr>
        <w:t xml:space="preserve">Kopumā ar Latvijas </w:t>
      </w:r>
      <w:r w:rsidR="00D73C06">
        <w:rPr>
          <w:rFonts w:ascii="Candara" w:hAnsi="Candara"/>
        </w:rPr>
        <w:t>pārstāvju līdzdalību līdz 2017.gada 28.</w:t>
      </w:r>
      <w:r w:rsidRPr="00BF333F">
        <w:rPr>
          <w:rFonts w:ascii="Candara" w:hAnsi="Candara"/>
        </w:rPr>
        <w:t xml:space="preserve">februārim </w:t>
      </w:r>
      <w:r w:rsidRPr="00D53AE5">
        <w:rPr>
          <w:rFonts w:ascii="Candara" w:hAnsi="Candara"/>
          <w:b/>
        </w:rPr>
        <w:t>ES ietvarprogrammā “Apvārsnis 2020”</w:t>
      </w:r>
      <w:r w:rsidRPr="00BF333F">
        <w:rPr>
          <w:rFonts w:ascii="Candara" w:hAnsi="Candara"/>
        </w:rPr>
        <w:t xml:space="preserve"> ir </w:t>
      </w:r>
      <w:r w:rsidRPr="0097720F">
        <w:rPr>
          <w:rFonts w:ascii="Candara" w:hAnsi="Candara"/>
        </w:rPr>
        <w:t>iesniegti 1114 projektu pieteikumi ar 1392 Latvijas pā</w:t>
      </w:r>
      <w:r>
        <w:rPr>
          <w:rFonts w:ascii="Candara" w:hAnsi="Candara"/>
        </w:rPr>
        <w:t>rstāvju dalībām, no kuriem virs</w:t>
      </w:r>
      <w:r w:rsidRPr="0097720F">
        <w:rPr>
          <w:rFonts w:ascii="Candara" w:hAnsi="Candara"/>
        </w:rPr>
        <w:t xml:space="preserve">sliekšņa </w:t>
      </w:r>
      <w:r>
        <w:rPr>
          <w:rFonts w:ascii="Candara" w:hAnsi="Candara"/>
        </w:rPr>
        <w:t xml:space="preserve">kvalitātes </w:t>
      </w:r>
      <w:r w:rsidRPr="0097720F">
        <w:rPr>
          <w:rFonts w:ascii="Candara" w:hAnsi="Candara"/>
        </w:rPr>
        <w:t>novērtējumu saņēmuši vairāk nekā 400 projekti</w:t>
      </w:r>
      <w:r>
        <w:rPr>
          <w:rFonts w:ascii="Candara" w:hAnsi="Candara"/>
        </w:rPr>
        <w:t xml:space="preserve"> (36% no kopumā iesniegtajiem)</w:t>
      </w:r>
      <w:r w:rsidRPr="0097720F">
        <w:rPr>
          <w:rFonts w:ascii="Candara" w:hAnsi="Candara"/>
        </w:rPr>
        <w:t xml:space="preserve">, bet līgums par īstenošanu noslēgts 131 </w:t>
      </w:r>
      <w:r>
        <w:rPr>
          <w:rFonts w:ascii="Candara" w:hAnsi="Candara"/>
        </w:rPr>
        <w:t>iesniegtajam projektam par kopējo summu 35,22 MEUR</w:t>
      </w:r>
      <w:r w:rsidR="00A92534">
        <w:rPr>
          <w:rFonts w:ascii="Candara" w:hAnsi="Candara"/>
        </w:rPr>
        <w:t xml:space="preserve"> (</w:t>
      </w:r>
      <w:r w:rsidR="00427480">
        <w:rPr>
          <w:rFonts w:ascii="Candara" w:hAnsi="Candara"/>
        </w:rPr>
        <w:t>4</w:t>
      </w:r>
      <w:r w:rsidR="00A65B70">
        <w:rPr>
          <w:rFonts w:ascii="Candara" w:hAnsi="Candara"/>
        </w:rPr>
        <w:t>2</w:t>
      </w:r>
      <w:r w:rsidR="00A92534">
        <w:rPr>
          <w:rFonts w:ascii="Candara" w:hAnsi="Candara"/>
        </w:rPr>
        <w:t>.attēls.</w:t>
      </w:r>
      <w:r w:rsidRPr="0097720F">
        <w:rPr>
          <w:rFonts w:ascii="Candara" w:hAnsi="Candara"/>
        </w:rPr>
        <w:t xml:space="preserve">). </w:t>
      </w:r>
      <w:r>
        <w:rPr>
          <w:rFonts w:ascii="Candara" w:hAnsi="Candara"/>
        </w:rPr>
        <w:t xml:space="preserve">Tādējādi sākotnēji secināms, ka ievērojot, ka </w:t>
      </w:r>
      <w:r w:rsidRPr="00BD4C4B">
        <w:rPr>
          <w:rFonts w:ascii="Candara" w:hAnsi="Candara"/>
          <w:b/>
        </w:rPr>
        <w:t>Latvijas sekmības rādītājs dalībai programmā “Apvārsnis 2020”</w:t>
      </w:r>
      <w:r>
        <w:rPr>
          <w:rFonts w:ascii="Candara" w:hAnsi="Candara"/>
        </w:rPr>
        <w:t xml:space="preserve"> ir </w:t>
      </w:r>
      <w:r w:rsidRPr="00251279">
        <w:rPr>
          <w:rFonts w:ascii="Candara" w:hAnsi="Candara"/>
          <w:b/>
        </w:rPr>
        <w:t>12,</w:t>
      </w:r>
      <w:r>
        <w:rPr>
          <w:rFonts w:ascii="Candara" w:hAnsi="Candara"/>
          <w:b/>
        </w:rPr>
        <w:t>5</w:t>
      </w:r>
      <w:r w:rsidRPr="00251279">
        <w:rPr>
          <w:rFonts w:ascii="Candara" w:hAnsi="Candara"/>
          <w:b/>
        </w:rPr>
        <w:t>7%</w:t>
      </w:r>
      <w:r>
        <w:rPr>
          <w:rFonts w:ascii="Candara" w:hAnsi="Candara"/>
          <w:b/>
        </w:rPr>
        <w:t xml:space="preserve"> </w:t>
      </w:r>
      <w:r w:rsidRPr="00BF333F">
        <w:rPr>
          <w:rFonts w:ascii="Candara" w:hAnsi="Candara"/>
        </w:rPr>
        <w:t>(</w:t>
      </w:r>
      <w:r w:rsidR="00A65B70">
        <w:rPr>
          <w:rFonts w:ascii="Candara" w:hAnsi="Candara"/>
        </w:rPr>
        <w:t>43</w:t>
      </w:r>
      <w:r w:rsidR="00A92534">
        <w:rPr>
          <w:rFonts w:ascii="Candara" w:hAnsi="Candara"/>
        </w:rPr>
        <w:t>.attēls</w:t>
      </w:r>
      <w:r w:rsidRPr="00BF333F">
        <w:rPr>
          <w:rFonts w:ascii="Candara" w:hAnsi="Candara"/>
        </w:rPr>
        <w:t>)</w:t>
      </w:r>
      <w:r>
        <w:rPr>
          <w:rFonts w:ascii="Candara" w:hAnsi="Candara"/>
        </w:rPr>
        <w:t>, ZTAI pamatnostādnēs plānotā dinamika uz augstāku sekmību (un tādējādi lielāku programmas finansējuma piesaisti) netiek nodrošināta tai paredzētajā apmērā. Tomēr būtiski pieminēt, ka rādītāja sasniegšanu ietekmē vairāki ārējie faktori, proti, kopējā augstā konkurence</w:t>
      </w:r>
      <w:r>
        <w:t xml:space="preserve"> </w:t>
      </w:r>
      <w:r>
        <w:rPr>
          <w:rFonts w:ascii="Candara" w:hAnsi="Candara"/>
        </w:rPr>
        <w:t>un ierobežotais pieejamais finansējums</w:t>
      </w:r>
      <w:r>
        <w:rPr>
          <w:rStyle w:val="FootnoteReference"/>
          <w:rFonts w:ascii="Candara" w:hAnsi="Candara"/>
        </w:rPr>
        <w:footnoteReference w:id="19"/>
      </w:r>
      <w:r>
        <w:rPr>
          <w:rFonts w:ascii="Candara" w:hAnsi="Candara"/>
        </w:rPr>
        <w:t>, kas paredzēts programmas “Apvārsnis 2020” īstenošanai. Kopumā vidējā</w:t>
      </w:r>
      <w:r w:rsidRPr="00251279">
        <w:rPr>
          <w:rFonts w:ascii="Candara" w:hAnsi="Candara"/>
        </w:rPr>
        <w:t xml:space="preserve"> projektu pieteikumu sekmīb</w:t>
      </w:r>
      <w:r>
        <w:rPr>
          <w:rFonts w:ascii="Candara" w:hAnsi="Candara"/>
        </w:rPr>
        <w:t>a</w:t>
      </w:r>
      <w:r w:rsidRPr="00251279">
        <w:rPr>
          <w:rFonts w:ascii="Candara" w:hAnsi="Candara"/>
        </w:rPr>
        <w:t xml:space="preserve"> programmā “Apvārsnis 2020” </w:t>
      </w:r>
      <w:r>
        <w:rPr>
          <w:rFonts w:ascii="Candara" w:hAnsi="Candara"/>
        </w:rPr>
        <w:t>saskaņā ar</w:t>
      </w:r>
      <w:r w:rsidRPr="00251279">
        <w:rPr>
          <w:rFonts w:ascii="Candara" w:hAnsi="Candara"/>
        </w:rPr>
        <w:t xml:space="preserve"> </w:t>
      </w:r>
      <w:r>
        <w:rPr>
          <w:rFonts w:ascii="Candara" w:hAnsi="Candara"/>
        </w:rPr>
        <w:t xml:space="preserve">eCORDA datiem ir </w:t>
      </w:r>
      <w:r w:rsidRPr="00251279">
        <w:rPr>
          <w:rFonts w:ascii="Candara" w:hAnsi="Candara"/>
        </w:rPr>
        <w:t>12.17%</w:t>
      </w:r>
      <w:r>
        <w:rPr>
          <w:rFonts w:ascii="Candara" w:hAnsi="Candara"/>
        </w:rPr>
        <w:t xml:space="preserve">, kas norāda, ka Latvijas sniegums ir līdzvērtīgs un pat nedaudz augstāks kā vidēji ES. Savukārt, izstrādājot </w:t>
      </w:r>
      <w:r w:rsidRPr="00251279">
        <w:rPr>
          <w:rFonts w:ascii="Candara" w:hAnsi="Candara"/>
        </w:rPr>
        <w:t>ZTAI pamatnostādnēs ietvertos politikas rezultātu mērķu sasniegšanas rādītājus</w:t>
      </w:r>
      <w:r>
        <w:rPr>
          <w:rFonts w:ascii="Candara" w:hAnsi="Candara"/>
        </w:rPr>
        <w:t xml:space="preserve">, tika ņemts vērā, ka </w:t>
      </w:r>
      <w:r w:rsidRPr="00251279">
        <w:rPr>
          <w:rFonts w:ascii="Candara" w:hAnsi="Candara"/>
        </w:rPr>
        <w:t>7.IP Latvijas pārstāvju sekmība proj</w:t>
      </w:r>
      <w:r>
        <w:rPr>
          <w:rFonts w:ascii="Candara" w:hAnsi="Candara"/>
        </w:rPr>
        <w:t xml:space="preserve">ektu konkursos sasniedza 21.3% un </w:t>
      </w:r>
      <w:r w:rsidRPr="00251279">
        <w:rPr>
          <w:rFonts w:ascii="Candara" w:hAnsi="Candara"/>
        </w:rPr>
        <w:t>vidējā sekmība 7.IP programmas ietvaros bija 21,8</w:t>
      </w:r>
      <w:r>
        <w:rPr>
          <w:rFonts w:ascii="Candara" w:hAnsi="Candara"/>
        </w:rPr>
        <w:t>%</w:t>
      </w:r>
      <w:r w:rsidRPr="00251279">
        <w:rPr>
          <w:rFonts w:ascii="Candara" w:hAnsi="Candara"/>
        </w:rPr>
        <w:t>.</w:t>
      </w:r>
      <w:r>
        <w:rPr>
          <w:rFonts w:ascii="Candara" w:hAnsi="Candara"/>
        </w:rPr>
        <w:t xml:space="preserve">  </w:t>
      </w:r>
      <w:r w:rsidR="00BD4C4B">
        <w:rPr>
          <w:rFonts w:ascii="Candara" w:hAnsi="Candara"/>
          <w:color w:val="000000"/>
        </w:rPr>
        <w:t>Vienlaikus, analizējot Latvijas sekmes programmā “Apvārsnis 2020”, būtiski pievērst uzmanību ne tikai Latvijas sniegumam reģionālā mērogā, bet arī kopumā visu ES dalībvalstu konkurences ietvaros. Saskaņā eCorda datiem, ES-13 dalībvalstis gan 7.IP, gan programmas “Apvārsnis 2020” līdzšinējās</w:t>
      </w:r>
      <w:r w:rsidRPr="00012FFE" w:rsidR="00BD4C4B">
        <w:rPr>
          <w:rFonts w:ascii="Candara" w:hAnsi="Candara"/>
          <w:color w:val="000000"/>
        </w:rPr>
        <w:t xml:space="preserve"> </w:t>
      </w:r>
      <w:r w:rsidR="00BD4C4B">
        <w:rPr>
          <w:rFonts w:ascii="Candara" w:hAnsi="Candara"/>
          <w:color w:val="000000"/>
        </w:rPr>
        <w:t>īstenošanas laikā</w:t>
      </w:r>
      <w:r w:rsidR="002231F4">
        <w:rPr>
          <w:rFonts w:ascii="Candara" w:hAnsi="Candara"/>
          <w:color w:val="000000"/>
        </w:rPr>
        <w:t>,</w:t>
      </w:r>
      <w:r w:rsidR="00BD4C4B">
        <w:rPr>
          <w:rFonts w:ascii="Candara" w:hAnsi="Candara"/>
          <w:color w:val="000000"/>
        </w:rPr>
        <w:t xml:space="preserve"> kopumā ir saņēmušas mazāk kā 5% no kopējā ietvarprogrammām paredzētā finansējuma (Latvija – 0,1% gan 7.IP, gan programmā “Apvārsnis 2020”)</w:t>
      </w:r>
      <w:r>
        <w:rPr>
          <w:rStyle w:val="FootnoteReference"/>
          <w:rFonts w:ascii="Candara" w:hAnsi="Candara"/>
          <w:color w:val="000000"/>
        </w:rPr>
        <w:footnoteReference w:id="20"/>
      </w:r>
      <w:r w:rsidR="00BD4C4B">
        <w:rPr>
          <w:rFonts w:ascii="Candara" w:hAnsi="Candara"/>
          <w:color w:val="000000"/>
        </w:rPr>
        <w:t xml:space="preserve">. Zemā ES-13 dalībvalstu performance cita starpā tiek skaidrota arī ievērojot publiskā finansējuma P&amp;A salīdzinoši zemo piešķīrumu ES-13 valstīs (salīdzinot ar ES-15), kas būtiski kavē kritiskās masas izveidi </w:t>
      </w:r>
      <w:r w:rsidR="00A15392">
        <w:rPr>
          <w:rFonts w:ascii="Candara" w:hAnsi="Candara"/>
          <w:color w:val="000000"/>
        </w:rPr>
        <w:t>pētniecības izcilībā</w:t>
      </w:r>
      <w:r w:rsidR="00BD4C4B">
        <w:rPr>
          <w:rFonts w:ascii="Candara" w:hAnsi="Candara"/>
          <w:color w:val="000000"/>
        </w:rPr>
        <w:t>. Savukārt zinātniskā izcilība programmas “Apvārsnis 2020” projektā pieteiktajā pētniecībā ir galvenais ES ietvarprogrammu projektu pieteikumu vērtēšanas kritērijs.</w:t>
      </w:r>
    </w:p>
    <w:p w:rsidR="00D73C06" w:rsidP="00E06C6C" w14:paraId="4705507D" w14:textId="77777777">
      <w:pPr>
        <w:spacing w:after="0"/>
        <w:jc w:val="both"/>
        <w:rPr>
          <w:rFonts w:ascii="Candara" w:hAnsi="Candara"/>
        </w:rPr>
      </w:pPr>
    </w:p>
    <w:p w:rsidR="008B2C92" w:rsidRPr="00921BC7" w:rsidP="00B86F69" w14:paraId="31ED979D" w14:textId="77777777">
      <w:pPr>
        <w:spacing w:after="60" w:line="240" w:lineRule="auto"/>
        <w:jc w:val="center"/>
        <w:rPr>
          <w:rFonts w:ascii="Candara" w:hAnsi="Candara"/>
          <w:b/>
        </w:rPr>
      </w:pPr>
      <w:bookmarkEnd w:id="43"/>
      <w:bookmarkEnd w:id="44"/>
      <w:r>
        <w:rPr>
          <w:rFonts w:ascii="Candara" w:hAnsi="Candara"/>
          <w:b/>
        </w:rPr>
        <w:t>27</w:t>
      </w:r>
      <w:r w:rsidR="00A92534">
        <w:rPr>
          <w:rFonts w:ascii="Candara" w:hAnsi="Candara"/>
          <w:b/>
        </w:rPr>
        <w:t xml:space="preserve">.attēls. </w:t>
      </w:r>
      <w:r w:rsidRPr="00921BC7">
        <w:rPr>
          <w:rFonts w:ascii="Candara" w:hAnsi="Candara"/>
          <w:b/>
        </w:rPr>
        <w:t>Nacionālās industriālās politikas pamatnostādnēs 2014.</w:t>
      </w:r>
      <w:r w:rsidR="00D61998">
        <w:rPr>
          <w:rFonts w:ascii="Candara" w:hAnsi="Candara"/>
          <w:b/>
        </w:rPr>
        <w:t xml:space="preserve"> – </w:t>
      </w:r>
      <w:r w:rsidRPr="00921BC7">
        <w:rPr>
          <w:rFonts w:ascii="Candara" w:hAnsi="Candara"/>
          <w:b/>
        </w:rPr>
        <w:t xml:space="preserve">2020.gadam noteiktie </w:t>
      </w:r>
      <w:r w:rsidR="00B86F69">
        <w:rPr>
          <w:rFonts w:ascii="Candara" w:hAnsi="Candara"/>
          <w:b/>
        </w:rPr>
        <w:br/>
      </w:r>
      <w:r w:rsidRPr="00921BC7">
        <w:rPr>
          <w:rFonts w:ascii="Candara" w:hAnsi="Candara"/>
          <w:b/>
        </w:rPr>
        <w:t>politikas rezultātu sasniegšanas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3"/>
        <w:gridCol w:w="1309"/>
        <w:gridCol w:w="1035"/>
        <w:gridCol w:w="1172"/>
        <w:gridCol w:w="1172"/>
        <w:gridCol w:w="1172"/>
      </w:tblGrid>
      <w:tr w14:paraId="4764E2AE" w14:textId="77777777" w:rsidTr="008B2C92">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2045" w:type="pct"/>
            <w:shd w:val="clear" w:color="auto" w:fill="6D1D6B" w:themeFill="accent1" w:themeFillShade="BF"/>
            <w:vAlign w:val="center"/>
          </w:tcPr>
          <w:p w:rsidR="008B2C92" w:rsidRPr="005E3C17" w:rsidP="00CF3F47" w14:paraId="02DE3177" w14:textId="77777777">
            <w:pPr>
              <w:pStyle w:val="TableText"/>
              <w:spacing w:before="60" w:after="60"/>
              <w:jc w:val="center"/>
              <w:rPr>
                <w:rFonts w:ascii="Candara" w:hAnsi="Candara"/>
                <w:b/>
                <w:color w:val="FFFFFF" w:themeColor="background1"/>
                <w:spacing w:val="-8"/>
                <w:sz w:val="20"/>
                <w:szCs w:val="18"/>
                <w:lang w:bidi="lo-LA"/>
              </w:rPr>
            </w:pPr>
            <w:r>
              <w:rPr>
                <w:rFonts w:ascii="Candara" w:hAnsi="Candara"/>
                <w:b/>
                <w:color w:val="FFFFFF" w:themeColor="background1"/>
                <w:spacing w:val="-8"/>
                <w:sz w:val="20"/>
                <w:szCs w:val="18"/>
                <w:lang w:bidi="lo-LA"/>
              </w:rPr>
              <w:t xml:space="preserve">NIP </w:t>
            </w:r>
            <w:r w:rsidRPr="005E3C17">
              <w:rPr>
                <w:rFonts w:ascii="Candara" w:hAnsi="Candara"/>
                <w:b/>
                <w:color w:val="FFFFFF" w:themeColor="background1"/>
                <w:spacing w:val="-8"/>
                <w:sz w:val="20"/>
                <w:szCs w:val="18"/>
                <w:lang w:bidi="lo-LA"/>
              </w:rPr>
              <w:t>politikas rez</w:t>
            </w:r>
            <w:r>
              <w:rPr>
                <w:rFonts w:ascii="Candara" w:hAnsi="Candara"/>
                <w:b/>
                <w:color w:val="FFFFFF" w:themeColor="background1"/>
                <w:spacing w:val="-8"/>
                <w:sz w:val="20"/>
                <w:szCs w:val="18"/>
                <w:lang w:bidi="lo-LA"/>
              </w:rPr>
              <w:t>ultatīvie rādītāji</w:t>
            </w:r>
          </w:p>
        </w:tc>
        <w:tc>
          <w:tcPr>
            <w:tcW w:w="660" w:type="pct"/>
            <w:shd w:val="clear" w:color="auto" w:fill="6D1D6B" w:themeFill="accent1" w:themeFillShade="BF"/>
            <w:vAlign w:val="center"/>
          </w:tcPr>
          <w:p w:rsidR="008B2C92" w:rsidRPr="005E3C17" w:rsidP="00CF3F47" w14:paraId="211C4406" w14:textId="77777777">
            <w:pPr>
              <w:pStyle w:val="TableText"/>
              <w:spacing w:before="60" w:after="60"/>
              <w:jc w:val="center"/>
              <w:rPr>
                <w:rFonts w:ascii="Candara" w:hAnsi="Candara"/>
                <w:b/>
                <w:color w:val="FFFFFF" w:themeColor="background1"/>
                <w:spacing w:val="-8"/>
                <w:sz w:val="20"/>
                <w:szCs w:val="18"/>
              </w:rPr>
            </w:pPr>
            <w:r w:rsidRPr="005E3C17">
              <w:rPr>
                <w:rFonts w:ascii="Candara" w:hAnsi="Candara"/>
                <w:b/>
                <w:color w:val="FFFFFF" w:themeColor="background1"/>
                <w:spacing w:val="-8"/>
                <w:sz w:val="20"/>
                <w:szCs w:val="18"/>
              </w:rPr>
              <w:t>Bāzes vērtība</w:t>
            </w:r>
          </w:p>
          <w:p w:rsidR="008B2C92" w:rsidRPr="005E3C17" w:rsidP="00CF3F47" w14:paraId="546A70F3" w14:textId="77777777">
            <w:pPr>
              <w:pStyle w:val="TableText"/>
              <w:spacing w:before="60" w:after="60"/>
              <w:jc w:val="center"/>
              <w:rPr>
                <w:rFonts w:ascii="Candara" w:hAnsi="Candara"/>
                <w:b/>
                <w:color w:val="FFFFFF" w:themeColor="background1"/>
                <w:spacing w:val="-8"/>
                <w:sz w:val="20"/>
                <w:szCs w:val="18"/>
              </w:rPr>
            </w:pPr>
            <w:r w:rsidRPr="005E3C17">
              <w:rPr>
                <w:rFonts w:ascii="Candara" w:hAnsi="Candara"/>
                <w:b/>
                <w:color w:val="FFFFFF" w:themeColor="background1"/>
                <w:spacing w:val="-8"/>
                <w:sz w:val="20"/>
                <w:szCs w:val="18"/>
              </w:rPr>
              <w:t>(gads)</w:t>
            </w:r>
          </w:p>
        </w:tc>
        <w:tc>
          <w:tcPr>
            <w:tcW w:w="522" w:type="pct"/>
            <w:shd w:val="clear" w:color="auto" w:fill="6D1D6B" w:themeFill="accent1" w:themeFillShade="BF"/>
            <w:vAlign w:val="center"/>
          </w:tcPr>
          <w:p w:rsidR="008B2C92" w:rsidP="00CF3F47" w14:paraId="127BF1CC" w14:textId="77777777">
            <w:pPr>
              <w:pStyle w:val="TableText"/>
              <w:spacing w:before="60" w:after="60"/>
              <w:jc w:val="center"/>
              <w:rPr>
                <w:rFonts w:ascii="Candara" w:hAnsi="Candara"/>
                <w:b/>
                <w:color w:val="FFFFFF" w:themeColor="background1"/>
                <w:spacing w:val="-8"/>
                <w:sz w:val="20"/>
                <w:szCs w:val="18"/>
              </w:rPr>
            </w:pPr>
            <w:r>
              <w:rPr>
                <w:rFonts w:ascii="Candara" w:hAnsi="Candara"/>
                <w:b/>
                <w:color w:val="FFFFFF" w:themeColor="background1"/>
                <w:spacing w:val="-8"/>
                <w:sz w:val="20"/>
                <w:szCs w:val="18"/>
              </w:rPr>
              <w:t>2016</w:t>
            </w:r>
          </w:p>
          <w:p w:rsidR="008B2C92" w:rsidRPr="005E3C17" w:rsidP="00CF3F47" w14:paraId="37F7D895" w14:textId="77777777">
            <w:pPr>
              <w:pStyle w:val="TableText"/>
              <w:spacing w:before="60" w:after="60"/>
              <w:jc w:val="center"/>
              <w:rPr>
                <w:rFonts w:ascii="Candara" w:hAnsi="Candara"/>
                <w:b/>
                <w:color w:val="FFFFFF" w:themeColor="background1"/>
                <w:spacing w:val="-8"/>
                <w:sz w:val="20"/>
                <w:szCs w:val="18"/>
              </w:rPr>
            </w:pPr>
            <w:r>
              <w:rPr>
                <w:rFonts w:ascii="Candara" w:hAnsi="Candara"/>
                <w:b/>
                <w:color w:val="FFFFFF" w:themeColor="background1"/>
                <w:spacing w:val="-8"/>
                <w:sz w:val="20"/>
                <w:szCs w:val="18"/>
              </w:rPr>
              <w:t>Mērķis</w:t>
            </w:r>
          </w:p>
        </w:tc>
        <w:tc>
          <w:tcPr>
            <w:tcW w:w="591" w:type="pct"/>
            <w:shd w:val="clear" w:color="auto" w:fill="C00000"/>
            <w:vAlign w:val="center"/>
          </w:tcPr>
          <w:p w:rsidR="008B2C92" w:rsidRPr="005E3C17" w:rsidP="00CF3F47" w14:paraId="3A3C8BD2" w14:textId="77777777">
            <w:pPr>
              <w:pStyle w:val="TableText"/>
              <w:spacing w:before="60" w:after="60"/>
              <w:jc w:val="center"/>
              <w:rPr>
                <w:rFonts w:ascii="Candara" w:hAnsi="Candara"/>
                <w:b/>
                <w:color w:val="FFFFFF" w:themeColor="background1"/>
                <w:spacing w:val="-8"/>
                <w:sz w:val="20"/>
                <w:szCs w:val="18"/>
              </w:rPr>
            </w:pPr>
            <w:r>
              <w:rPr>
                <w:rFonts w:ascii="Candara" w:hAnsi="Candara"/>
                <w:b/>
                <w:color w:val="FFFFFF" w:themeColor="background1"/>
                <w:spacing w:val="-8"/>
                <w:sz w:val="20"/>
                <w:szCs w:val="18"/>
              </w:rPr>
              <w:t>Fakts</w:t>
            </w:r>
          </w:p>
        </w:tc>
        <w:tc>
          <w:tcPr>
            <w:tcW w:w="591" w:type="pct"/>
            <w:shd w:val="clear" w:color="auto" w:fill="C00000"/>
            <w:vAlign w:val="center"/>
          </w:tcPr>
          <w:p w:rsidR="008B2C92" w:rsidRPr="005E3C17" w:rsidP="00CF3F47" w14:paraId="3FCCB9E7" w14:textId="77777777">
            <w:pPr>
              <w:pStyle w:val="TableText"/>
              <w:spacing w:before="60" w:after="60"/>
              <w:jc w:val="center"/>
              <w:rPr>
                <w:rFonts w:ascii="Candara" w:hAnsi="Candara"/>
                <w:b/>
                <w:color w:val="FFFFFF" w:themeColor="background1"/>
                <w:spacing w:val="-8"/>
                <w:sz w:val="20"/>
                <w:szCs w:val="18"/>
              </w:rPr>
            </w:pPr>
            <w:r>
              <w:rPr>
                <w:rFonts w:ascii="Candara" w:hAnsi="Candara"/>
                <w:b/>
                <w:color w:val="FFFFFF" w:themeColor="background1"/>
                <w:spacing w:val="-8"/>
                <w:sz w:val="20"/>
                <w:szCs w:val="18"/>
              </w:rPr>
              <w:t>Progress</w:t>
            </w:r>
          </w:p>
        </w:tc>
        <w:tc>
          <w:tcPr>
            <w:tcW w:w="591" w:type="pct"/>
            <w:shd w:val="clear" w:color="auto" w:fill="6D1D6B" w:themeFill="accent1" w:themeFillShade="BF"/>
            <w:vAlign w:val="center"/>
          </w:tcPr>
          <w:p w:rsidR="008B2C92" w:rsidRPr="005E3C17" w:rsidP="00CF3F47" w14:paraId="2C0498C1" w14:textId="77777777">
            <w:pPr>
              <w:pStyle w:val="TableText"/>
              <w:spacing w:before="60" w:after="60"/>
              <w:jc w:val="center"/>
              <w:rPr>
                <w:rFonts w:ascii="Candara" w:hAnsi="Candara"/>
                <w:b/>
                <w:color w:val="FFFFFF" w:themeColor="background1"/>
                <w:spacing w:val="-8"/>
                <w:sz w:val="20"/>
                <w:szCs w:val="18"/>
              </w:rPr>
            </w:pPr>
            <w:r w:rsidRPr="005E3C17">
              <w:rPr>
                <w:rFonts w:ascii="Candara" w:hAnsi="Candara"/>
                <w:b/>
                <w:color w:val="FFFFFF" w:themeColor="background1"/>
                <w:spacing w:val="-8"/>
                <w:sz w:val="20"/>
                <w:szCs w:val="18"/>
              </w:rPr>
              <w:t>2020</w:t>
            </w:r>
          </w:p>
        </w:tc>
      </w:tr>
      <w:tr w14:paraId="392C77C5" w14:textId="77777777" w:rsidTr="008B2C92">
        <w:tblPrEx>
          <w:tblW w:w="5000" w:type="pct"/>
          <w:tblLook w:val="00A0"/>
        </w:tblPrEx>
        <w:tc>
          <w:tcPr>
            <w:tcW w:w="2045" w:type="pct"/>
          </w:tcPr>
          <w:p w:rsidR="008B2C92" w:rsidRPr="005E3C17" w:rsidP="00CF3F47" w14:paraId="0458FA64" w14:textId="77777777">
            <w:pPr>
              <w:pStyle w:val="TableText"/>
              <w:spacing w:before="60" w:after="60"/>
              <w:jc w:val="left"/>
              <w:rPr>
                <w:rFonts w:ascii="Candara" w:hAnsi="Candara"/>
                <w:color w:val="000000" w:themeColor="text1"/>
                <w:spacing w:val="-8"/>
                <w:sz w:val="20"/>
                <w:szCs w:val="18"/>
                <w:lang w:bidi="lo-LA"/>
              </w:rPr>
            </w:pPr>
            <w:r>
              <w:rPr>
                <w:rFonts w:ascii="Candara" w:hAnsi="Candara"/>
                <w:color w:val="000000" w:themeColor="text1"/>
                <w:spacing w:val="-8"/>
                <w:sz w:val="20"/>
                <w:szCs w:val="18"/>
                <w:lang w:bidi="lo-LA"/>
              </w:rPr>
              <w:t>A</w:t>
            </w:r>
            <w:r w:rsidRPr="006E1EE8">
              <w:rPr>
                <w:rFonts w:ascii="Candara" w:hAnsi="Candara"/>
                <w:color w:val="000000" w:themeColor="text1"/>
                <w:spacing w:val="-8"/>
                <w:sz w:val="20"/>
                <w:szCs w:val="18"/>
                <w:lang w:bidi="lo-LA"/>
              </w:rPr>
              <w:t>pstrādes rūpniecības īpatsvars iekšzemes kopproduktā</w:t>
            </w:r>
            <w:r w:rsidRPr="005E3C17">
              <w:rPr>
                <w:rFonts w:ascii="Candara" w:hAnsi="Candara"/>
                <w:color w:val="000000" w:themeColor="text1"/>
                <w:spacing w:val="-8"/>
                <w:sz w:val="20"/>
                <w:szCs w:val="18"/>
                <w:lang w:bidi="lo-LA"/>
              </w:rPr>
              <w:t xml:space="preserve"> </w:t>
            </w:r>
            <w:r w:rsidRPr="006E1EE8">
              <w:rPr>
                <w:rFonts w:ascii="Candara" w:hAnsi="Candara"/>
                <w:color w:val="000000" w:themeColor="text1"/>
                <w:spacing w:val="-8"/>
                <w:sz w:val="20"/>
                <w:szCs w:val="18"/>
                <w:lang w:bidi="lo-LA"/>
              </w:rPr>
              <w:t>2020.gadā sasniedz 20%</w:t>
            </w:r>
          </w:p>
        </w:tc>
        <w:tc>
          <w:tcPr>
            <w:tcW w:w="660" w:type="pct"/>
            <w:vAlign w:val="center"/>
          </w:tcPr>
          <w:p w:rsidR="008B2C92" w:rsidRPr="005E3C17" w:rsidP="00CF3F47" w14:paraId="648A8540"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14,1</w:t>
            </w:r>
          </w:p>
          <w:p w:rsidR="008B2C92" w:rsidRPr="005E3C17" w:rsidP="00CF3F47" w14:paraId="3126C78F" w14:textId="77777777">
            <w:pPr>
              <w:pStyle w:val="TableText"/>
              <w:spacing w:before="60" w:after="60"/>
              <w:jc w:val="center"/>
              <w:rPr>
                <w:rFonts w:ascii="Candara" w:hAnsi="Candara"/>
                <w:color w:val="000000" w:themeColor="text1"/>
                <w:spacing w:val="-8"/>
                <w:sz w:val="20"/>
                <w:szCs w:val="18"/>
              </w:rPr>
            </w:pPr>
            <w:r w:rsidRPr="005E3C17">
              <w:rPr>
                <w:rFonts w:ascii="Candara" w:hAnsi="Candara"/>
                <w:color w:val="000000" w:themeColor="text1"/>
                <w:spacing w:val="-8"/>
                <w:sz w:val="20"/>
                <w:szCs w:val="18"/>
              </w:rPr>
              <w:t>(201</w:t>
            </w:r>
            <w:r>
              <w:rPr>
                <w:rFonts w:ascii="Candara" w:hAnsi="Candara"/>
                <w:color w:val="000000" w:themeColor="text1"/>
                <w:spacing w:val="-8"/>
                <w:sz w:val="20"/>
                <w:szCs w:val="18"/>
              </w:rPr>
              <w:t>1</w:t>
            </w:r>
            <w:r w:rsidRPr="005E3C17">
              <w:rPr>
                <w:rFonts w:ascii="Candara" w:hAnsi="Candara"/>
                <w:color w:val="000000" w:themeColor="text1"/>
                <w:spacing w:val="-8"/>
                <w:sz w:val="20"/>
                <w:szCs w:val="18"/>
              </w:rPr>
              <w:t>)</w:t>
            </w:r>
          </w:p>
        </w:tc>
        <w:tc>
          <w:tcPr>
            <w:tcW w:w="522" w:type="pct"/>
            <w:vAlign w:val="center"/>
          </w:tcPr>
          <w:p w:rsidR="008B2C92" w:rsidRPr="005E3C17" w:rsidP="00CF3F47" w14:paraId="37C29496"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17,4</w:t>
            </w:r>
          </w:p>
        </w:tc>
        <w:tc>
          <w:tcPr>
            <w:tcW w:w="591" w:type="pct"/>
            <w:shd w:val="clear" w:color="auto" w:fill="D9D9D9" w:themeFill="background1" w:themeFillShade="D9"/>
            <w:vAlign w:val="center"/>
          </w:tcPr>
          <w:p w:rsidR="008B2C92" w:rsidP="00CF3F47" w14:paraId="3ECB1DF4"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12,5</w:t>
            </w:r>
          </w:p>
          <w:p w:rsidR="008B2C92" w:rsidRPr="005E3C17" w:rsidP="00CF3F47" w14:paraId="1148DCDB"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(2016)</w:t>
            </w:r>
          </w:p>
        </w:tc>
        <w:tc>
          <w:tcPr>
            <w:tcW w:w="591" w:type="pct"/>
            <w:shd w:val="clear" w:color="auto" w:fill="D9D9D9" w:themeFill="background1" w:themeFillShade="D9"/>
            <w:vAlign w:val="center"/>
          </w:tcPr>
          <w:p w:rsidR="008B2C92" w:rsidRPr="005E3C17" w:rsidP="00CF3F47" w14:paraId="334D6E6A" w14:textId="77777777">
            <w:pPr>
              <w:pStyle w:val="TableText"/>
              <w:spacing w:before="60" w:after="60"/>
              <w:jc w:val="center"/>
              <w:rPr>
                <w:rFonts w:ascii="Candara" w:hAnsi="Candara"/>
                <w:color w:val="000000" w:themeColor="text1"/>
                <w:spacing w:val="-8"/>
                <w:sz w:val="20"/>
                <w:szCs w:val="18"/>
              </w:rPr>
            </w:pPr>
            <w:r w:rsidRPr="006E1EE8">
              <w:rPr>
                <w:rFonts w:ascii="Wingdings 3" w:hAnsi="Wingdings 3"/>
                <w:color w:val="C00000"/>
                <w:spacing w:val="-8"/>
                <w:sz w:val="36"/>
                <w:szCs w:val="18"/>
              </w:rPr>
              <w:sym w:font="Wingdings 3" w:char="F082"/>
            </w:r>
          </w:p>
        </w:tc>
        <w:tc>
          <w:tcPr>
            <w:tcW w:w="591" w:type="pct"/>
            <w:vAlign w:val="center"/>
          </w:tcPr>
          <w:p w:rsidR="008B2C92" w:rsidRPr="005E3C17" w:rsidP="00CF3F47" w14:paraId="3C919C78"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20</w:t>
            </w:r>
          </w:p>
        </w:tc>
      </w:tr>
      <w:tr w14:paraId="5B381549" w14:textId="77777777" w:rsidTr="008B2C92">
        <w:tblPrEx>
          <w:tblW w:w="5000" w:type="pct"/>
          <w:tblLook w:val="00A0"/>
        </w:tblPrEx>
        <w:tc>
          <w:tcPr>
            <w:tcW w:w="2045" w:type="pct"/>
          </w:tcPr>
          <w:p w:rsidR="008B2C92" w:rsidRPr="006E1EE8" w:rsidP="00CF3F47" w14:paraId="79FB81AD" w14:textId="77777777">
            <w:pPr>
              <w:pStyle w:val="TableText"/>
              <w:spacing w:before="60" w:after="60"/>
              <w:jc w:val="left"/>
              <w:rPr>
                <w:rFonts w:ascii="Candara" w:hAnsi="Candara"/>
                <w:color w:val="000000" w:themeColor="text1"/>
                <w:spacing w:val="-8"/>
                <w:sz w:val="20"/>
                <w:szCs w:val="18"/>
                <w:lang w:bidi="lo-LA"/>
              </w:rPr>
            </w:pPr>
            <w:r>
              <w:rPr>
                <w:rFonts w:ascii="Candara" w:hAnsi="Candara"/>
                <w:color w:val="000000" w:themeColor="text1"/>
                <w:spacing w:val="-8"/>
                <w:sz w:val="20"/>
                <w:szCs w:val="18"/>
                <w:lang w:bidi="lo-LA"/>
              </w:rPr>
              <w:t>A</w:t>
            </w:r>
            <w:r w:rsidRPr="006E1EE8">
              <w:rPr>
                <w:rFonts w:ascii="Candara" w:hAnsi="Candara"/>
                <w:color w:val="000000" w:themeColor="text1"/>
                <w:spacing w:val="-8"/>
                <w:sz w:val="20"/>
                <w:szCs w:val="18"/>
                <w:lang w:bidi="lo-LA"/>
              </w:rPr>
              <w:t>pstrādes rūpniecības produktivitātes pieaugums 2020.gadā pret 2011.gadu ir 40%</w:t>
            </w:r>
          </w:p>
        </w:tc>
        <w:tc>
          <w:tcPr>
            <w:tcW w:w="660" w:type="pct"/>
            <w:vAlign w:val="center"/>
          </w:tcPr>
          <w:p w:rsidR="008B2C92" w:rsidP="00CF3F47" w14:paraId="40AAC422"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100</w:t>
            </w:r>
          </w:p>
          <w:p w:rsidR="008B2C92" w:rsidRPr="005E3C17" w:rsidP="00CF3F47" w14:paraId="7233109C"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(2011)</w:t>
            </w:r>
          </w:p>
        </w:tc>
        <w:tc>
          <w:tcPr>
            <w:tcW w:w="522" w:type="pct"/>
            <w:vAlign w:val="center"/>
          </w:tcPr>
          <w:p w:rsidR="008B2C92" w:rsidRPr="005E3C17" w:rsidP="00CF3F47" w14:paraId="2C111CB8"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122</w:t>
            </w:r>
          </w:p>
        </w:tc>
        <w:tc>
          <w:tcPr>
            <w:tcW w:w="591" w:type="pct"/>
            <w:shd w:val="clear" w:color="auto" w:fill="D9D9D9" w:themeFill="background1" w:themeFillShade="D9"/>
            <w:vAlign w:val="center"/>
          </w:tcPr>
          <w:p w:rsidR="008B2C92" w:rsidRPr="00695BBF" w:rsidP="00CF3F47" w14:paraId="278795FD"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11</w:t>
            </w:r>
            <w:r w:rsidRPr="00695BBF">
              <w:rPr>
                <w:rFonts w:ascii="Candara" w:hAnsi="Candara"/>
                <w:color w:val="000000" w:themeColor="text1"/>
                <w:spacing w:val="-8"/>
                <w:sz w:val="20"/>
                <w:szCs w:val="18"/>
              </w:rPr>
              <w:t>6,</w:t>
            </w:r>
            <w:r>
              <w:rPr>
                <w:rFonts w:ascii="Candara" w:hAnsi="Candara"/>
                <w:color w:val="000000" w:themeColor="text1"/>
                <w:spacing w:val="-8"/>
                <w:sz w:val="20"/>
                <w:szCs w:val="18"/>
              </w:rPr>
              <w:t>4</w:t>
            </w:r>
          </w:p>
          <w:p w:rsidR="008B2C92" w:rsidRPr="00695BBF" w:rsidP="00CF3F47" w14:paraId="1791C7E8" w14:textId="77777777">
            <w:pPr>
              <w:pStyle w:val="TableText"/>
              <w:spacing w:before="60" w:after="60"/>
              <w:jc w:val="center"/>
              <w:rPr>
                <w:rFonts w:ascii="Candara" w:hAnsi="Candara"/>
                <w:color w:val="000000" w:themeColor="text1"/>
                <w:spacing w:val="-8"/>
                <w:sz w:val="20"/>
                <w:szCs w:val="18"/>
              </w:rPr>
            </w:pPr>
            <w:r w:rsidRPr="00695BBF">
              <w:rPr>
                <w:rFonts w:ascii="Candara" w:hAnsi="Candara"/>
                <w:color w:val="000000" w:themeColor="text1"/>
                <w:spacing w:val="-8"/>
                <w:sz w:val="20"/>
                <w:szCs w:val="18"/>
              </w:rPr>
              <w:t>(2016)</w:t>
            </w:r>
          </w:p>
        </w:tc>
        <w:tc>
          <w:tcPr>
            <w:tcW w:w="591" w:type="pct"/>
            <w:shd w:val="clear" w:color="auto" w:fill="D9D9D9" w:themeFill="background1" w:themeFillShade="D9"/>
            <w:vAlign w:val="center"/>
          </w:tcPr>
          <w:p w:rsidR="008B2C92" w:rsidRPr="005E3C17" w:rsidP="00CF3F47" w14:paraId="4EAEBD36" w14:textId="77777777">
            <w:pPr>
              <w:pStyle w:val="TableText"/>
              <w:spacing w:before="60" w:after="60"/>
              <w:jc w:val="center"/>
              <w:rPr>
                <w:rFonts w:ascii="Candara" w:hAnsi="Candara"/>
                <w:color w:val="000000" w:themeColor="text1"/>
                <w:spacing w:val="-8"/>
                <w:sz w:val="20"/>
                <w:szCs w:val="18"/>
              </w:rPr>
            </w:pPr>
            <w:r w:rsidRPr="006E1EE8">
              <w:rPr>
                <w:rFonts w:ascii="Wingdings 3" w:hAnsi="Wingdings 3"/>
                <w:color w:val="463F90" w:themeColor="accent4" w:themeShade="BF"/>
                <w:spacing w:val="-8"/>
                <w:sz w:val="36"/>
                <w:szCs w:val="18"/>
              </w:rPr>
              <w:sym w:font="Wingdings 3" w:char="F084"/>
            </w:r>
          </w:p>
        </w:tc>
        <w:tc>
          <w:tcPr>
            <w:tcW w:w="591" w:type="pct"/>
            <w:vAlign w:val="center"/>
          </w:tcPr>
          <w:p w:rsidR="008B2C92" w:rsidRPr="005E3C17" w:rsidP="00CF3F47" w14:paraId="209DA7B9"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140</w:t>
            </w:r>
          </w:p>
        </w:tc>
      </w:tr>
      <w:tr w14:paraId="3823A7CE" w14:textId="77777777" w:rsidTr="008B2C92">
        <w:tblPrEx>
          <w:tblW w:w="5000" w:type="pct"/>
          <w:tblLook w:val="00A0"/>
        </w:tblPrEx>
        <w:tc>
          <w:tcPr>
            <w:tcW w:w="2045" w:type="pct"/>
          </w:tcPr>
          <w:p w:rsidR="008B2C92" w:rsidRPr="006E1EE8" w:rsidP="00CF3F47" w14:paraId="11956A63" w14:textId="77777777">
            <w:pPr>
              <w:pStyle w:val="TableText"/>
              <w:spacing w:before="60" w:after="60"/>
              <w:jc w:val="left"/>
              <w:rPr>
                <w:rFonts w:ascii="Candara" w:hAnsi="Candara"/>
                <w:color w:val="000000" w:themeColor="text1"/>
                <w:spacing w:val="-8"/>
                <w:sz w:val="20"/>
                <w:szCs w:val="18"/>
                <w:lang w:bidi="lo-LA"/>
              </w:rPr>
            </w:pPr>
            <w:r>
              <w:rPr>
                <w:rFonts w:ascii="Candara" w:hAnsi="Candara"/>
                <w:color w:val="000000" w:themeColor="text1"/>
                <w:spacing w:val="-8"/>
                <w:sz w:val="20"/>
                <w:szCs w:val="18"/>
                <w:lang w:bidi="lo-LA"/>
              </w:rPr>
              <w:t>A</w:t>
            </w:r>
            <w:r w:rsidRPr="006E1EE8">
              <w:rPr>
                <w:rFonts w:ascii="Candara" w:hAnsi="Candara"/>
                <w:color w:val="000000" w:themeColor="text1"/>
                <w:spacing w:val="-8"/>
                <w:sz w:val="20"/>
                <w:szCs w:val="18"/>
                <w:lang w:bidi="lo-LA"/>
              </w:rPr>
              <w:t>pstrādes rūpniecības pieaugums 2020.gadā, pret 2011.gadu ir 60%</w:t>
            </w:r>
          </w:p>
        </w:tc>
        <w:tc>
          <w:tcPr>
            <w:tcW w:w="660" w:type="pct"/>
            <w:vAlign w:val="center"/>
          </w:tcPr>
          <w:p w:rsidR="008B2C92" w:rsidP="00CF3F47" w14:paraId="2C1F1BC7"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100</w:t>
            </w:r>
          </w:p>
          <w:p w:rsidR="008B2C92" w:rsidRPr="005E3C17" w:rsidP="00CF3F47" w14:paraId="40796388"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(2011)</w:t>
            </w:r>
          </w:p>
        </w:tc>
        <w:tc>
          <w:tcPr>
            <w:tcW w:w="522" w:type="pct"/>
            <w:vAlign w:val="center"/>
          </w:tcPr>
          <w:p w:rsidR="008B2C92" w:rsidRPr="005E3C17" w:rsidP="00CF3F47" w14:paraId="0BEC21C4"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129</w:t>
            </w:r>
          </w:p>
        </w:tc>
        <w:tc>
          <w:tcPr>
            <w:tcW w:w="591" w:type="pct"/>
            <w:shd w:val="clear" w:color="auto" w:fill="D9D9D9" w:themeFill="background1" w:themeFillShade="D9"/>
            <w:vAlign w:val="center"/>
          </w:tcPr>
          <w:p w:rsidR="008B2C92" w:rsidRPr="00695BBF" w:rsidP="00CF3F47" w14:paraId="7CD80902" w14:textId="77777777">
            <w:pPr>
              <w:pStyle w:val="TableText"/>
              <w:spacing w:before="60" w:after="60"/>
              <w:jc w:val="center"/>
              <w:rPr>
                <w:rFonts w:ascii="Candara" w:hAnsi="Candara"/>
                <w:color w:val="000000" w:themeColor="text1"/>
                <w:spacing w:val="-8"/>
                <w:sz w:val="20"/>
                <w:szCs w:val="18"/>
              </w:rPr>
            </w:pPr>
            <w:r w:rsidRPr="00695BBF">
              <w:rPr>
                <w:rFonts w:ascii="Candara" w:hAnsi="Candara"/>
                <w:color w:val="000000" w:themeColor="text1"/>
                <w:spacing w:val="-8"/>
                <w:sz w:val="20"/>
                <w:szCs w:val="18"/>
              </w:rPr>
              <w:t>113,1</w:t>
            </w:r>
          </w:p>
          <w:p w:rsidR="008B2C92" w:rsidRPr="00695BBF" w:rsidP="00CF3F47" w14:paraId="06DE8366" w14:textId="77777777">
            <w:pPr>
              <w:pStyle w:val="TableText"/>
              <w:spacing w:before="60" w:after="60"/>
              <w:jc w:val="center"/>
              <w:rPr>
                <w:rFonts w:ascii="Candara" w:hAnsi="Candara"/>
                <w:color w:val="000000" w:themeColor="text1"/>
                <w:spacing w:val="-8"/>
                <w:sz w:val="20"/>
                <w:szCs w:val="18"/>
              </w:rPr>
            </w:pPr>
            <w:r w:rsidRPr="00695BBF">
              <w:rPr>
                <w:rFonts w:ascii="Candara" w:hAnsi="Candara"/>
                <w:color w:val="000000" w:themeColor="text1"/>
                <w:spacing w:val="-8"/>
                <w:sz w:val="20"/>
                <w:szCs w:val="18"/>
              </w:rPr>
              <w:t>(2016)</w:t>
            </w:r>
          </w:p>
        </w:tc>
        <w:tc>
          <w:tcPr>
            <w:tcW w:w="591" w:type="pct"/>
            <w:shd w:val="clear" w:color="auto" w:fill="D9D9D9" w:themeFill="background1" w:themeFillShade="D9"/>
            <w:vAlign w:val="center"/>
          </w:tcPr>
          <w:p w:rsidR="008B2C92" w:rsidRPr="005E3C17" w:rsidP="00CF3F47" w14:paraId="2163824D" w14:textId="77777777">
            <w:pPr>
              <w:pStyle w:val="TableText"/>
              <w:spacing w:before="60" w:after="60"/>
              <w:jc w:val="center"/>
              <w:rPr>
                <w:rFonts w:ascii="Candara" w:hAnsi="Candara"/>
                <w:color w:val="000000" w:themeColor="text1"/>
                <w:spacing w:val="-8"/>
                <w:sz w:val="20"/>
                <w:szCs w:val="18"/>
              </w:rPr>
            </w:pPr>
            <w:r w:rsidRPr="006E1EE8">
              <w:rPr>
                <w:rFonts w:ascii="Wingdings 3" w:hAnsi="Wingdings 3"/>
                <w:color w:val="463F90" w:themeColor="accent4" w:themeShade="BF"/>
                <w:spacing w:val="-8"/>
                <w:sz w:val="36"/>
                <w:szCs w:val="18"/>
              </w:rPr>
              <w:sym w:font="Wingdings 3" w:char="F084"/>
            </w:r>
          </w:p>
        </w:tc>
        <w:tc>
          <w:tcPr>
            <w:tcW w:w="591" w:type="pct"/>
            <w:vAlign w:val="center"/>
          </w:tcPr>
          <w:p w:rsidR="008B2C92" w:rsidRPr="005E3C17" w:rsidP="00CF3F47" w14:paraId="018A77D4"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160</w:t>
            </w:r>
          </w:p>
        </w:tc>
      </w:tr>
      <w:tr w14:paraId="77DDCB40" w14:textId="77777777" w:rsidTr="008B2C92">
        <w:tblPrEx>
          <w:tblW w:w="5000" w:type="pct"/>
          <w:tblLook w:val="00A0"/>
        </w:tblPrEx>
        <w:tc>
          <w:tcPr>
            <w:tcW w:w="2045" w:type="pct"/>
          </w:tcPr>
          <w:p w:rsidR="008B2C92" w:rsidRPr="006E1EE8" w:rsidP="00CF3F47" w14:paraId="4AE94E9F" w14:textId="77777777">
            <w:pPr>
              <w:pStyle w:val="TableText"/>
              <w:spacing w:before="60" w:after="60"/>
              <w:jc w:val="left"/>
              <w:rPr>
                <w:rFonts w:ascii="Candara" w:hAnsi="Candara"/>
                <w:color w:val="000000" w:themeColor="text1"/>
                <w:spacing w:val="-8"/>
                <w:sz w:val="20"/>
                <w:szCs w:val="18"/>
                <w:lang w:bidi="lo-LA"/>
              </w:rPr>
            </w:pPr>
            <w:r>
              <w:rPr>
                <w:rFonts w:ascii="Candara" w:hAnsi="Candara"/>
                <w:color w:val="000000" w:themeColor="text1"/>
                <w:spacing w:val="-8"/>
                <w:sz w:val="20"/>
                <w:szCs w:val="18"/>
                <w:lang w:bidi="lo-LA"/>
              </w:rPr>
              <w:t>I</w:t>
            </w:r>
            <w:r w:rsidRPr="006E1EE8">
              <w:rPr>
                <w:rFonts w:ascii="Candara" w:hAnsi="Candara"/>
                <w:color w:val="000000" w:themeColor="text1"/>
                <w:spacing w:val="-8"/>
                <w:sz w:val="20"/>
                <w:szCs w:val="18"/>
                <w:lang w:bidi="lo-LA"/>
              </w:rPr>
              <w:t>eguldījumi pētniecībā un attīstībā 2020.gadā sasniedz 1,5% no IKP</w:t>
            </w:r>
            <w:r w:rsidR="006F24AE">
              <w:rPr>
                <w:rFonts w:ascii="Candara" w:hAnsi="Candara"/>
                <w:color w:val="000000" w:themeColor="text1"/>
                <w:spacing w:val="-8"/>
                <w:sz w:val="20"/>
                <w:szCs w:val="18"/>
                <w:lang w:bidi="lo-LA"/>
              </w:rPr>
              <w:t xml:space="preserve"> (%)</w:t>
            </w:r>
          </w:p>
        </w:tc>
        <w:tc>
          <w:tcPr>
            <w:tcW w:w="660" w:type="pct"/>
            <w:vAlign w:val="center"/>
          </w:tcPr>
          <w:p w:rsidR="008B2C92" w:rsidP="00CF3F47" w14:paraId="737A0552"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0,7</w:t>
            </w:r>
          </w:p>
          <w:p w:rsidR="008B2C92" w:rsidRPr="005E3C17" w:rsidP="00CF3F47" w14:paraId="2B2B19A5"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(2011)</w:t>
            </w:r>
          </w:p>
        </w:tc>
        <w:tc>
          <w:tcPr>
            <w:tcW w:w="522" w:type="pct"/>
            <w:vAlign w:val="center"/>
          </w:tcPr>
          <w:p w:rsidR="008B2C92" w:rsidRPr="005E3C17" w:rsidP="00CF3F47" w14:paraId="2F839659"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1,1</w:t>
            </w:r>
          </w:p>
        </w:tc>
        <w:tc>
          <w:tcPr>
            <w:tcW w:w="591" w:type="pct"/>
            <w:shd w:val="clear" w:color="auto" w:fill="D9D9D9" w:themeFill="background1" w:themeFillShade="D9"/>
            <w:vAlign w:val="center"/>
          </w:tcPr>
          <w:p w:rsidR="008B2C92" w:rsidP="00CF3F47" w14:paraId="662BB224"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0,62</w:t>
            </w:r>
          </w:p>
          <w:p w:rsidR="008B2C92" w:rsidRPr="005E3C17" w:rsidP="00CF3F47" w14:paraId="355DF8CE"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(2015)</w:t>
            </w:r>
          </w:p>
        </w:tc>
        <w:tc>
          <w:tcPr>
            <w:tcW w:w="591" w:type="pct"/>
            <w:shd w:val="clear" w:color="auto" w:fill="D9D9D9" w:themeFill="background1" w:themeFillShade="D9"/>
            <w:vAlign w:val="center"/>
          </w:tcPr>
          <w:p w:rsidR="008B2C92" w:rsidRPr="005E3C17" w:rsidP="00CF3F47" w14:paraId="711EB5A0" w14:textId="77777777">
            <w:pPr>
              <w:pStyle w:val="TableText"/>
              <w:spacing w:before="60" w:after="60"/>
              <w:jc w:val="center"/>
              <w:rPr>
                <w:rFonts w:ascii="Candara" w:hAnsi="Candara"/>
                <w:color w:val="000000" w:themeColor="text1"/>
                <w:spacing w:val="-8"/>
                <w:sz w:val="20"/>
                <w:szCs w:val="18"/>
              </w:rPr>
            </w:pPr>
            <w:r w:rsidRPr="006E1EE8">
              <w:rPr>
                <w:rFonts w:ascii="Wingdings 3" w:hAnsi="Wingdings 3"/>
                <w:color w:val="C00000"/>
                <w:spacing w:val="-8"/>
                <w:sz w:val="36"/>
                <w:szCs w:val="18"/>
              </w:rPr>
              <w:sym w:font="Wingdings 3" w:char="F082"/>
            </w:r>
          </w:p>
        </w:tc>
        <w:tc>
          <w:tcPr>
            <w:tcW w:w="591" w:type="pct"/>
            <w:vAlign w:val="center"/>
          </w:tcPr>
          <w:p w:rsidR="008B2C92" w:rsidRPr="005E3C17" w:rsidP="00CF3F47" w14:paraId="422A9D35" w14:textId="77777777">
            <w:pPr>
              <w:pStyle w:val="TableText"/>
              <w:spacing w:before="60" w:after="60"/>
              <w:jc w:val="center"/>
              <w:rPr>
                <w:rFonts w:ascii="Candara" w:hAnsi="Candara"/>
                <w:color w:val="000000" w:themeColor="text1"/>
                <w:spacing w:val="-8"/>
                <w:sz w:val="20"/>
                <w:szCs w:val="18"/>
              </w:rPr>
            </w:pPr>
            <w:r>
              <w:rPr>
                <w:rFonts w:ascii="Candara" w:hAnsi="Candara"/>
                <w:color w:val="000000" w:themeColor="text1"/>
                <w:spacing w:val="-8"/>
                <w:sz w:val="20"/>
                <w:szCs w:val="18"/>
              </w:rPr>
              <w:t>1,5</w:t>
            </w:r>
          </w:p>
        </w:tc>
      </w:tr>
    </w:tbl>
    <w:p w:rsidR="008B2C92" w:rsidP="008B2C92" w14:paraId="12CB3DA7" w14:textId="77777777">
      <w:pPr>
        <w:spacing w:after="0" w:line="240" w:lineRule="auto"/>
        <w:rPr>
          <w:rFonts w:ascii="Candara" w:eastAsia="Times New Roman" w:hAnsi="Candara" w:cs="Times New Roman"/>
          <w:bCs/>
          <w:iCs/>
          <w:noProof/>
          <w:color w:val="000000" w:themeColor="text1"/>
          <w:spacing w:val="-8"/>
          <w:sz w:val="20"/>
          <w:szCs w:val="18"/>
          <w:lang w:eastAsia="lv-LV" w:bidi="lo-LA"/>
        </w:rPr>
      </w:pPr>
    </w:p>
    <w:p w:rsidR="006D1D87" w:rsidRPr="006D1D87" w:rsidP="006D1D87" w14:paraId="1A08FC9F" w14:textId="77777777">
      <w:pPr>
        <w:spacing w:after="0" w:line="240" w:lineRule="auto"/>
        <w:ind w:firstLine="426"/>
        <w:jc w:val="both"/>
        <w:rPr>
          <w:rFonts w:ascii="Candara" w:hAnsi="Candara"/>
        </w:rPr>
      </w:pPr>
      <w:r w:rsidRPr="00904AE5">
        <w:rPr>
          <w:rFonts w:ascii="Candara" w:hAnsi="Candara"/>
        </w:rPr>
        <w:t xml:space="preserve">Apstrādes rūpniecībā produktivitātes gada vidējie pieauguma tempi nedaudz atpaliek no mērķa rādītājiem. Tomēr to galvenokārt noteica nodarbināto skaita samazinājums (vidēji gadā par 0,6%). Kamēr apstrādes </w:t>
      </w:r>
      <w:r>
        <w:rPr>
          <w:rFonts w:ascii="Candara" w:hAnsi="Candara"/>
        </w:rPr>
        <w:t xml:space="preserve">pievienotā vērtība </w:t>
      </w:r>
      <w:r w:rsidRPr="00904AE5">
        <w:rPr>
          <w:rFonts w:ascii="Candara" w:hAnsi="Candara"/>
        </w:rPr>
        <w:t xml:space="preserve">pieauga ik gadu vidēji par 2,5%, t.i. gandrīz divreiz lēnāk nekā plānots.  Apstrādes rūpniecības izaugsmi galvenokārt balsta produktivitātes pieaugums, nevis </w:t>
      </w:r>
      <w:r>
        <w:rPr>
          <w:rFonts w:ascii="Candara" w:hAnsi="Candara"/>
        </w:rPr>
        <w:t xml:space="preserve">papildus darbaspēka piesaiste. </w:t>
      </w:r>
      <w:r w:rsidRPr="00904AE5">
        <w:rPr>
          <w:rFonts w:ascii="Candara" w:hAnsi="Candara"/>
        </w:rPr>
        <w:t>Saglabājoties šādam tendencēm 2020.gadā produktivitātes lī</w:t>
      </w:r>
      <w:r>
        <w:rPr>
          <w:rFonts w:ascii="Candara" w:hAnsi="Candara"/>
        </w:rPr>
        <w:t>menis var atpalikt no mērķa radī</w:t>
      </w:r>
      <w:r w:rsidRPr="00904AE5">
        <w:rPr>
          <w:rFonts w:ascii="Candara" w:hAnsi="Candara"/>
        </w:rPr>
        <w:t>tāja tikai par 8</w:t>
      </w:r>
      <w:r>
        <w:rPr>
          <w:rFonts w:ascii="Candara" w:hAnsi="Candara"/>
        </w:rPr>
        <w:t xml:space="preserve"> procent</w:t>
      </w:r>
      <w:r w:rsidRPr="00904AE5">
        <w:rPr>
          <w:rFonts w:ascii="Candara" w:hAnsi="Candara"/>
        </w:rPr>
        <w:t>punktiem.</w:t>
      </w:r>
    </w:p>
    <w:tbl>
      <w:tblPr>
        <w:tblStyle w:val="PlainTable41"/>
        <w:tblW w:w="0" w:type="auto"/>
        <w:tblLook w:val="04A0"/>
      </w:tblPr>
      <w:tblGrid>
        <w:gridCol w:w="3307"/>
        <w:gridCol w:w="3308"/>
        <w:gridCol w:w="3308"/>
      </w:tblGrid>
      <w:tr w14:paraId="31B7AC5D" w14:textId="77777777" w:rsidTr="00DA2C5B">
        <w:tblPrEx>
          <w:tblW w:w="0" w:type="auto"/>
          <w:tblLook w:val="04A0"/>
        </w:tblPrEx>
        <w:tc>
          <w:tcPr>
            <w:tcW w:w="3307" w:type="dxa"/>
            <w:vAlign w:val="center"/>
          </w:tcPr>
          <w:p w:rsidR="006D1D87" w:rsidRPr="00A92534" w:rsidP="006D1D87" w14:paraId="65D02824" w14:textId="77777777">
            <w:pPr>
              <w:spacing w:before="240"/>
              <w:ind w:left="-113" w:right="-113"/>
              <w:jc w:val="center"/>
              <w:rPr>
                <w:sz w:val="20"/>
              </w:rPr>
            </w:pPr>
            <w:r>
              <w:rPr>
                <w:rFonts w:ascii="Candara" w:hAnsi="Candara"/>
                <w:color w:val="000000" w:themeColor="text1"/>
                <w:spacing w:val="-8"/>
                <w:sz w:val="20"/>
                <w:szCs w:val="18"/>
                <w:lang w:bidi="lo-LA"/>
              </w:rPr>
              <w:t>28</w:t>
            </w:r>
            <w:r w:rsidRPr="00A92534">
              <w:rPr>
                <w:rFonts w:ascii="Candara" w:hAnsi="Candara"/>
                <w:color w:val="000000" w:themeColor="text1"/>
                <w:spacing w:val="-8"/>
                <w:sz w:val="20"/>
                <w:szCs w:val="18"/>
                <w:lang w:bidi="lo-LA"/>
              </w:rPr>
              <w:t xml:space="preserve">.attēls. Apstrādes rūpniecības īpatsvars IKP, </w:t>
            </w:r>
            <w:r w:rsidRPr="00A92534">
              <w:rPr>
                <w:rFonts w:ascii="Candara" w:hAnsi="Candara"/>
                <w:b w:val="0"/>
                <w:color w:val="000000" w:themeColor="text1"/>
                <w:spacing w:val="-8"/>
                <w:sz w:val="20"/>
                <w:szCs w:val="18"/>
                <w:lang w:bidi="lo-LA"/>
              </w:rPr>
              <w:t>(%)</w:t>
            </w:r>
          </w:p>
        </w:tc>
        <w:tc>
          <w:tcPr>
            <w:tcW w:w="3308" w:type="dxa"/>
            <w:vAlign w:val="center"/>
          </w:tcPr>
          <w:p w:rsidR="006D1D87" w:rsidRPr="00A92534" w:rsidP="006D1D87" w14:paraId="7DA0D8BF" w14:textId="77777777">
            <w:pPr>
              <w:spacing w:before="240"/>
              <w:ind w:left="-113" w:right="-113"/>
              <w:jc w:val="center"/>
              <w:rPr>
                <w:sz w:val="20"/>
              </w:rPr>
            </w:pPr>
            <w:r>
              <w:rPr>
                <w:rFonts w:ascii="Candara" w:hAnsi="Candara"/>
                <w:color w:val="000000" w:themeColor="text1"/>
                <w:spacing w:val="-8"/>
                <w:sz w:val="20"/>
                <w:szCs w:val="18"/>
                <w:lang w:bidi="lo-LA"/>
              </w:rPr>
              <w:t>29</w:t>
            </w:r>
            <w:r w:rsidRPr="00A92534">
              <w:rPr>
                <w:rFonts w:ascii="Candara" w:hAnsi="Candara"/>
                <w:color w:val="000000" w:themeColor="text1"/>
                <w:spacing w:val="-8"/>
                <w:sz w:val="20"/>
                <w:szCs w:val="18"/>
                <w:lang w:bidi="lo-LA"/>
              </w:rPr>
              <w:t xml:space="preserve">.attēls. Apstrādes rūpniecības apjomu izmaiņas,  </w:t>
            </w:r>
            <w:r w:rsidRPr="00A92534">
              <w:rPr>
                <w:rFonts w:ascii="Candara" w:hAnsi="Candara"/>
                <w:b w:val="0"/>
                <w:color w:val="000000" w:themeColor="text1"/>
                <w:spacing w:val="-8"/>
                <w:sz w:val="20"/>
                <w:szCs w:val="18"/>
                <w:lang w:bidi="lo-LA"/>
              </w:rPr>
              <w:t>2011=100</w:t>
            </w:r>
          </w:p>
        </w:tc>
        <w:tc>
          <w:tcPr>
            <w:tcW w:w="3308" w:type="dxa"/>
            <w:vAlign w:val="center"/>
          </w:tcPr>
          <w:p w:rsidR="006D1D87" w:rsidRPr="00A92534" w:rsidP="006D1D87" w14:paraId="1EA81844" w14:textId="77777777">
            <w:pPr>
              <w:spacing w:before="240"/>
              <w:ind w:left="-113" w:right="-113"/>
              <w:jc w:val="center"/>
              <w:rPr>
                <w:sz w:val="20"/>
              </w:rPr>
            </w:pPr>
            <w:r>
              <w:rPr>
                <w:rFonts w:ascii="Candara" w:hAnsi="Candara"/>
                <w:color w:val="000000" w:themeColor="text1"/>
                <w:spacing w:val="-8"/>
                <w:sz w:val="20"/>
                <w:szCs w:val="18"/>
                <w:lang w:bidi="lo-LA"/>
              </w:rPr>
              <w:t>30</w:t>
            </w:r>
            <w:r w:rsidRPr="00A92534">
              <w:rPr>
                <w:rFonts w:ascii="Candara" w:hAnsi="Candara"/>
                <w:color w:val="000000" w:themeColor="text1"/>
                <w:spacing w:val="-8"/>
                <w:sz w:val="20"/>
                <w:szCs w:val="18"/>
                <w:lang w:bidi="lo-LA"/>
              </w:rPr>
              <w:t xml:space="preserve">.attēls. Apstrādes rūpniecības produktivitātes izmaiņas, </w:t>
            </w:r>
            <w:r w:rsidRPr="00A92534">
              <w:rPr>
                <w:rFonts w:ascii="Candara" w:hAnsi="Candara"/>
                <w:b w:val="0"/>
                <w:color w:val="000000" w:themeColor="text1"/>
                <w:spacing w:val="-8"/>
                <w:sz w:val="20"/>
                <w:szCs w:val="18"/>
                <w:lang w:bidi="lo-LA"/>
              </w:rPr>
              <w:t>2011=100</w:t>
            </w:r>
          </w:p>
        </w:tc>
      </w:tr>
      <w:tr w14:paraId="1B89E9D4" w14:textId="77777777" w:rsidTr="00DA2C5B">
        <w:tblPrEx>
          <w:tblW w:w="0" w:type="auto"/>
          <w:tblLook w:val="04A0"/>
        </w:tblPrEx>
        <w:tc>
          <w:tcPr>
            <w:tcW w:w="3307" w:type="dxa"/>
            <w:shd w:val="clear" w:color="auto" w:fill="auto"/>
          </w:tcPr>
          <w:p w:rsidR="006D1D87" w:rsidP="00DA2C5B" w14:paraId="6E5C4672" w14:textId="77777777">
            <w:pPr>
              <w:ind w:left="-113" w:right="-113"/>
              <w:jc w:val="center"/>
              <w:rPr>
                <w:sz w:val="24"/>
                <w:szCs w:val="24"/>
              </w:rPr>
            </w:pPr>
            <w:r w:rsidRPr="00DA622B">
              <w:rPr>
                <w:rFonts w:ascii="Garamond" w:hAnsi="Garamond" w:cs="Segoe UI"/>
                <w:noProof/>
                <w:sz w:val="20"/>
                <w:lang w:eastAsia="lv-LV"/>
              </w:rPr>
              <w:drawing>
                <wp:inline distT="0" distB="0" distL="0" distR="0">
                  <wp:extent cx="2052000" cy="1800000"/>
                  <wp:effectExtent l="0" t="0" r="5715" b="0"/>
                  <wp:docPr id="210"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308" w:type="dxa"/>
            <w:shd w:val="clear" w:color="auto" w:fill="auto"/>
          </w:tcPr>
          <w:p w:rsidR="006D1D87" w:rsidP="00DA2C5B" w14:paraId="65077B5F" w14:textId="77777777">
            <w:pPr>
              <w:ind w:left="-113" w:right="-113"/>
              <w:jc w:val="both"/>
              <w:rPr>
                <w:sz w:val="24"/>
                <w:szCs w:val="24"/>
              </w:rPr>
            </w:pPr>
            <w:r w:rsidRPr="00DA622B">
              <w:rPr>
                <w:rFonts w:ascii="Garamond" w:hAnsi="Garamond" w:cs="Segoe UI"/>
                <w:noProof/>
                <w:sz w:val="20"/>
                <w:lang w:eastAsia="lv-LV"/>
              </w:rPr>
              <w:drawing>
                <wp:inline distT="0" distB="0" distL="0" distR="0">
                  <wp:extent cx="2052000" cy="1800000"/>
                  <wp:effectExtent l="0" t="0" r="5715" b="0"/>
                  <wp:docPr id="214"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3308" w:type="dxa"/>
            <w:shd w:val="clear" w:color="auto" w:fill="auto"/>
          </w:tcPr>
          <w:p w:rsidR="006D1D87" w:rsidP="00DA2C5B" w14:paraId="6B14E45E" w14:textId="77777777">
            <w:pPr>
              <w:ind w:left="-113" w:right="-113"/>
              <w:jc w:val="both"/>
              <w:rPr>
                <w:sz w:val="24"/>
                <w:szCs w:val="24"/>
              </w:rPr>
            </w:pPr>
            <w:r w:rsidRPr="00DA622B">
              <w:rPr>
                <w:rFonts w:ascii="Garamond" w:hAnsi="Garamond" w:cs="Segoe UI"/>
                <w:noProof/>
                <w:sz w:val="20"/>
                <w:lang w:eastAsia="lv-LV"/>
              </w:rPr>
              <w:drawing>
                <wp:inline distT="0" distB="0" distL="0" distR="0">
                  <wp:extent cx="2052000" cy="1800000"/>
                  <wp:effectExtent l="0" t="0" r="5715" b="0"/>
                  <wp:docPr id="215"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rsidR="008B2C92" w:rsidP="008B2C92" w14:paraId="14DC3147" w14:textId="77777777">
      <w:pPr>
        <w:spacing w:after="0" w:line="240" w:lineRule="auto"/>
        <w:rPr>
          <w:rFonts w:ascii="Candara" w:eastAsia="Times New Roman" w:hAnsi="Candara" w:cs="Times New Roman"/>
          <w:bCs/>
          <w:iCs/>
          <w:noProof/>
          <w:color w:val="000000" w:themeColor="text1"/>
          <w:spacing w:val="-8"/>
          <w:sz w:val="20"/>
          <w:szCs w:val="18"/>
          <w:lang w:eastAsia="lv-LV" w:bidi="lo-LA"/>
        </w:rPr>
      </w:pPr>
    </w:p>
    <w:p w:rsidR="008B2C92" w:rsidRPr="006D1D87" w:rsidP="006D1D87" w14:paraId="5E5B1A4D" w14:textId="77777777">
      <w:r>
        <w:rPr>
          <w:rFonts w:ascii="Candara" w:hAnsi="Candara"/>
        </w:rPr>
        <w:t>Mērķis panākt a</w:t>
      </w:r>
      <w:r w:rsidRPr="000F466F">
        <w:rPr>
          <w:rFonts w:ascii="Candara" w:hAnsi="Candara"/>
        </w:rPr>
        <w:t>pstrādes rūpniecības īpatsvar</w:t>
      </w:r>
      <w:r>
        <w:rPr>
          <w:rFonts w:ascii="Candara" w:hAnsi="Candara"/>
        </w:rPr>
        <w:t xml:space="preserve">u </w:t>
      </w:r>
      <w:r w:rsidRPr="000F466F">
        <w:rPr>
          <w:rFonts w:ascii="Candara" w:hAnsi="Candara"/>
        </w:rPr>
        <w:t>20% no IKP 2020.gadā</w:t>
      </w:r>
      <w:r>
        <w:rPr>
          <w:rFonts w:ascii="Candara" w:hAnsi="Candara"/>
        </w:rPr>
        <w:t xml:space="preserve"> netiks sasniegts. </w:t>
      </w:r>
      <w:r w:rsidRPr="000F466F">
        <w:rPr>
          <w:rFonts w:ascii="Candara" w:hAnsi="Candara"/>
        </w:rPr>
        <w:t xml:space="preserve">Pēdējos 5 gados apstrādes rūpniecība veido caurmērā 12-13% no </w:t>
      </w:r>
      <w:r>
        <w:rPr>
          <w:rFonts w:ascii="Candara" w:hAnsi="Candara"/>
        </w:rPr>
        <w:t>IKP</w:t>
      </w:r>
      <w:r w:rsidRPr="000F466F">
        <w:rPr>
          <w:rFonts w:ascii="Candara" w:hAnsi="Candara"/>
        </w:rPr>
        <w:t xml:space="preserve"> un straujš nozares īpatsvara pieaugums nav gaidāms. </w:t>
      </w:r>
      <w:r>
        <w:rPr>
          <w:rFonts w:ascii="Candara" w:hAnsi="Candara"/>
        </w:rPr>
        <w:t>V</w:t>
      </w:r>
      <w:r w:rsidRPr="000F466F">
        <w:rPr>
          <w:rFonts w:ascii="Candara" w:hAnsi="Candara"/>
        </w:rPr>
        <w:t xml:space="preserve">ērā ņemamas strukturālas ekonomikas izmaiņas notiek krīzes laikā. Piemēram no 2008. – 2010.gadam apstrādes rūpniecība pieauga no 9 – 13%, bet tajā pašā laikā būvniecība saruka no 10 uz 5%. Normālos ekonomikas izaugsmes apstākļos būtiskas strukturālas izmaiņas nenotiek strauji, jo pilnīgi visas nozares ir savstarpēji cieši saistītas. Būtiski palielinoties ražošanas apjomiem apstrādes rūpniecībā, uzreiz palielināsies pieprasījums pēc citu nozaru produkcijas vai pakalpojumiem un attiecīgi </w:t>
      </w:r>
      <w:r>
        <w:rPr>
          <w:rFonts w:ascii="Candara" w:hAnsi="Candara"/>
        </w:rPr>
        <w:t xml:space="preserve">palielināsies </w:t>
      </w:r>
      <w:r w:rsidRPr="000F466F">
        <w:rPr>
          <w:rFonts w:ascii="Candara" w:hAnsi="Candara"/>
        </w:rPr>
        <w:t>arī pārējo nozaru izaugsme</w:t>
      </w:r>
      <w:r w:rsidR="00A65B70">
        <w:rPr>
          <w:rFonts w:ascii="Candara" w:hAnsi="Candara"/>
        </w:rPr>
        <w:t xml:space="preserve"> (28. – 30</w:t>
      </w:r>
      <w:r w:rsidR="00A92534">
        <w:rPr>
          <w:rFonts w:ascii="Candara" w:hAnsi="Candara"/>
        </w:rPr>
        <w:t>.attēls)</w:t>
      </w:r>
      <w:r>
        <w:rPr>
          <w:rFonts w:ascii="Candara" w:hAnsi="Candara"/>
        </w:rPr>
        <w:t>.</w:t>
      </w:r>
    </w:p>
    <w:p w:rsidR="00852583" w:rsidRPr="00656CCF" w:rsidP="00B86F69" w14:paraId="680CEDF0" w14:textId="77777777">
      <w:pPr>
        <w:spacing w:after="0" w:line="240" w:lineRule="auto"/>
        <w:jc w:val="center"/>
        <w:rPr>
          <w:rFonts w:ascii="Candara" w:hAnsi="Candara"/>
          <w:b/>
        </w:rPr>
      </w:pPr>
      <w:r>
        <w:rPr>
          <w:rFonts w:ascii="Candara" w:hAnsi="Candara"/>
          <w:b/>
        </w:rPr>
        <w:t>31</w:t>
      </w:r>
      <w:r>
        <w:rPr>
          <w:rFonts w:ascii="Candara" w:hAnsi="Candara"/>
          <w:b/>
        </w:rPr>
        <w:t xml:space="preserve">.attēls. </w:t>
      </w:r>
      <w:r w:rsidRPr="00656CCF">
        <w:rPr>
          <w:rFonts w:ascii="Candara" w:hAnsi="Candara"/>
          <w:b/>
        </w:rPr>
        <w:t>Latvijas preču un pakalpojumu eksporta veicināšanas un ārvalstu investīciju piesaistes pamatnostādņu 2013.-2019.gadam īstenošanas 2013. – 2015.gadā starpposma novērtējumā noteiktie politikas rezultātu sasniegšanas rādītāji.</w:t>
      </w:r>
    </w:p>
    <w:tbl>
      <w:tblPr>
        <w:tblStyle w:val="ListTable3-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1"/>
        <w:gridCol w:w="1451"/>
        <w:gridCol w:w="1307"/>
        <w:gridCol w:w="1340"/>
        <w:gridCol w:w="1271"/>
        <w:gridCol w:w="1503"/>
      </w:tblGrid>
      <w:tr w14:paraId="67F69B4B" w14:textId="77777777" w:rsidTr="008F097D">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0"/>
          <w:jc w:val="center"/>
        </w:trPr>
        <w:tc>
          <w:tcPr>
            <w:tcW w:w="1534" w:type="pct"/>
            <w:vMerge w:val="restart"/>
            <w:shd w:val="clear" w:color="auto" w:fill="6D1D6B" w:themeFill="accent1" w:themeFillShade="BF"/>
          </w:tcPr>
          <w:p w:rsidR="00852583" w:rsidRPr="00656CCF" w:rsidP="008F097D" w14:paraId="5310F497" w14:textId="77777777">
            <w:pPr>
              <w:pStyle w:val="TableText"/>
              <w:jc w:val="center"/>
              <w:rPr>
                <w:rFonts w:ascii="Candara" w:hAnsi="Candara"/>
                <w:bCs/>
                <w:spacing w:val="-8"/>
                <w:sz w:val="20"/>
                <w:szCs w:val="18"/>
                <w:lang w:bidi="lo-LA"/>
              </w:rPr>
            </w:pPr>
            <w:r w:rsidRPr="00656CCF">
              <w:rPr>
                <w:rFonts w:ascii="Candara" w:hAnsi="Candara"/>
                <w:bCs/>
                <w:spacing w:val="-8"/>
                <w:sz w:val="20"/>
                <w:szCs w:val="18"/>
                <w:lang w:bidi="lo-LA"/>
              </w:rPr>
              <w:t>Rezultatīvie rādītāji</w:t>
            </w:r>
          </w:p>
        </w:tc>
        <w:tc>
          <w:tcPr>
            <w:tcW w:w="732" w:type="pct"/>
            <w:shd w:val="clear" w:color="auto" w:fill="6D1D6B" w:themeFill="accent1" w:themeFillShade="BF"/>
          </w:tcPr>
          <w:p w:rsidR="00852583" w:rsidRPr="00656CCF" w:rsidP="008F097D" w14:paraId="4C842DFB" w14:textId="77777777">
            <w:pPr>
              <w:pStyle w:val="TableText"/>
              <w:jc w:val="center"/>
              <w:rPr>
                <w:rFonts w:ascii="Candara" w:hAnsi="Candara"/>
                <w:b w:val="0"/>
                <w:spacing w:val="-8"/>
                <w:sz w:val="20"/>
                <w:szCs w:val="18"/>
              </w:rPr>
            </w:pPr>
            <w:r w:rsidRPr="00656CCF">
              <w:rPr>
                <w:rFonts w:ascii="Candara" w:hAnsi="Candara"/>
                <w:spacing w:val="-8"/>
                <w:sz w:val="20"/>
                <w:szCs w:val="18"/>
              </w:rPr>
              <w:t>Bāzes vērtība</w:t>
            </w:r>
          </w:p>
        </w:tc>
        <w:tc>
          <w:tcPr>
            <w:tcW w:w="659" w:type="pct"/>
            <w:vMerge w:val="restart"/>
            <w:shd w:val="clear" w:color="auto" w:fill="C00000"/>
            <w:vAlign w:val="center"/>
          </w:tcPr>
          <w:p w:rsidR="00852583" w:rsidRPr="001859D9" w:rsidP="008F097D" w14:paraId="05E4C9F5" w14:textId="77777777">
            <w:pPr>
              <w:pStyle w:val="TableText"/>
              <w:jc w:val="center"/>
              <w:rPr>
                <w:rFonts w:ascii="Candara" w:hAnsi="Candara"/>
                <w:b w:val="0"/>
                <w:spacing w:val="-8"/>
                <w:sz w:val="20"/>
                <w:szCs w:val="18"/>
              </w:rPr>
            </w:pPr>
            <w:r w:rsidRPr="00656CCF">
              <w:rPr>
                <w:rFonts w:ascii="Candara" w:hAnsi="Candara"/>
                <w:spacing w:val="-8"/>
                <w:sz w:val="20"/>
                <w:szCs w:val="18"/>
              </w:rPr>
              <w:t>Fakts</w:t>
            </w:r>
          </w:p>
        </w:tc>
        <w:tc>
          <w:tcPr>
            <w:tcW w:w="676" w:type="pct"/>
            <w:vMerge w:val="restart"/>
            <w:shd w:val="clear" w:color="auto" w:fill="C00000"/>
            <w:vAlign w:val="center"/>
          </w:tcPr>
          <w:p w:rsidR="00852583" w:rsidRPr="00530813" w:rsidP="008F097D" w14:paraId="35247254" w14:textId="77777777">
            <w:pPr>
              <w:pStyle w:val="TableText"/>
              <w:jc w:val="center"/>
              <w:rPr>
                <w:rFonts w:ascii="Candara" w:hAnsi="Candara"/>
                <w:b w:val="0"/>
                <w:spacing w:val="-8"/>
                <w:sz w:val="20"/>
                <w:szCs w:val="18"/>
              </w:rPr>
            </w:pPr>
            <w:r w:rsidRPr="001859D9">
              <w:rPr>
                <w:rFonts w:ascii="Candara" w:hAnsi="Candara"/>
                <w:spacing w:val="-8"/>
                <w:sz w:val="20"/>
                <w:szCs w:val="18"/>
              </w:rPr>
              <w:t>Progress</w:t>
            </w:r>
          </w:p>
        </w:tc>
        <w:tc>
          <w:tcPr>
            <w:tcW w:w="1399" w:type="pct"/>
            <w:gridSpan w:val="2"/>
            <w:shd w:val="clear" w:color="auto" w:fill="6D1D6B" w:themeFill="accent1" w:themeFillShade="BF"/>
          </w:tcPr>
          <w:p w:rsidR="00852583" w:rsidRPr="00656CCF" w:rsidP="008F097D" w14:paraId="5242CE71" w14:textId="77777777">
            <w:pPr>
              <w:pStyle w:val="TableText"/>
              <w:jc w:val="center"/>
              <w:rPr>
                <w:rFonts w:ascii="Candara" w:hAnsi="Candara"/>
                <w:bCs/>
                <w:spacing w:val="-8"/>
                <w:sz w:val="20"/>
                <w:szCs w:val="18"/>
                <w:lang w:bidi="lo-LA"/>
              </w:rPr>
            </w:pPr>
            <w:r w:rsidRPr="00656CCF">
              <w:rPr>
                <w:rFonts w:ascii="Candara" w:hAnsi="Candara"/>
                <w:spacing w:val="-8"/>
                <w:sz w:val="20"/>
                <w:szCs w:val="18"/>
                <w:lang w:bidi="lo-LA"/>
              </w:rPr>
              <w:t>Mērķis</w:t>
            </w:r>
          </w:p>
        </w:tc>
      </w:tr>
      <w:tr w14:paraId="65E3FD51" w14:textId="77777777" w:rsidTr="008F097D">
        <w:tblPrEx>
          <w:tblW w:w="5000" w:type="pct"/>
          <w:jc w:val="center"/>
          <w:tblLook w:val="04A0"/>
        </w:tblPrEx>
        <w:trPr>
          <w:trHeight w:val="53"/>
          <w:jc w:val="center"/>
        </w:trPr>
        <w:tc>
          <w:tcPr>
            <w:tcW w:w="1534" w:type="pct"/>
            <w:vMerge/>
            <w:shd w:val="clear" w:color="auto" w:fill="6D1D6B" w:themeFill="accent1" w:themeFillShade="BF"/>
          </w:tcPr>
          <w:p w:rsidR="00852583" w:rsidRPr="00656CCF" w:rsidP="008F097D" w14:paraId="7AB068B4" w14:textId="77777777">
            <w:pPr>
              <w:pStyle w:val="TableText"/>
              <w:jc w:val="center"/>
              <w:rPr>
                <w:rFonts w:ascii="Candara" w:hAnsi="Candara"/>
                <w:bCs/>
                <w:color w:val="FFFFFF" w:themeColor="background1"/>
                <w:spacing w:val="-8"/>
                <w:sz w:val="20"/>
                <w:szCs w:val="18"/>
                <w:lang w:bidi="lo-LA"/>
              </w:rPr>
            </w:pPr>
          </w:p>
        </w:tc>
        <w:tc>
          <w:tcPr>
            <w:tcW w:w="732" w:type="pct"/>
            <w:shd w:val="clear" w:color="auto" w:fill="6D1D6B" w:themeFill="accent1" w:themeFillShade="BF"/>
          </w:tcPr>
          <w:p w:rsidR="00852583" w:rsidRPr="00656CCF" w:rsidP="008F097D" w14:paraId="5CADC723" w14:textId="77777777">
            <w:pPr>
              <w:pStyle w:val="TableText"/>
              <w:jc w:val="center"/>
              <w:rPr>
                <w:rFonts w:ascii="Candara" w:hAnsi="Candara"/>
                <w:b/>
                <w:color w:val="FFFFFF" w:themeColor="background1"/>
                <w:spacing w:val="-8"/>
                <w:sz w:val="20"/>
                <w:szCs w:val="18"/>
                <w:lang w:bidi="lo-LA"/>
              </w:rPr>
            </w:pPr>
            <w:r w:rsidRPr="00656CCF">
              <w:rPr>
                <w:rFonts w:ascii="Candara" w:hAnsi="Candara"/>
                <w:b/>
                <w:color w:val="FFFFFF" w:themeColor="background1"/>
                <w:spacing w:val="-8"/>
                <w:sz w:val="20"/>
                <w:szCs w:val="18"/>
                <w:lang w:bidi="lo-LA"/>
              </w:rPr>
              <w:t>2015</w:t>
            </w:r>
          </w:p>
        </w:tc>
        <w:tc>
          <w:tcPr>
            <w:tcW w:w="659" w:type="pct"/>
            <w:vMerge/>
            <w:shd w:val="clear" w:color="auto" w:fill="C00000"/>
            <w:vAlign w:val="center"/>
          </w:tcPr>
          <w:p w:rsidR="00852583" w:rsidRPr="00656CCF" w:rsidP="008F097D" w14:paraId="11BD6C66" w14:textId="77777777">
            <w:pPr>
              <w:pStyle w:val="TableText"/>
              <w:jc w:val="center"/>
              <w:rPr>
                <w:rFonts w:ascii="Candara" w:hAnsi="Candara"/>
                <w:b/>
                <w:color w:val="FFFFFF" w:themeColor="background1"/>
                <w:spacing w:val="-8"/>
                <w:sz w:val="20"/>
                <w:szCs w:val="18"/>
              </w:rPr>
            </w:pPr>
          </w:p>
        </w:tc>
        <w:tc>
          <w:tcPr>
            <w:tcW w:w="676" w:type="pct"/>
            <w:vMerge/>
            <w:shd w:val="clear" w:color="auto" w:fill="C00000"/>
            <w:vAlign w:val="center"/>
          </w:tcPr>
          <w:p w:rsidR="00852583" w:rsidRPr="00656CCF" w:rsidP="008F097D" w14:paraId="2AF44100" w14:textId="77777777">
            <w:pPr>
              <w:pStyle w:val="TableText"/>
              <w:jc w:val="center"/>
              <w:rPr>
                <w:rFonts w:ascii="Candara" w:hAnsi="Candara"/>
                <w:b/>
                <w:color w:val="FFFFFF" w:themeColor="background1"/>
                <w:spacing w:val="-8"/>
                <w:sz w:val="20"/>
                <w:szCs w:val="18"/>
              </w:rPr>
            </w:pPr>
          </w:p>
        </w:tc>
        <w:tc>
          <w:tcPr>
            <w:tcW w:w="641" w:type="pct"/>
            <w:shd w:val="clear" w:color="auto" w:fill="6D1D6B" w:themeFill="accent1" w:themeFillShade="BF"/>
          </w:tcPr>
          <w:p w:rsidR="00852583" w:rsidRPr="00656CCF" w:rsidP="008F097D" w14:paraId="776E5C76" w14:textId="77777777">
            <w:pPr>
              <w:pStyle w:val="TableText"/>
              <w:jc w:val="center"/>
              <w:rPr>
                <w:rFonts w:ascii="Candara" w:hAnsi="Candara"/>
                <w:b/>
                <w:color w:val="FFFFFF" w:themeColor="background1"/>
                <w:spacing w:val="-8"/>
                <w:sz w:val="20"/>
                <w:szCs w:val="18"/>
                <w:lang w:bidi="lo-LA"/>
              </w:rPr>
            </w:pPr>
            <w:r w:rsidRPr="00656CCF">
              <w:rPr>
                <w:rFonts w:ascii="Candara" w:hAnsi="Candara"/>
                <w:b/>
                <w:color w:val="FFFFFF" w:themeColor="background1"/>
                <w:spacing w:val="-8"/>
                <w:sz w:val="20"/>
                <w:szCs w:val="18"/>
                <w:lang w:bidi="lo-LA"/>
              </w:rPr>
              <w:t>2018</w:t>
            </w:r>
          </w:p>
        </w:tc>
        <w:tc>
          <w:tcPr>
            <w:tcW w:w="758" w:type="pct"/>
            <w:shd w:val="clear" w:color="auto" w:fill="6D1D6B" w:themeFill="accent1" w:themeFillShade="BF"/>
          </w:tcPr>
          <w:p w:rsidR="00852583" w:rsidRPr="00656CCF" w:rsidP="008F097D" w14:paraId="5FDE154C" w14:textId="77777777">
            <w:pPr>
              <w:pStyle w:val="TableText"/>
              <w:jc w:val="center"/>
              <w:rPr>
                <w:rFonts w:ascii="Candara" w:hAnsi="Candara"/>
                <w:b/>
                <w:color w:val="FFFFFF" w:themeColor="background1"/>
                <w:spacing w:val="-8"/>
                <w:sz w:val="20"/>
                <w:szCs w:val="18"/>
                <w:lang w:bidi="lo-LA"/>
              </w:rPr>
            </w:pPr>
            <w:r w:rsidRPr="00656CCF">
              <w:rPr>
                <w:rFonts w:ascii="Candara" w:hAnsi="Candara"/>
                <w:b/>
                <w:color w:val="FFFFFF" w:themeColor="background1"/>
                <w:spacing w:val="-8"/>
                <w:sz w:val="20"/>
                <w:szCs w:val="18"/>
                <w:lang w:bidi="lo-LA"/>
              </w:rPr>
              <w:t>2020</w:t>
            </w:r>
          </w:p>
        </w:tc>
      </w:tr>
      <w:tr w14:paraId="7FA4ED65" w14:textId="77777777" w:rsidTr="008F097D">
        <w:tblPrEx>
          <w:tblW w:w="5000" w:type="pct"/>
          <w:jc w:val="center"/>
          <w:tblLook w:val="04A0"/>
        </w:tblPrEx>
        <w:trPr>
          <w:jc w:val="center"/>
        </w:trPr>
        <w:tc>
          <w:tcPr>
            <w:tcW w:w="1534" w:type="pct"/>
          </w:tcPr>
          <w:p w:rsidR="00852583" w:rsidRPr="00656CCF" w:rsidP="008F097D" w14:paraId="7679FE2A" w14:textId="77777777">
            <w:pPr>
              <w:rPr>
                <w:rFonts w:ascii="Candara" w:eastAsia="Times New Roman" w:hAnsi="Candara" w:cs="Times New Roman"/>
                <w:b w:val="0"/>
                <w:iCs/>
                <w:noProof/>
                <w:color w:val="000000" w:themeColor="text1"/>
                <w:spacing w:val="-8"/>
                <w:sz w:val="20"/>
                <w:szCs w:val="18"/>
                <w:lang w:eastAsia="lv-LV" w:bidi="lo-LA"/>
              </w:rPr>
            </w:pPr>
            <w:r w:rsidRPr="00656CCF">
              <w:rPr>
                <w:rFonts w:ascii="Candara" w:eastAsia="Times New Roman" w:hAnsi="Candara" w:cs="Times New Roman"/>
                <w:b w:val="0"/>
                <w:iCs/>
                <w:noProof/>
                <w:color w:val="000000" w:themeColor="text1"/>
                <w:spacing w:val="-8"/>
                <w:sz w:val="20"/>
                <w:szCs w:val="18"/>
                <w:lang w:eastAsia="lv-LV" w:bidi="lo-LA"/>
              </w:rPr>
              <w:t>Eksporta pieaugums (vidēji gadā salīdzināmās cenās, %)</w:t>
            </w:r>
          </w:p>
        </w:tc>
        <w:tc>
          <w:tcPr>
            <w:tcW w:w="732" w:type="pct"/>
            <w:vAlign w:val="center"/>
          </w:tcPr>
          <w:p w:rsidR="00852583" w:rsidRPr="00656CCF" w:rsidP="008F097D" w14:paraId="4118871F" w14:textId="77777777">
            <w:pPr>
              <w:jc w:val="center"/>
              <w:rPr>
                <w:rFonts w:ascii="Candara" w:eastAsia="Times New Roman" w:hAnsi="Candara" w:cs="Times New Roman"/>
                <w:bCs/>
                <w:iCs/>
                <w:noProof/>
                <w:color w:val="000000" w:themeColor="text1"/>
                <w:spacing w:val="-8"/>
                <w:sz w:val="20"/>
                <w:szCs w:val="18"/>
                <w:lang w:eastAsia="lv-LV" w:bidi="lo-LA"/>
              </w:rPr>
            </w:pPr>
            <w:r>
              <w:rPr>
                <w:rFonts w:ascii="Candara" w:eastAsia="Times New Roman" w:hAnsi="Candara" w:cs="Times New Roman"/>
                <w:bCs/>
                <w:iCs/>
                <w:noProof/>
                <w:color w:val="000000" w:themeColor="text1"/>
                <w:spacing w:val="-8"/>
                <w:sz w:val="20"/>
                <w:szCs w:val="18"/>
                <w:lang w:eastAsia="lv-LV" w:bidi="lo-LA"/>
              </w:rPr>
              <w:t>1,4</w:t>
            </w:r>
          </w:p>
        </w:tc>
        <w:tc>
          <w:tcPr>
            <w:tcW w:w="659" w:type="pct"/>
            <w:shd w:val="clear" w:color="auto" w:fill="D9D9D9" w:themeFill="background1" w:themeFillShade="D9"/>
            <w:vAlign w:val="center"/>
          </w:tcPr>
          <w:p w:rsidR="00852583" w:rsidRPr="00656CCF" w:rsidP="008F097D" w14:paraId="65047F76" w14:textId="77777777">
            <w:pPr>
              <w:pStyle w:val="TableText"/>
              <w:jc w:val="center"/>
              <w:rPr>
                <w:rFonts w:ascii="Candara" w:hAnsi="Candara"/>
                <w:color w:val="000000" w:themeColor="text1"/>
                <w:spacing w:val="-8"/>
                <w:sz w:val="20"/>
                <w:szCs w:val="18"/>
                <w:lang w:bidi="lo-LA"/>
              </w:rPr>
            </w:pPr>
            <w:r>
              <w:rPr>
                <w:rFonts w:ascii="Candara" w:hAnsi="Candara"/>
                <w:color w:val="000000" w:themeColor="text1"/>
                <w:spacing w:val="-8"/>
                <w:sz w:val="20"/>
                <w:szCs w:val="18"/>
                <w:lang w:bidi="lo-LA"/>
              </w:rPr>
              <w:t>2,6</w:t>
            </w:r>
          </w:p>
          <w:p w:rsidR="00852583" w:rsidRPr="001859D9" w:rsidP="008F097D" w14:paraId="789AAB7A" w14:textId="77777777">
            <w:pPr>
              <w:pStyle w:val="TableText"/>
              <w:jc w:val="center"/>
              <w:rPr>
                <w:rFonts w:ascii="Candara" w:hAnsi="Candara"/>
                <w:color w:val="000000" w:themeColor="text1"/>
                <w:spacing w:val="-8"/>
                <w:sz w:val="20"/>
                <w:szCs w:val="18"/>
                <w:lang w:bidi="lo-LA"/>
              </w:rPr>
            </w:pPr>
            <w:r w:rsidRPr="00656CCF">
              <w:rPr>
                <w:rFonts w:ascii="Candara" w:hAnsi="Candara"/>
                <w:color w:val="000000" w:themeColor="text1"/>
                <w:spacing w:val="-8"/>
                <w:sz w:val="20"/>
                <w:szCs w:val="18"/>
                <w:lang w:bidi="lo-LA"/>
              </w:rPr>
              <w:t>(2016)</w:t>
            </w:r>
          </w:p>
        </w:tc>
        <w:tc>
          <w:tcPr>
            <w:tcW w:w="676" w:type="pct"/>
            <w:shd w:val="clear" w:color="auto" w:fill="D9D9D9" w:themeFill="background1" w:themeFillShade="D9"/>
            <w:vAlign w:val="center"/>
          </w:tcPr>
          <w:p w:rsidR="00852583" w:rsidRPr="00656CCF" w:rsidP="008F097D" w14:paraId="60B170D0" w14:textId="77777777">
            <w:pPr>
              <w:pStyle w:val="TableText"/>
              <w:jc w:val="center"/>
              <w:rPr>
                <w:rFonts w:ascii="Candara" w:hAnsi="Candara"/>
                <w:color w:val="000000" w:themeColor="text1"/>
                <w:spacing w:val="-8"/>
                <w:sz w:val="20"/>
                <w:szCs w:val="18"/>
              </w:rPr>
            </w:pPr>
            <w:r w:rsidRPr="00656CCF">
              <w:rPr>
                <w:rFonts w:ascii="Wingdings 3" w:hAnsi="Wingdings 3"/>
                <w:color w:val="463F90" w:themeColor="accent4" w:themeShade="BF"/>
                <w:spacing w:val="-8"/>
                <w:sz w:val="36"/>
                <w:szCs w:val="18"/>
              </w:rPr>
              <w:sym w:font="Wingdings 3" w:char="F084"/>
            </w:r>
          </w:p>
        </w:tc>
        <w:tc>
          <w:tcPr>
            <w:tcW w:w="1399" w:type="pct"/>
            <w:gridSpan w:val="2"/>
            <w:vAlign w:val="center"/>
          </w:tcPr>
          <w:p w:rsidR="00852583" w:rsidRPr="00656CCF" w:rsidP="008F097D" w14:paraId="1241C165" w14:textId="77777777">
            <w:pPr>
              <w:jc w:val="center"/>
              <w:rPr>
                <w:rFonts w:ascii="Candara" w:eastAsia="Times New Roman" w:hAnsi="Candara" w:cs="Times New Roman"/>
                <w:bCs/>
                <w:iCs/>
                <w:noProof/>
                <w:color w:val="000000" w:themeColor="text1"/>
                <w:spacing w:val="-8"/>
                <w:sz w:val="20"/>
                <w:szCs w:val="18"/>
                <w:lang w:eastAsia="lv-LV" w:bidi="lo-LA"/>
              </w:rPr>
            </w:pPr>
            <w:r>
              <w:rPr>
                <w:rFonts w:ascii="Candara" w:eastAsia="Times New Roman" w:hAnsi="Candara" w:cs="Times New Roman"/>
                <w:bCs/>
                <w:iCs/>
                <w:noProof/>
                <w:color w:val="000000" w:themeColor="text1"/>
                <w:spacing w:val="-8"/>
                <w:sz w:val="20"/>
                <w:szCs w:val="18"/>
                <w:lang w:eastAsia="lv-LV" w:bidi="lo-LA"/>
              </w:rPr>
              <w:t>5</w:t>
            </w:r>
            <w:r w:rsidRPr="00656CCF">
              <w:rPr>
                <w:rFonts w:ascii="Candara" w:eastAsia="Times New Roman" w:hAnsi="Candara" w:cs="Times New Roman"/>
                <w:bCs/>
                <w:iCs/>
                <w:noProof/>
                <w:color w:val="000000" w:themeColor="text1"/>
                <w:spacing w:val="-8"/>
                <w:sz w:val="20"/>
                <w:szCs w:val="18"/>
                <w:lang w:eastAsia="lv-LV" w:bidi="lo-LA"/>
              </w:rPr>
              <w:t xml:space="preserve"> (2018.–2020.g., vidēji gadā)</w:t>
            </w:r>
          </w:p>
        </w:tc>
      </w:tr>
      <w:tr w14:paraId="1711B678" w14:textId="77777777" w:rsidTr="008F097D">
        <w:tblPrEx>
          <w:tblW w:w="5000" w:type="pct"/>
          <w:jc w:val="center"/>
          <w:tblLook w:val="04A0"/>
        </w:tblPrEx>
        <w:trPr>
          <w:jc w:val="center"/>
        </w:trPr>
        <w:tc>
          <w:tcPr>
            <w:tcW w:w="1534" w:type="pct"/>
          </w:tcPr>
          <w:p w:rsidR="00852583" w:rsidRPr="00656CCF" w:rsidP="008F097D" w14:paraId="75343440" w14:textId="77777777">
            <w:pPr>
              <w:rPr>
                <w:rFonts w:ascii="Candara" w:eastAsia="Times New Roman" w:hAnsi="Candara" w:cs="Times New Roman"/>
                <w:b w:val="0"/>
                <w:iCs/>
                <w:noProof/>
                <w:color w:val="000000" w:themeColor="text1"/>
                <w:spacing w:val="-8"/>
                <w:sz w:val="20"/>
                <w:szCs w:val="18"/>
                <w:lang w:eastAsia="lv-LV" w:bidi="lo-LA"/>
              </w:rPr>
            </w:pPr>
            <w:r w:rsidRPr="00656CCF">
              <w:rPr>
                <w:rFonts w:ascii="Candara" w:eastAsia="Times New Roman" w:hAnsi="Candara" w:cs="Times New Roman"/>
                <w:b w:val="0"/>
                <w:iCs/>
                <w:noProof/>
                <w:color w:val="000000" w:themeColor="text1"/>
                <w:spacing w:val="-8"/>
                <w:sz w:val="20"/>
                <w:szCs w:val="18"/>
                <w:lang w:eastAsia="lv-LV" w:bidi="lo-LA"/>
              </w:rPr>
              <w:t>Augsto tehnoloģiju produktu īpatsvars Latvijas kopējā eksportā (%)</w:t>
            </w:r>
            <w:r>
              <w:rPr>
                <w:rStyle w:val="FootnoteReference"/>
                <w:rFonts w:ascii="Candara" w:eastAsia="Times New Roman" w:hAnsi="Candara" w:cs="Times New Roman"/>
                <w:b w:val="0"/>
                <w:iCs/>
                <w:noProof/>
                <w:color w:val="000000" w:themeColor="text1"/>
                <w:spacing w:val="-8"/>
                <w:sz w:val="20"/>
                <w:szCs w:val="18"/>
                <w:lang w:eastAsia="lv-LV" w:bidi="lo-LA"/>
              </w:rPr>
              <w:footnoteReference w:id="21"/>
            </w:r>
          </w:p>
        </w:tc>
        <w:tc>
          <w:tcPr>
            <w:tcW w:w="732" w:type="pct"/>
            <w:vAlign w:val="center"/>
          </w:tcPr>
          <w:p w:rsidR="00852583" w:rsidRPr="00656CCF" w:rsidP="008F097D" w14:paraId="6EC55F20" w14:textId="77777777">
            <w:pPr>
              <w:jc w:val="center"/>
              <w:rPr>
                <w:rFonts w:ascii="Candara" w:eastAsia="Times New Roman" w:hAnsi="Candara" w:cs="Times New Roman"/>
                <w:bCs/>
                <w:iCs/>
                <w:noProof/>
                <w:color w:val="000000" w:themeColor="text1"/>
                <w:spacing w:val="-8"/>
                <w:sz w:val="20"/>
                <w:szCs w:val="18"/>
                <w:lang w:eastAsia="lv-LV" w:bidi="lo-LA"/>
              </w:rPr>
            </w:pPr>
            <w:r>
              <w:rPr>
                <w:rFonts w:ascii="Candara" w:eastAsia="Times New Roman" w:hAnsi="Candara" w:cs="Times New Roman"/>
                <w:bCs/>
                <w:iCs/>
                <w:noProof/>
                <w:color w:val="000000" w:themeColor="text1"/>
                <w:spacing w:val="-8"/>
                <w:sz w:val="20"/>
                <w:szCs w:val="18"/>
                <w:lang w:eastAsia="lv-LV" w:bidi="lo-LA"/>
              </w:rPr>
              <w:t>9,8</w:t>
            </w:r>
          </w:p>
        </w:tc>
        <w:tc>
          <w:tcPr>
            <w:tcW w:w="659" w:type="pct"/>
            <w:shd w:val="clear" w:color="auto" w:fill="D9D9D9" w:themeFill="background1" w:themeFillShade="D9"/>
            <w:vAlign w:val="center"/>
          </w:tcPr>
          <w:p w:rsidR="00852583" w:rsidRPr="00656CCF" w:rsidP="008F097D" w14:paraId="24DF53C6" w14:textId="77777777">
            <w:pPr>
              <w:pStyle w:val="TableText"/>
              <w:jc w:val="center"/>
              <w:rPr>
                <w:rFonts w:ascii="Candara" w:hAnsi="Candara"/>
                <w:color w:val="000000" w:themeColor="text1"/>
                <w:spacing w:val="-8"/>
                <w:sz w:val="20"/>
                <w:szCs w:val="18"/>
                <w:lang w:bidi="lo-LA"/>
              </w:rPr>
            </w:pPr>
            <w:r w:rsidRPr="00656CCF">
              <w:rPr>
                <w:rFonts w:ascii="Candara" w:hAnsi="Candara"/>
                <w:color w:val="000000" w:themeColor="text1"/>
                <w:spacing w:val="-8"/>
                <w:sz w:val="20"/>
                <w:szCs w:val="18"/>
                <w:lang w:bidi="lo-LA"/>
              </w:rPr>
              <w:t>9,8</w:t>
            </w:r>
          </w:p>
          <w:p w:rsidR="00852583" w:rsidRPr="00656CCF" w:rsidP="008F097D" w14:paraId="269DA43B" w14:textId="77777777">
            <w:pPr>
              <w:pStyle w:val="TableText"/>
              <w:jc w:val="center"/>
              <w:rPr>
                <w:rFonts w:ascii="Candara" w:hAnsi="Candara"/>
                <w:color w:val="000000" w:themeColor="text1"/>
                <w:spacing w:val="-8"/>
                <w:sz w:val="20"/>
                <w:szCs w:val="18"/>
                <w:lang w:bidi="lo-LA"/>
              </w:rPr>
            </w:pPr>
            <w:r w:rsidRPr="00656CCF">
              <w:rPr>
                <w:rFonts w:ascii="Candara" w:hAnsi="Candara"/>
                <w:color w:val="000000" w:themeColor="text1"/>
                <w:spacing w:val="-8"/>
                <w:sz w:val="20"/>
                <w:szCs w:val="18"/>
                <w:lang w:bidi="lo-LA"/>
              </w:rPr>
              <w:t>(2015)</w:t>
            </w:r>
          </w:p>
        </w:tc>
        <w:tc>
          <w:tcPr>
            <w:tcW w:w="676" w:type="pct"/>
            <w:shd w:val="clear" w:color="auto" w:fill="D9D9D9" w:themeFill="background1" w:themeFillShade="D9"/>
            <w:vAlign w:val="center"/>
          </w:tcPr>
          <w:p w:rsidR="00852583" w:rsidRPr="00656CCF" w:rsidP="008F097D" w14:paraId="08B221FC" w14:textId="77777777">
            <w:pPr>
              <w:pStyle w:val="TableText"/>
              <w:jc w:val="center"/>
              <w:rPr>
                <w:rFonts w:ascii="Candara" w:hAnsi="Candara"/>
                <w:color w:val="000000" w:themeColor="text1"/>
                <w:spacing w:val="-8"/>
                <w:sz w:val="20"/>
                <w:szCs w:val="18"/>
              </w:rPr>
            </w:pPr>
            <w:r w:rsidRPr="00656CCF">
              <w:rPr>
                <w:rFonts w:ascii="Candara" w:hAnsi="Candara"/>
                <w:color w:val="000000" w:themeColor="text1"/>
                <w:spacing w:val="-8"/>
                <w:sz w:val="20"/>
                <w:szCs w:val="18"/>
              </w:rPr>
              <w:t>-</w:t>
            </w:r>
          </w:p>
        </w:tc>
        <w:tc>
          <w:tcPr>
            <w:tcW w:w="641" w:type="pct"/>
            <w:vAlign w:val="center"/>
          </w:tcPr>
          <w:p w:rsidR="00852583" w:rsidRPr="001859D9" w:rsidP="008F097D" w14:paraId="34CE7D04" w14:textId="77777777">
            <w:pPr>
              <w:jc w:val="center"/>
              <w:rPr>
                <w:rFonts w:ascii="Candara" w:eastAsia="Times New Roman" w:hAnsi="Candara" w:cs="Times New Roman"/>
                <w:bCs/>
                <w:iCs/>
                <w:noProof/>
                <w:color w:val="000000" w:themeColor="text1"/>
                <w:spacing w:val="-8"/>
                <w:sz w:val="20"/>
                <w:szCs w:val="18"/>
                <w:lang w:eastAsia="lv-LV" w:bidi="lo-LA"/>
              </w:rPr>
            </w:pPr>
            <w:r w:rsidRPr="00656CCF">
              <w:rPr>
                <w:rFonts w:ascii="Candara" w:eastAsia="Times New Roman" w:hAnsi="Candara" w:cs="Times New Roman"/>
                <w:bCs/>
                <w:iCs/>
                <w:noProof/>
                <w:color w:val="000000" w:themeColor="text1"/>
                <w:spacing w:val="-8"/>
                <w:sz w:val="20"/>
                <w:szCs w:val="18"/>
                <w:lang w:eastAsia="lv-LV" w:bidi="lo-LA"/>
              </w:rPr>
              <w:t>10,5%</w:t>
            </w:r>
          </w:p>
        </w:tc>
        <w:tc>
          <w:tcPr>
            <w:tcW w:w="758" w:type="pct"/>
            <w:vAlign w:val="center"/>
          </w:tcPr>
          <w:p w:rsidR="00852583" w:rsidRPr="00530813" w:rsidP="008F097D" w14:paraId="709ECC54" w14:textId="77777777">
            <w:pPr>
              <w:jc w:val="center"/>
              <w:rPr>
                <w:rFonts w:ascii="Candara" w:eastAsia="Times New Roman" w:hAnsi="Candara" w:cs="Times New Roman"/>
                <w:bCs/>
                <w:iCs/>
                <w:noProof/>
                <w:color w:val="000000" w:themeColor="text1"/>
                <w:spacing w:val="-8"/>
                <w:sz w:val="20"/>
                <w:szCs w:val="18"/>
                <w:lang w:eastAsia="lv-LV" w:bidi="lo-LA"/>
              </w:rPr>
            </w:pPr>
            <w:r w:rsidRPr="001859D9">
              <w:rPr>
                <w:rFonts w:ascii="Candara" w:eastAsia="Times New Roman" w:hAnsi="Candara" w:cs="Times New Roman"/>
                <w:bCs/>
                <w:iCs/>
                <w:noProof/>
                <w:color w:val="000000" w:themeColor="text1"/>
                <w:spacing w:val="-8"/>
                <w:sz w:val="20"/>
                <w:szCs w:val="18"/>
                <w:lang w:eastAsia="lv-LV" w:bidi="lo-LA"/>
              </w:rPr>
              <w:t>11%</w:t>
            </w:r>
          </w:p>
        </w:tc>
      </w:tr>
      <w:tr w14:paraId="2FFB7503" w14:textId="77777777" w:rsidTr="008F097D">
        <w:tblPrEx>
          <w:tblW w:w="5000" w:type="pct"/>
          <w:jc w:val="center"/>
          <w:tblLook w:val="04A0"/>
        </w:tblPrEx>
        <w:trPr>
          <w:jc w:val="center"/>
        </w:trPr>
        <w:tc>
          <w:tcPr>
            <w:tcW w:w="1534" w:type="pct"/>
          </w:tcPr>
          <w:p w:rsidR="00852583" w:rsidRPr="00656CCF" w:rsidP="008F097D" w14:paraId="1D91C820" w14:textId="77777777">
            <w:pPr>
              <w:rPr>
                <w:rFonts w:ascii="Candara" w:eastAsia="Times New Roman" w:hAnsi="Candara" w:cs="Times New Roman"/>
                <w:b w:val="0"/>
                <w:iCs/>
                <w:noProof/>
                <w:color w:val="000000" w:themeColor="text1"/>
                <w:spacing w:val="-8"/>
                <w:sz w:val="20"/>
                <w:szCs w:val="18"/>
                <w:lang w:eastAsia="lv-LV" w:bidi="lo-LA"/>
              </w:rPr>
            </w:pPr>
            <w:r w:rsidRPr="00656CCF">
              <w:rPr>
                <w:rFonts w:ascii="Candara" w:eastAsia="Times New Roman" w:hAnsi="Candara" w:cs="Times New Roman"/>
                <w:b w:val="0"/>
                <w:iCs/>
                <w:noProof/>
                <w:color w:val="000000" w:themeColor="text1"/>
                <w:spacing w:val="-8"/>
                <w:sz w:val="20"/>
                <w:szCs w:val="18"/>
                <w:lang w:eastAsia="lv-LV" w:bidi="lo-LA"/>
              </w:rPr>
              <w:t>ĀTI snieguma indekss (Baltijas reģionā)</w:t>
            </w:r>
          </w:p>
        </w:tc>
        <w:tc>
          <w:tcPr>
            <w:tcW w:w="732" w:type="pct"/>
            <w:vAlign w:val="center"/>
          </w:tcPr>
          <w:p w:rsidR="00852583" w:rsidRPr="00656CCF" w:rsidP="008F097D" w14:paraId="7CB745BE" w14:textId="77777777">
            <w:pPr>
              <w:jc w:val="center"/>
              <w:rPr>
                <w:rFonts w:ascii="Candara" w:eastAsia="Times New Roman" w:hAnsi="Candara" w:cs="Times New Roman"/>
                <w:bCs/>
                <w:iCs/>
                <w:noProof/>
                <w:color w:val="000000" w:themeColor="text1"/>
                <w:spacing w:val="-8"/>
                <w:sz w:val="20"/>
                <w:szCs w:val="18"/>
                <w:lang w:eastAsia="lv-LV" w:bidi="lo-LA"/>
              </w:rPr>
            </w:pPr>
            <w:r w:rsidRPr="00656CCF">
              <w:rPr>
                <w:rFonts w:ascii="Candara" w:eastAsia="Times New Roman" w:hAnsi="Candara" w:cs="Times New Roman"/>
                <w:bCs/>
                <w:iCs/>
                <w:noProof/>
                <w:color w:val="000000" w:themeColor="text1"/>
                <w:spacing w:val="-8"/>
                <w:sz w:val="20"/>
                <w:szCs w:val="18"/>
                <w:lang w:eastAsia="lv-LV" w:bidi="lo-LA"/>
              </w:rPr>
              <w:t>1,5</w:t>
            </w:r>
          </w:p>
        </w:tc>
        <w:tc>
          <w:tcPr>
            <w:tcW w:w="659" w:type="pct"/>
            <w:shd w:val="clear" w:color="auto" w:fill="D9D9D9" w:themeFill="background1" w:themeFillShade="D9"/>
            <w:vAlign w:val="center"/>
          </w:tcPr>
          <w:p w:rsidR="00852583" w:rsidRPr="00656CCF" w:rsidP="008F097D" w14:paraId="1DFB8D3A" w14:textId="77777777">
            <w:pPr>
              <w:pStyle w:val="TableText"/>
              <w:jc w:val="center"/>
              <w:rPr>
                <w:rFonts w:ascii="Candara" w:hAnsi="Candara"/>
                <w:color w:val="000000" w:themeColor="text1"/>
                <w:spacing w:val="-8"/>
                <w:sz w:val="20"/>
                <w:szCs w:val="18"/>
                <w:lang w:bidi="lo-LA"/>
              </w:rPr>
            </w:pPr>
            <w:r w:rsidRPr="00656CCF">
              <w:rPr>
                <w:rFonts w:ascii="Candara" w:hAnsi="Candara"/>
                <w:color w:val="000000" w:themeColor="text1"/>
                <w:spacing w:val="-8"/>
                <w:sz w:val="20"/>
                <w:szCs w:val="18"/>
                <w:lang w:bidi="lo-LA"/>
              </w:rPr>
              <w:t>1,4</w:t>
            </w:r>
          </w:p>
          <w:p w:rsidR="00852583" w:rsidRPr="00656CCF" w:rsidP="008F097D" w14:paraId="56659FA5" w14:textId="77777777">
            <w:pPr>
              <w:pStyle w:val="TableText"/>
              <w:jc w:val="center"/>
              <w:rPr>
                <w:rFonts w:ascii="Candara" w:hAnsi="Candara"/>
                <w:color w:val="000000" w:themeColor="text1"/>
                <w:spacing w:val="-8"/>
                <w:sz w:val="20"/>
                <w:szCs w:val="18"/>
                <w:lang w:bidi="lo-LA"/>
              </w:rPr>
            </w:pPr>
            <w:r w:rsidRPr="00656CCF">
              <w:rPr>
                <w:rFonts w:ascii="Candara" w:hAnsi="Candara"/>
                <w:color w:val="000000" w:themeColor="text1"/>
                <w:spacing w:val="-8"/>
                <w:sz w:val="20"/>
                <w:szCs w:val="18"/>
                <w:lang w:bidi="lo-LA"/>
              </w:rPr>
              <w:t>(2016)</w:t>
            </w:r>
          </w:p>
        </w:tc>
        <w:tc>
          <w:tcPr>
            <w:tcW w:w="676" w:type="pct"/>
            <w:shd w:val="clear" w:color="auto" w:fill="D9D9D9" w:themeFill="background1" w:themeFillShade="D9"/>
            <w:vAlign w:val="center"/>
          </w:tcPr>
          <w:p w:rsidR="00852583" w:rsidRPr="00656CCF" w:rsidP="008F097D" w14:paraId="13AA51EA" w14:textId="77777777">
            <w:pPr>
              <w:pStyle w:val="TableText"/>
              <w:jc w:val="center"/>
              <w:rPr>
                <w:rFonts w:ascii="Candara" w:hAnsi="Candara"/>
                <w:color w:val="000000" w:themeColor="text1"/>
                <w:spacing w:val="-8"/>
                <w:sz w:val="20"/>
                <w:szCs w:val="18"/>
              </w:rPr>
            </w:pPr>
            <w:r w:rsidRPr="00656CCF">
              <w:rPr>
                <w:rFonts w:ascii="Wingdings 3" w:hAnsi="Wingdings 3"/>
                <w:color w:val="C00000"/>
                <w:spacing w:val="-8"/>
                <w:sz w:val="36"/>
                <w:szCs w:val="18"/>
              </w:rPr>
              <w:sym w:font="Wingdings 3" w:char="F082"/>
            </w:r>
          </w:p>
        </w:tc>
        <w:tc>
          <w:tcPr>
            <w:tcW w:w="1399" w:type="pct"/>
            <w:gridSpan w:val="2"/>
            <w:vAlign w:val="center"/>
          </w:tcPr>
          <w:p w:rsidR="00852583" w:rsidRPr="00656CCF" w:rsidP="008F097D" w14:paraId="081530BD" w14:textId="77777777">
            <w:pPr>
              <w:jc w:val="center"/>
              <w:rPr>
                <w:rFonts w:ascii="Candara" w:eastAsia="Times New Roman" w:hAnsi="Candara" w:cs="Times New Roman"/>
                <w:bCs/>
                <w:iCs/>
                <w:noProof/>
                <w:color w:val="000000" w:themeColor="text1"/>
                <w:spacing w:val="-8"/>
                <w:sz w:val="20"/>
                <w:szCs w:val="18"/>
                <w:lang w:eastAsia="lv-LV" w:bidi="lo-LA"/>
              </w:rPr>
            </w:pPr>
            <w:r w:rsidRPr="00656CCF">
              <w:rPr>
                <w:rFonts w:ascii="Candara" w:eastAsia="Times New Roman" w:hAnsi="Candara" w:cs="Times New Roman"/>
                <w:bCs/>
                <w:iCs/>
                <w:noProof/>
                <w:color w:val="000000" w:themeColor="text1"/>
                <w:spacing w:val="-8"/>
                <w:sz w:val="20"/>
                <w:szCs w:val="18"/>
                <w:lang w:eastAsia="lv-LV" w:bidi="lo-LA"/>
              </w:rPr>
              <w:t>1,2  (2018.- 2020.g., vidēji gadā)</w:t>
            </w:r>
          </w:p>
        </w:tc>
      </w:tr>
    </w:tbl>
    <w:p w:rsidR="00852583" w:rsidRPr="00FB3AFD" w:rsidP="00852583" w14:paraId="5CC4D053" w14:textId="77777777">
      <w:pPr>
        <w:spacing w:after="0" w:line="240" w:lineRule="auto"/>
        <w:jc w:val="both"/>
        <w:rPr>
          <w:rFonts w:ascii="Candara" w:hAnsi="Candara"/>
          <w:sz w:val="2"/>
        </w:rPr>
      </w:pPr>
    </w:p>
    <w:tbl>
      <w:tblPr>
        <w:tblStyle w:val="PlainTable41"/>
        <w:tblW w:w="0" w:type="auto"/>
        <w:tblLook w:val="04A0"/>
      </w:tblPr>
      <w:tblGrid>
        <w:gridCol w:w="3307"/>
        <w:gridCol w:w="3308"/>
        <w:gridCol w:w="3308"/>
      </w:tblGrid>
      <w:tr w14:paraId="64B61BCF" w14:textId="77777777" w:rsidTr="008F097D">
        <w:tblPrEx>
          <w:tblW w:w="0" w:type="auto"/>
          <w:tblLook w:val="04A0"/>
        </w:tblPrEx>
        <w:tc>
          <w:tcPr>
            <w:tcW w:w="3392" w:type="dxa"/>
            <w:vAlign w:val="center"/>
          </w:tcPr>
          <w:p w:rsidR="00852583" w:rsidRPr="007B4F3B" w:rsidP="008F097D" w14:paraId="0578F100" w14:textId="77777777">
            <w:pPr>
              <w:ind w:left="-113" w:right="-113"/>
              <w:jc w:val="center"/>
              <w:rPr>
                <w:rFonts w:ascii="Candara" w:hAnsi="Candara"/>
                <w:b w:val="0"/>
                <w:sz w:val="20"/>
              </w:rPr>
            </w:pPr>
            <w:r>
              <w:rPr>
                <w:rFonts w:ascii="Candara" w:hAnsi="Candara"/>
                <w:color w:val="000000" w:themeColor="text1"/>
                <w:spacing w:val="-8"/>
                <w:sz w:val="20"/>
                <w:szCs w:val="18"/>
                <w:lang w:bidi="lo-LA"/>
              </w:rPr>
              <w:t>32</w:t>
            </w:r>
            <w:r w:rsidRPr="00A92534">
              <w:rPr>
                <w:rFonts w:ascii="Candara" w:hAnsi="Candara"/>
                <w:color w:val="000000" w:themeColor="text1"/>
                <w:spacing w:val="-8"/>
                <w:sz w:val="20"/>
                <w:szCs w:val="18"/>
                <w:lang w:bidi="lo-LA"/>
              </w:rPr>
              <w:t>.attēls. Eksporta izmaiņas, vidēji 3-gadu periodā, salīdz. cenās,</w:t>
            </w:r>
            <w:r>
              <w:rPr>
                <w:rFonts w:ascii="Candara" w:hAnsi="Candara"/>
                <w:b w:val="0"/>
                <w:color w:val="000000" w:themeColor="text1"/>
                <w:spacing w:val="-8"/>
                <w:sz w:val="20"/>
                <w:szCs w:val="18"/>
                <w:lang w:bidi="lo-LA"/>
              </w:rPr>
              <w:t xml:space="preserve"> 2007.=100</w:t>
            </w:r>
          </w:p>
        </w:tc>
        <w:tc>
          <w:tcPr>
            <w:tcW w:w="3107" w:type="dxa"/>
            <w:vAlign w:val="center"/>
          </w:tcPr>
          <w:p w:rsidR="00852583" w:rsidRPr="007B4F3B" w:rsidP="008F097D" w14:paraId="0BC22F3F" w14:textId="77777777">
            <w:pPr>
              <w:ind w:left="-113" w:right="-113"/>
              <w:jc w:val="center"/>
              <w:rPr>
                <w:rFonts w:ascii="Candara" w:hAnsi="Candara"/>
                <w:b w:val="0"/>
                <w:sz w:val="20"/>
              </w:rPr>
            </w:pPr>
            <w:r>
              <w:rPr>
                <w:rFonts w:ascii="Candara" w:eastAsia="Times New Roman" w:hAnsi="Candara" w:cs="Times New Roman"/>
                <w:iCs/>
                <w:noProof/>
                <w:color w:val="000000" w:themeColor="text1"/>
                <w:spacing w:val="-8"/>
                <w:sz w:val="20"/>
                <w:szCs w:val="18"/>
                <w:lang w:eastAsia="lv-LV" w:bidi="lo-LA"/>
              </w:rPr>
              <w:t>33</w:t>
            </w:r>
            <w:r w:rsidRPr="00A92534">
              <w:rPr>
                <w:rFonts w:ascii="Candara" w:eastAsia="Times New Roman" w:hAnsi="Candara" w:cs="Times New Roman"/>
                <w:iCs/>
                <w:noProof/>
                <w:color w:val="000000" w:themeColor="text1"/>
                <w:spacing w:val="-8"/>
                <w:sz w:val="20"/>
                <w:szCs w:val="18"/>
                <w:lang w:eastAsia="lv-LV" w:bidi="lo-LA"/>
              </w:rPr>
              <w:t>.attēls. Augsto tehnoloģiju produktu īpatsvars Latvijas kopējā eksportā</w:t>
            </w:r>
            <w:r w:rsidRPr="00A92534">
              <w:rPr>
                <w:rFonts w:ascii="Candara" w:hAnsi="Candara"/>
                <w:color w:val="000000" w:themeColor="text1"/>
                <w:spacing w:val="-8"/>
                <w:sz w:val="20"/>
                <w:szCs w:val="18"/>
                <w:lang w:bidi="lo-LA"/>
              </w:rPr>
              <w:t>,</w:t>
            </w:r>
            <w:r w:rsidRPr="00656CCF">
              <w:rPr>
                <w:rFonts w:ascii="Candara" w:hAnsi="Candara"/>
                <w:b w:val="0"/>
                <w:color w:val="000000" w:themeColor="text1"/>
                <w:spacing w:val="-8"/>
                <w:sz w:val="20"/>
                <w:szCs w:val="18"/>
                <w:lang w:bidi="lo-LA"/>
              </w:rPr>
              <w:t xml:space="preserve"> %</w:t>
            </w:r>
          </w:p>
        </w:tc>
        <w:tc>
          <w:tcPr>
            <w:tcW w:w="3414" w:type="dxa"/>
            <w:vAlign w:val="center"/>
          </w:tcPr>
          <w:p w:rsidR="00852583" w:rsidRPr="007B4F3B" w:rsidP="008F097D" w14:paraId="339B37BD" w14:textId="77777777">
            <w:pPr>
              <w:ind w:left="-113" w:right="-113"/>
              <w:jc w:val="center"/>
              <w:rPr>
                <w:rFonts w:ascii="Candara" w:hAnsi="Candara"/>
                <w:b w:val="0"/>
                <w:sz w:val="20"/>
              </w:rPr>
            </w:pPr>
            <w:r>
              <w:rPr>
                <w:rFonts w:ascii="Candara" w:eastAsia="Times New Roman" w:hAnsi="Candara" w:cs="Times New Roman"/>
                <w:iCs/>
                <w:noProof/>
                <w:color w:val="000000" w:themeColor="text1"/>
                <w:spacing w:val="-8"/>
                <w:sz w:val="20"/>
                <w:szCs w:val="18"/>
                <w:lang w:eastAsia="lv-LV" w:bidi="lo-LA"/>
              </w:rPr>
              <w:t>34</w:t>
            </w:r>
            <w:r w:rsidRPr="00A92534">
              <w:rPr>
                <w:rFonts w:ascii="Candara" w:eastAsia="Times New Roman" w:hAnsi="Candara" w:cs="Times New Roman"/>
                <w:iCs/>
                <w:noProof/>
                <w:color w:val="000000" w:themeColor="text1"/>
                <w:spacing w:val="-8"/>
                <w:sz w:val="20"/>
                <w:szCs w:val="18"/>
                <w:lang w:eastAsia="lv-LV" w:bidi="lo-LA"/>
              </w:rPr>
              <w:t>.attēls. ĀTI snieguma indekss</w:t>
            </w:r>
            <w:r w:rsidRPr="00A92534">
              <w:rPr>
                <w:rFonts w:ascii="Candara" w:hAnsi="Candara"/>
                <w:color w:val="000000" w:themeColor="text1"/>
                <w:spacing w:val="-8"/>
                <w:sz w:val="20"/>
                <w:szCs w:val="18"/>
                <w:lang w:bidi="lo-LA"/>
              </w:rPr>
              <w:t xml:space="preserve">, </w:t>
            </w:r>
            <w:r w:rsidRPr="00A92534">
              <w:rPr>
                <w:rFonts w:ascii="Candara" w:hAnsi="Candara"/>
                <w:color w:val="000000" w:themeColor="text1"/>
                <w:spacing w:val="-8"/>
                <w:sz w:val="20"/>
                <w:szCs w:val="18"/>
                <w:lang w:bidi="lo-LA"/>
              </w:rPr>
              <w:br/>
              <w:t>3-gadu vidējais rādītājs,</w:t>
            </w:r>
            <w:r w:rsidRPr="00656CCF">
              <w:rPr>
                <w:rFonts w:ascii="Candara" w:hAnsi="Candara"/>
                <w:b w:val="0"/>
                <w:color w:val="000000" w:themeColor="text1"/>
                <w:spacing w:val="-8"/>
                <w:sz w:val="20"/>
                <w:szCs w:val="18"/>
                <w:lang w:bidi="lo-LA"/>
              </w:rPr>
              <w:t xml:space="preserve"> %</w:t>
            </w:r>
          </w:p>
        </w:tc>
      </w:tr>
      <w:tr w14:paraId="48EBD0A2" w14:textId="77777777" w:rsidTr="008F097D">
        <w:tblPrEx>
          <w:tblW w:w="0" w:type="auto"/>
          <w:tblLook w:val="04A0"/>
        </w:tblPrEx>
        <w:tc>
          <w:tcPr>
            <w:tcW w:w="3392" w:type="dxa"/>
            <w:shd w:val="clear" w:color="auto" w:fill="auto"/>
          </w:tcPr>
          <w:p w:rsidR="00852583" w:rsidRPr="007B4F3B" w:rsidP="008F097D" w14:paraId="3955BF59" w14:textId="77777777">
            <w:pPr>
              <w:ind w:left="-113" w:right="-113"/>
              <w:jc w:val="center"/>
              <w:rPr>
                <w:rFonts w:ascii="Candara" w:hAnsi="Candara"/>
                <w:sz w:val="24"/>
                <w:szCs w:val="24"/>
              </w:rPr>
            </w:pPr>
            <w:r w:rsidRPr="007B4F3B">
              <w:rPr>
                <w:rFonts w:ascii="Candara" w:hAnsi="Candara" w:cs="Segoe UI"/>
                <w:noProof/>
                <w:sz w:val="20"/>
                <w:lang w:eastAsia="lv-LV"/>
              </w:rPr>
              <w:drawing>
                <wp:inline distT="0" distB="0" distL="0" distR="0">
                  <wp:extent cx="2052000" cy="1800000"/>
                  <wp:effectExtent l="0" t="0" r="5715" b="0"/>
                  <wp:docPr id="216"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3107" w:type="dxa"/>
            <w:shd w:val="clear" w:color="auto" w:fill="auto"/>
          </w:tcPr>
          <w:p w:rsidR="00852583" w:rsidRPr="007B4F3B" w:rsidP="008F097D" w14:paraId="299A896F" w14:textId="77777777">
            <w:pPr>
              <w:ind w:left="-113" w:right="-113"/>
              <w:jc w:val="both"/>
              <w:rPr>
                <w:rFonts w:ascii="Candara" w:hAnsi="Candara"/>
                <w:sz w:val="24"/>
                <w:szCs w:val="24"/>
              </w:rPr>
            </w:pPr>
            <w:r w:rsidRPr="007B4F3B">
              <w:rPr>
                <w:rFonts w:ascii="Candara" w:hAnsi="Candara" w:cs="Segoe UI"/>
                <w:noProof/>
                <w:sz w:val="20"/>
                <w:lang w:eastAsia="lv-LV"/>
              </w:rPr>
              <w:drawing>
                <wp:inline distT="0" distB="0" distL="0" distR="0">
                  <wp:extent cx="2052000" cy="1800000"/>
                  <wp:effectExtent l="0" t="0" r="5715" b="0"/>
                  <wp:docPr id="223"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414" w:type="dxa"/>
            <w:shd w:val="clear" w:color="auto" w:fill="auto"/>
          </w:tcPr>
          <w:p w:rsidR="00852583" w:rsidRPr="007B4F3B" w:rsidP="008F097D" w14:paraId="28972178" w14:textId="77777777">
            <w:pPr>
              <w:ind w:left="-113" w:right="-113"/>
              <w:jc w:val="both"/>
              <w:rPr>
                <w:rFonts w:ascii="Candara" w:hAnsi="Candara"/>
                <w:sz w:val="24"/>
                <w:szCs w:val="24"/>
              </w:rPr>
            </w:pPr>
            <w:r w:rsidRPr="007B4F3B">
              <w:rPr>
                <w:rFonts w:ascii="Candara" w:hAnsi="Candara" w:cs="Segoe UI"/>
                <w:noProof/>
                <w:sz w:val="20"/>
                <w:lang w:eastAsia="lv-LV"/>
              </w:rPr>
              <w:drawing>
                <wp:inline distT="0" distB="0" distL="0" distR="0">
                  <wp:extent cx="2052000" cy="1800000"/>
                  <wp:effectExtent l="0" t="0" r="5715" b="0"/>
                  <wp:docPr id="288" name="Objec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rsidR="00852583" w:rsidRPr="00FB3AFD" w:rsidP="00852583" w14:paraId="19AFC11A" w14:textId="77777777">
      <w:pPr>
        <w:spacing w:after="0" w:line="240" w:lineRule="auto"/>
        <w:jc w:val="both"/>
        <w:rPr>
          <w:rFonts w:ascii="Candara" w:hAnsi="Candara"/>
          <w:sz w:val="8"/>
        </w:rPr>
      </w:pPr>
    </w:p>
    <w:p w:rsidR="00852583" w:rsidRPr="007B4F3B" w:rsidP="00B86F69" w14:paraId="068FCBA7" w14:textId="33CE8AE4">
      <w:pPr>
        <w:spacing w:after="120" w:line="240" w:lineRule="auto"/>
        <w:ind w:firstLine="426"/>
        <w:jc w:val="both"/>
        <w:rPr>
          <w:rFonts w:ascii="Candara" w:hAnsi="Candara"/>
        </w:rPr>
      </w:pPr>
      <w:r>
        <w:rPr>
          <w:rFonts w:ascii="Candara" w:hAnsi="Candara"/>
        </w:rPr>
        <w:t>laika posmā no 2014. līdz 2016. gadam</w:t>
      </w:r>
      <w:r w:rsidRPr="007B4F3B">
        <w:rPr>
          <w:rFonts w:ascii="Candara" w:hAnsi="Candara"/>
        </w:rPr>
        <w:t xml:space="preserve"> Latvijas eksporta apjomi vidēji gadā pieauga par 3,1%, kas atpalika no Pamatnostādnēs nospraustā mērķa (vidēji gadā eksporta pieaugums -5%). Eksporta pieauguma tempu samazināšanos galvenokārt ietekmēja vājš ārējais pieprasījums saistībā ar lēno ekonomisko izaugsmi Latvijas lielākajās ES tirdzniecības partnervalstīs, Krievijas ekonomikas lejupslīde, kā arī Krievijas embargo pārtikas produktu importam. Eksporta lēna izaugsme daļēji var būt skaidrojama arī ar konkurētspējas vājināšanos, ko noteica darbaspēka izmaksu straujāks kāpums nekā produktivitātes pieaugums</w:t>
      </w:r>
      <w:r>
        <w:rPr>
          <w:rFonts w:ascii="Candara" w:hAnsi="Candara"/>
        </w:rPr>
        <w:t xml:space="preserve"> (3</w:t>
      </w:r>
      <w:r w:rsidR="00A65B70">
        <w:rPr>
          <w:rFonts w:ascii="Candara" w:hAnsi="Candara"/>
        </w:rPr>
        <w:t>2</w:t>
      </w:r>
      <w:r>
        <w:rPr>
          <w:rFonts w:ascii="Candara" w:hAnsi="Candara"/>
        </w:rPr>
        <w:t>.attēls)</w:t>
      </w:r>
      <w:r w:rsidRPr="007B4F3B">
        <w:rPr>
          <w:rFonts w:ascii="Candara" w:hAnsi="Candara"/>
        </w:rPr>
        <w:t>.</w:t>
      </w:r>
    </w:p>
    <w:p w:rsidR="00852583" w:rsidRPr="00656CCF" w:rsidP="00852583" w14:paraId="55848AE7"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right"/>
        <w:rPr>
          <w:rFonts w:ascii="Candara" w:hAnsi="Candara" w:cs="Times New Roman"/>
          <w:b/>
          <w:sz w:val="20"/>
          <w:szCs w:val="20"/>
        </w:rPr>
      </w:pPr>
      <w:r>
        <w:rPr>
          <w:rFonts w:ascii="Candara" w:hAnsi="Candara" w:cs="Times New Roman"/>
          <w:b/>
          <w:sz w:val="20"/>
          <w:szCs w:val="20"/>
        </w:rPr>
        <w:t xml:space="preserve">1. </w:t>
      </w:r>
      <w:r w:rsidR="00A165DF">
        <w:rPr>
          <w:rFonts w:ascii="Candara" w:hAnsi="Candara" w:cs="Times New Roman"/>
          <w:b/>
          <w:sz w:val="20"/>
          <w:szCs w:val="20"/>
        </w:rPr>
        <w:t>I</w:t>
      </w:r>
      <w:r w:rsidRPr="00656CCF">
        <w:rPr>
          <w:rFonts w:ascii="Candara" w:hAnsi="Candara" w:cs="Times New Roman"/>
          <w:b/>
          <w:sz w:val="20"/>
          <w:szCs w:val="20"/>
        </w:rPr>
        <w:t>elikums</w:t>
      </w:r>
    </w:p>
    <w:p w:rsidR="00852583" w:rsidRPr="00656CCF" w:rsidP="00852583" w14:paraId="58D19376"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ndara" w:hAnsi="Candara" w:cs="Times New Roman"/>
          <w:b/>
          <w:szCs w:val="20"/>
        </w:rPr>
      </w:pPr>
      <w:r w:rsidRPr="00656CCF">
        <w:rPr>
          <w:rFonts w:ascii="Candara" w:hAnsi="Candara" w:cs="Times New Roman"/>
          <w:b/>
          <w:szCs w:val="20"/>
        </w:rPr>
        <w:t>Apstrādes rūpniecības struktūra Baltijas valstīs</w:t>
      </w:r>
    </w:p>
    <w:p w:rsidR="00852583" w:rsidRPr="00656CCF" w:rsidP="00852583" w14:paraId="7B130402"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ndara" w:eastAsia="Times New Roman" w:hAnsi="Candara" w:cs="Times New Roman"/>
          <w:color w:val="000000"/>
          <w:sz w:val="6"/>
          <w:szCs w:val="20"/>
          <w:lang w:eastAsia="lv-LV"/>
        </w:rPr>
      </w:pPr>
    </w:p>
    <w:p w:rsidR="00565822" w:rsidP="00565822" w14:paraId="238DC161"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ndara" w:hAnsi="Candara" w:cs="Times New Roman"/>
          <w:sz w:val="20"/>
          <w:szCs w:val="20"/>
        </w:rPr>
      </w:pPr>
      <w:r w:rsidRPr="00656CCF">
        <w:rPr>
          <w:rFonts w:ascii="Candara" w:eastAsia="Times New Roman" w:hAnsi="Candara" w:cs="Times New Roman"/>
          <w:color w:val="000000"/>
          <w:sz w:val="20"/>
          <w:szCs w:val="20"/>
          <w:lang w:eastAsia="lv-LV"/>
        </w:rPr>
        <w:t xml:space="preserve">Latvijā ir raksturīgs zems apstrādes rūpniecības īpatsvars tautsaimniecībā. Pat straujās izaugsmes gados tas </w:t>
      </w:r>
      <w:r w:rsidRPr="00656CCF">
        <w:rPr>
          <w:rFonts w:ascii="Candara" w:hAnsi="Candara" w:cs="Times New Roman"/>
          <w:sz w:val="20"/>
          <w:szCs w:val="20"/>
        </w:rPr>
        <w:t>nepārsniedz 14% (pēc pievienotās vērtības). Pēdējos trīs gados apstrādes rūpniecības nozares daļa kopējā pievienotā vērtībā veido 13%, kas ir zemāk nekā vidēji ES (15,5%), kā arī zemāk nekā Liet</w:t>
      </w:r>
      <w:r>
        <w:rPr>
          <w:rFonts w:ascii="Candara" w:hAnsi="Candara" w:cs="Times New Roman"/>
          <w:sz w:val="20"/>
          <w:szCs w:val="20"/>
        </w:rPr>
        <w:t>uvā</w:t>
      </w:r>
      <w:r w:rsidR="00A65B70">
        <w:rPr>
          <w:rFonts w:ascii="Candara" w:hAnsi="Candara" w:cs="Times New Roman"/>
          <w:sz w:val="20"/>
          <w:szCs w:val="20"/>
        </w:rPr>
        <w:t xml:space="preserve"> (19,7%) un Igaunijā (15,9%) (35</w:t>
      </w:r>
      <w:r>
        <w:rPr>
          <w:rFonts w:ascii="Candara" w:hAnsi="Candara" w:cs="Times New Roman"/>
          <w:sz w:val="20"/>
          <w:szCs w:val="20"/>
        </w:rPr>
        <w:t>.attēls).</w:t>
      </w:r>
    </w:p>
    <w:p w:rsidR="00852583" w:rsidRPr="00565822" w:rsidP="00565822" w14:paraId="10407B6F"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ndara" w:hAnsi="Candara" w:cs="Times New Roman"/>
          <w:sz w:val="20"/>
          <w:szCs w:val="20"/>
        </w:rPr>
      </w:pPr>
      <w:r>
        <w:rPr>
          <w:rFonts w:ascii="Candara" w:hAnsi="Candara" w:cs="Times New Roman"/>
          <w:b/>
          <w:sz w:val="20"/>
          <w:szCs w:val="20"/>
        </w:rPr>
        <w:t>3</w:t>
      </w:r>
      <w:r w:rsidR="00A65B70">
        <w:rPr>
          <w:rFonts w:ascii="Candara" w:hAnsi="Candara" w:cs="Times New Roman"/>
          <w:b/>
          <w:sz w:val="20"/>
          <w:szCs w:val="20"/>
        </w:rPr>
        <w:t>5</w:t>
      </w:r>
      <w:r>
        <w:rPr>
          <w:rFonts w:ascii="Candara" w:hAnsi="Candara" w:cs="Times New Roman"/>
          <w:b/>
          <w:sz w:val="20"/>
          <w:szCs w:val="20"/>
        </w:rPr>
        <w:t xml:space="preserve">.attēls. </w:t>
      </w:r>
      <w:r w:rsidRPr="00656CCF">
        <w:rPr>
          <w:rFonts w:ascii="Candara" w:hAnsi="Candara" w:cs="Times New Roman"/>
          <w:b/>
          <w:sz w:val="20"/>
          <w:szCs w:val="20"/>
        </w:rPr>
        <w:t>Apstrādes rūpniecības īpatsvars (% no IKP)</w:t>
      </w:r>
    </w:p>
    <w:p w:rsidR="00852583" w:rsidRPr="00656CCF" w:rsidP="00852583" w14:paraId="14CC18F5"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ndara" w:hAnsi="Candara" w:cs="Times New Roman"/>
          <w:sz w:val="20"/>
          <w:szCs w:val="20"/>
        </w:rPr>
      </w:pPr>
      <w:r w:rsidRPr="00656CCF">
        <w:rPr>
          <w:rFonts w:ascii="Candara" w:hAnsi="Candara" w:cs="Times New Roman"/>
          <w:noProof/>
          <w:sz w:val="20"/>
          <w:szCs w:val="20"/>
          <w:lang w:eastAsia="lv-LV"/>
        </w:rPr>
        <w:drawing>
          <wp:inline distT="0" distB="0" distL="0" distR="0">
            <wp:extent cx="5695950" cy="1163782"/>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036C8" w:rsidP="00D036C8" w14:paraId="74E63B5A"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ndara" w:hAnsi="Candara" w:cs="Times New Roman"/>
          <w:sz w:val="20"/>
          <w:szCs w:val="20"/>
        </w:rPr>
      </w:pPr>
      <w:r w:rsidRPr="00656CCF">
        <w:rPr>
          <w:rFonts w:ascii="Candara" w:hAnsi="Candara" w:cs="Times New Roman"/>
          <w:sz w:val="20"/>
          <w:szCs w:val="20"/>
        </w:rPr>
        <w:t>Apstrādes rūpniecības nozaru struktūra Baltijas valstīs kopumā ir ļoti līdzīga, kur aptuveni puse ir zemo tehnoloģiju nozares. Latvijā zemo tehnoloģiju nozaru daļa apstrādes rūpniecības pievienotajā vērtībā ir 58%, Lietuvā – 55% un Igaunijā – 46%. Liels zemo tehnoloģiju nozaru īpatsvars Latvijā, kā arī citās Baltijas valstīs galvenokārt ir saistīts ar tādām tradicionālām nozarēm, kā pārtikas ražošana un kokapstrāde, ko lielā mērā nosaka pieejamie dabas resursi un salīdzinoši lētais darbaspēks (dabiskās priekšrocības). Tomēr jāatzīmē, ka Latvijā šo divu nozaru daļa apstrādes rūpniecības pievienotajā vērtībā ir 44%, jeb gandrīz pusotras reizes lielāka nekā Igaunijā (29%) un Lietuvā (30%)</w:t>
      </w:r>
      <w:r w:rsidR="00A65B70">
        <w:rPr>
          <w:rFonts w:ascii="Candara" w:hAnsi="Candara" w:cs="Times New Roman"/>
          <w:sz w:val="20"/>
          <w:szCs w:val="20"/>
        </w:rPr>
        <w:t xml:space="preserve"> (36. un 37</w:t>
      </w:r>
      <w:r>
        <w:rPr>
          <w:rFonts w:ascii="Candara" w:hAnsi="Candara" w:cs="Times New Roman"/>
          <w:sz w:val="20"/>
          <w:szCs w:val="20"/>
        </w:rPr>
        <w:t>. attēls)</w:t>
      </w:r>
      <w:r w:rsidRPr="00656CCF">
        <w:rPr>
          <w:rFonts w:ascii="Candara" w:hAnsi="Candara" w:cs="Times New Roman"/>
          <w:sz w:val="20"/>
          <w:szCs w:val="20"/>
        </w:rPr>
        <w:t>.</w:t>
      </w:r>
    </w:p>
    <w:p w:rsidR="00694FF6" w:rsidRPr="00656CCF" w:rsidP="00694FF6" w14:paraId="3F7FEF6B"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ndara" w:hAnsi="Candara" w:cs="Times New Roman"/>
          <w:b/>
          <w:sz w:val="20"/>
          <w:szCs w:val="20"/>
        </w:rPr>
      </w:pPr>
      <w:r w:rsidRPr="00656CCF">
        <w:rPr>
          <w:rFonts w:ascii="Candara" w:hAnsi="Candara" w:cs="Times New Roman"/>
          <w:b/>
          <w:sz w:val="20"/>
          <w:szCs w:val="20"/>
        </w:rPr>
        <w:t>Apstrādes rūpniecības struktūra.</w:t>
      </w:r>
    </w:p>
    <w:p w:rsidR="00694FF6" w:rsidRPr="00656CCF" w:rsidP="00694FF6" w14:paraId="2A10C24D"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ndara" w:hAnsi="Candara" w:cs="Times New Roman"/>
          <w:b/>
          <w:sz w:val="6"/>
          <w:szCs w:val="20"/>
        </w:rPr>
      </w:pPr>
    </w:p>
    <w:p w:rsidR="00852583" w:rsidRPr="00656CCF" w:rsidP="00694FF6" w14:paraId="5FFAC310"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ndara" w:hAnsi="Candara" w:cs="Times New Roman"/>
          <w:sz w:val="10"/>
          <w:szCs w:val="20"/>
        </w:rPr>
      </w:pPr>
      <w:r>
        <w:rPr>
          <w:rFonts w:ascii="Candara" w:hAnsi="Candara" w:cs="Times New Roman"/>
          <w:b/>
          <w:sz w:val="20"/>
          <w:szCs w:val="20"/>
        </w:rPr>
        <w:t>36</w:t>
      </w:r>
      <w:r w:rsidRPr="00E5585A">
        <w:rPr>
          <w:rFonts w:ascii="Candara" w:hAnsi="Candara" w:cs="Times New Roman"/>
          <w:b/>
          <w:sz w:val="20"/>
          <w:szCs w:val="20"/>
        </w:rPr>
        <w:t>. attēls. Apstrādes r</w:t>
      </w:r>
      <w:r>
        <w:rPr>
          <w:rFonts w:ascii="Candara" w:hAnsi="Candara" w:cs="Times New Roman"/>
          <w:b/>
          <w:sz w:val="20"/>
          <w:szCs w:val="20"/>
        </w:rPr>
        <w:t>ūpniecības pievienotā vērtība</w:t>
      </w:r>
      <w:r>
        <w:rPr>
          <w:rFonts w:ascii="Candara" w:hAnsi="Candara" w:cs="Times New Roman"/>
          <w:b/>
          <w:sz w:val="20"/>
          <w:szCs w:val="20"/>
        </w:rPr>
        <w:tab/>
        <w:t>37</w:t>
      </w:r>
      <w:r w:rsidRPr="00E5585A">
        <w:rPr>
          <w:rFonts w:ascii="Candara" w:hAnsi="Candara" w:cs="Times New Roman"/>
          <w:b/>
          <w:sz w:val="20"/>
          <w:szCs w:val="20"/>
        </w:rPr>
        <w:t xml:space="preserve">.attēls. Apstrādes rūpniecības apakšnozaru pa apakšnozarēm </w:t>
      </w:r>
      <w:r w:rsidRPr="00E5585A">
        <w:rPr>
          <w:rFonts w:ascii="Candara" w:hAnsi="Candara" w:cs="Times New Roman"/>
          <w:sz w:val="20"/>
          <w:szCs w:val="20"/>
        </w:rPr>
        <w:t>(milj. EUR, faktiskajās cenās)</w:t>
      </w:r>
      <w:r w:rsidRPr="00E5585A">
        <w:rPr>
          <w:rFonts w:ascii="Candara" w:hAnsi="Candara" w:cs="Times New Roman"/>
          <w:b/>
          <w:sz w:val="20"/>
          <w:szCs w:val="20"/>
        </w:rPr>
        <w:tab/>
      </w:r>
      <w:r w:rsidRPr="00E5585A">
        <w:rPr>
          <w:rFonts w:ascii="Candara" w:hAnsi="Candara" w:cs="Times New Roman"/>
          <w:b/>
          <w:sz w:val="20"/>
          <w:szCs w:val="20"/>
        </w:rPr>
        <w:tab/>
        <w:t xml:space="preserve">struktūra vidēji 2012.-2015.gados </w:t>
      </w:r>
      <w:r w:rsidRPr="00E5585A">
        <w:rPr>
          <w:rFonts w:ascii="Candara" w:hAnsi="Candara" w:cs="Times New Roman"/>
          <w:sz w:val="20"/>
          <w:szCs w:val="20"/>
        </w:rPr>
        <w:t>(%)</w:t>
      </w:r>
    </w:p>
    <w:p w:rsidR="00852583" w:rsidRPr="00656CCF" w:rsidP="00852583" w14:paraId="321A1468"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Candara" w:hAnsi="Candara" w:cs="Times New Roman"/>
          <w:sz w:val="20"/>
          <w:szCs w:val="20"/>
        </w:rPr>
      </w:pPr>
      <w:r w:rsidRPr="00656CCF">
        <w:rPr>
          <w:rFonts w:ascii="Candara" w:hAnsi="Candara" w:cs="Times New Roman"/>
          <w:noProof/>
          <w:sz w:val="20"/>
          <w:szCs w:val="20"/>
          <w:lang w:eastAsia="lv-LV"/>
        </w:rPr>
        <w:drawing>
          <wp:inline distT="0" distB="0" distL="0" distR="0">
            <wp:extent cx="2571750" cy="4031796"/>
            <wp:effectExtent l="0" t="0" r="0" b="698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656CCF">
        <w:rPr>
          <w:rFonts w:ascii="Candara" w:hAnsi="Candara" w:cs="Times New Roman"/>
          <w:sz w:val="20"/>
          <w:szCs w:val="20"/>
        </w:rPr>
        <w:t xml:space="preserve">  </w:t>
      </w:r>
      <w:r w:rsidRPr="00D33DBA">
        <w:rPr>
          <w:rFonts w:ascii="Candara" w:hAnsi="Candara" w:cs="Times New Roman"/>
          <w:noProof/>
          <w:sz w:val="20"/>
          <w:szCs w:val="20"/>
          <w:lang w:eastAsia="lv-LV"/>
        </w:rPr>
        <w:drawing>
          <wp:inline distT="0" distB="0" distL="0" distR="0">
            <wp:extent cx="2743200" cy="4034518"/>
            <wp:effectExtent l="0" t="0" r="0" b="444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52583" w:rsidP="00852583" w14:paraId="2D8D9A39" w14:textId="7777777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Candara" w:hAnsi="Candara" w:cs="Times New Roman"/>
          <w:sz w:val="20"/>
          <w:szCs w:val="20"/>
        </w:rPr>
      </w:pPr>
      <w:r w:rsidRPr="00656CCF">
        <w:rPr>
          <w:rFonts w:ascii="Candara" w:hAnsi="Candara" w:cs="Times New Roman"/>
          <w:sz w:val="20"/>
          <w:szCs w:val="20"/>
        </w:rPr>
        <w:t>Augsto tehnoloģiju nozaru daļa apstrādes rūpniecības pievienotajā vērtībā Latvijā ir 6,3%, kas ir līdzīga kā Igaunijā (6,3%) un gandrīz pusotras reizes lielāka nekā Lietuvā (3,8%). Vidēji ES valstīs augsto tehnoloģiju nozaru daļa ir gandrīz pusotras reizes lielāka nekā Baltijas valstīs. Jāatzīmē, ka apstrādes rūpniecības nozares tehnoloģiskā struktūra pakāpeniski uzlabojas. Latvijā ir vērojamas noturīgas tendences saistībā ar zemo tehnoloģiju nozaru daļas samazināšanos.</w:t>
      </w:r>
    </w:p>
    <w:p w:rsidR="00CF3F47" w:rsidP="00CF3F47" w14:paraId="2C623847" w14:textId="77777777">
      <w:pPr>
        <w:spacing w:after="120" w:line="240" w:lineRule="auto"/>
        <w:ind w:firstLine="426"/>
        <w:jc w:val="both"/>
        <w:rPr>
          <w:rFonts w:ascii="Candara" w:hAnsi="Candara"/>
        </w:rPr>
      </w:pPr>
    </w:p>
    <w:p w:rsidR="00CF3F47" w:rsidRPr="007B4F3B" w:rsidP="00CF3F47" w14:paraId="4F15BEC7" w14:textId="77777777">
      <w:pPr>
        <w:spacing w:after="120" w:line="240" w:lineRule="auto"/>
        <w:ind w:firstLine="426"/>
        <w:jc w:val="both"/>
        <w:rPr>
          <w:rFonts w:ascii="Candara" w:hAnsi="Candara"/>
        </w:rPr>
      </w:pPr>
      <w:r w:rsidRPr="007B4F3B">
        <w:rPr>
          <w:rFonts w:ascii="Candara" w:hAnsi="Candara"/>
        </w:rPr>
        <w:t>Saglabājoties patreizējām pasaules ekonomikas attīstības tendencēm, ārējās vides nenoteiktībai, kā arī ņemot vērā ekonomiskās izaugsmes jaunākās prognozes, tuvākajos gados Latvijas eksporta pieaugums visdrīzāk saglabāsies mērens.</w:t>
      </w:r>
    </w:p>
    <w:p w:rsidR="00CF3F47" w:rsidRPr="007B4F3B" w:rsidP="00CF3F47" w14:paraId="1044C0F9" w14:textId="77777777">
      <w:pPr>
        <w:spacing w:after="120" w:line="240" w:lineRule="auto"/>
        <w:ind w:firstLine="426"/>
        <w:jc w:val="both"/>
        <w:rPr>
          <w:rFonts w:ascii="Candara" w:hAnsi="Candara"/>
        </w:rPr>
      </w:pPr>
      <w:r w:rsidRPr="007B4F3B">
        <w:rPr>
          <w:rFonts w:ascii="Candara" w:hAnsi="Candara"/>
        </w:rPr>
        <w:t>Kaut arī eksporta dinamika pēdējos gados ir mērena, jāatzīmē, ka ir uzlabojusies eksporta struktūra. Par ko liecina augsto tehnoloģiju (</w:t>
      </w:r>
      <w:r>
        <w:rPr>
          <w:rFonts w:ascii="Candara" w:hAnsi="Candara"/>
          <w:i/>
        </w:rPr>
        <w:t>high-</w:t>
      </w:r>
      <w:r w:rsidRPr="00D73C06">
        <w:rPr>
          <w:rFonts w:ascii="Candara" w:hAnsi="Candara"/>
          <w:i/>
        </w:rPr>
        <w:t>tech</w:t>
      </w:r>
      <w:r w:rsidRPr="007B4F3B">
        <w:rPr>
          <w:rFonts w:ascii="Candara" w:hAnsi="Candara"/>
        </w:rPr>
        <w:t>) produktu īpatsvara pieaugums. Lai gan augsto tehnoloģiju produktu daļa kopējā eksporta apjomā joprojām ir zemāka nekā vidēji ES (17%), tomēr tā ik gadu pieaug</w:t>
      </w:r>
      <w:r>
        <w:rPr>
          <w:rFonts w:ascii="Candara" w:hAnsi="Candara"/>
        </w:rPr>
        <w:t xml:space="preserve"> (33.attēls)</w:t>
      </w:r>
      <w:r w:rsidRPr="007B4F3B">
        <w:rPr>
          <w:rFonts w:ascii="Candara" w:hAnsi="Candara"/>
        </w:rPr>
        <w:t>. 2015.gadā augsto tehnoloģiju produktu daļa Latvijas kopējā eksportā veidoja 9,8% (2012.gadā – 6,4%), kas ir augstāks līmenis nekā Lietuvā, tomēr joprojām gandrīz divreiz zemāks nekā Igaunijā.</w:t>
      </w:r>
    </w:p>
    <w:p w:rsidR="00CF3F47" w:rsidP="00CF3F47" w14:paraId="38ABBA6B" w14:textId="77777777">
      <w:pPr>
        <w:spacing w:after="120" w:line="240" w:lineRule="auto"/>
        <w:ind w:firstLine="426"/>
        <w:jc w:val="both"/>
        <w:rPr>
          <w:rFonts w:ascii="Candara" w:hAnsi="Candara"/>
        </w:rPr>
      </w:pPr>
      <w:r w:rsidRPr="007B4F3B">
        <w:rPr>
          <w:rFonts w:ascii="Candara" w:hAnsi="Candara"/>
        </w:rPr>
        <w:t>ĀTI snieguma indekss raksturo Latvijas pievilcību ārvalstu investoriem Baltijas reģionā</w:t>
      </w:r>
      <w:r>
        <w:rPr>
          <w:rFonts w:ascii="Candara" w:hAnsi="Candara"/>
        </w:rPr>
        <w:t xml:space="preserve"> (34.attēls)</w:t>
      </w:r>
      <w:r w:rsidRPr="007B4F3B">
        <w:rPr>
          <w:rFonts w:ascii="Candara" w:hAnsi="Candara"/>
        </w:rPr>
        <w:t>. Piesaistīto ĀTI intensitāte pēdējos gados bija visai mērena un Latvijā ienākošo ĀTI apjoms laika periodā no 2014. līdz 2016.gadam bija gandrīz uz pusi mazāks nekā laika periodā no 2011. līdz 2013. gadam un gandrīz 3,5 reizes zemākā līmenī nekā ekonomikas straujās izaugsmes gados. Tomēr jāatzīmē, ka arī mūsu kaimiņvalstīs ĀTI plūsmas arī bija visai zemā līmenī. Kopumā ĀTI plūsmu intensitātes mazināšanās galvenokārt skaidrojama ar investīciju pārrobežu plūsmu samazinājumu pasaulē, galvenokārt sakarā ar pieaugušiem ģeopolitiskiem riskiem un politikas neprognozējamību. Tā kā visām Baltijas valstīm vidējā termiņā bija kopumā vienādas tendences ĀTI plūsmu dinamikā, ĀTI snieguma indekss</w:t>
      </w:r>
      <w:r>
        <w:rPr>
          <w:rStyle w:val="FootnoteReference"/>
          <w:rFonts w:ascii="Candara" w:hAnsi="Candara"/>
        </w:rPr>
        <w:footnoteReference w:id="22"/>
      </w:r>
      <w:r w:rsidRPr="00656CCF">
        <w:rPr>
          <w:rFonts w:ascii="Candara" w:hAnsi="Candara"/>
        </w:rPr>
        <w:t xml:space="preserve"> Latvijai ir salīdzinoši augsts (1,4), t.i. nedaudz augstāks nekā ir noteikts pamatnostādnēs (1,2 vidēji 2018.</w:t>
      </w:r>
      <w:r w:rsidR="00960F67">
        <w:rPr>
          <w:rFonts w:ascii="Candara" w:hAnsi="Candara"/>
        </w:rPr>
        <w:t xml:space="preserve"> – </w:t>
      </w:r>
      <w:r w:rsidRPr="00656CCF">
        <w:rPr>
          <w:rFonts w:ascii="Candara" w:hAnsi="Candara"/>
        </w:rPr>
        <w:t>2020. gadiem).</w:t>
      </w:r>
    </w:p>
    <w:p w:rsidR="00CF3F47" w:rsidP="00CF3F47" w14:paraId="2F1B69EC" w14:textId="77777777">
      <w:pPr>
        <w:spacing w:after="120" w:line="240" w:lineRule="auto"/>
        <w:ind w:firstLine="426"/>
        <w:jc w:val="both"/>
        <w:rPr>
          <w:rFonts w:ascii="Candara" w:hAnsi="Candara"/>
        </w:rPr>
      </w:pPr>
    </w:p>
    <w:p w:rsidR="009A2B13" w:rsidP="009A2B13" w14:paraId="49BB4E69" w14:textId="77777777">
      <w:pPr>
        <w:pStyle w:val="Heading1"/>
        <w:shd w:val="clear" w:color="auto" w:fill="6D1D6A" w:themeFill="accent1" w:themeFillShade="BF"/>
        <w:rPr>
          <w:rFonts w:ascii="Candara" w:eastAsia="Times New Roman" w:hAnsi="Candara"/>
          <w:b/>
          <w:color w:val="FFFFFF" w:themeColor="background1"/>
          <w:lang w:eastAsia="lv-LV"/>
        </w:rPr>
      </w:pPr>
      <w:bookmarkStart w:id="45" w:name="_Toc484445195"/>
      <w:bookmarkStart w:id="46" w:name="_Toc256000011"/>
      <w:bookmarkStart w:id="47" w:name="_Toc256000027"/>
      <w:r>
        <w:rPr>
          <w:rFonts w:ascii="Candara" w:eastAsia="Times New Roman" w:hAnsi="Candara"/>
          <w:b/>
          <w:color w:val="FFFFFF" w:themeColor="background1"/>
          <w:lang w:eastAsia="lv-LV"/>
        </w:rPr>
        <w:t xml:space="preserve">9. </w:t>
      </w:r>
      <w:r>
        <w:rPr>
          <w:rFonts w:ascii="Candara" w:eastAsia="Times New Roman" w:hAnsi="Candara"/>
          <w:b/>
          <w:color w:val="FFFFFF" w:themeColor="background1"/>
          <w:lang w:eastAsia="lv-LV"/>
        </w:rPr>
        <w:t>RIS3 MIKRO LĪMEŅA RĀDĪTĀJU ANALĪZE</w:t>
      </w:r>
      <w:bookmarkEnd w:id="47"/>
      <w:bookmarkEnd w:id="46"/>
      <w:bookmarkEnd w:id="45"/>
    </w:p>
    <w:p w:rsidR="009A2B13" w:rsidP="009A2B13" w14:paraId="31BBFD85" w14:textId="77777777">
      <w:pPr>
        <w:snapToGrid w:val="0"/>
        <w:spacing w:after="0" w:line="240" w:lineRule="auto"/>
        <w:jc w:val="both"/>
        <w:rPr>
          <w:rFonts w:ascii="Candara" w:eastAsia="SimSun" w:hAnsi="Candara" w:cs="Times New Roman"/>
          <w:b/>
          <w:bCs/>
          <w:lang w:eastAsia="zh-CN" w:bidi="lo-LA"/>
        </w:rPr>
      </w:pPr>
    </w:p>
    <w:p w:rsidR="00DF46E9" w:rsidP="009F2C2C" w14:paraId="13F995F6" w14:textId="1338C9CF">
      <w:pPr>
        <w:snapToGrid w:val="0"/>
        <w:spacing w:after="0" w:line="240" w:lineRule="auto"/>
        <w:ind w:firstLine="426"/>
        <w:jc w:val="both"/>
        <w:rPr>
          <w:rFonts w:ascii="Candara" w:eastAsia="SimSun" w:hAnsi="Candara" w:cs="Times New Roman"/>
          <w:lang w:eastAsia="zh-CN" w:bidi="lo-LA"/>
        </w:rPr>
      </w:pPr>
      <w:r w:rsidRPr="00654F8E">
        <w:rPr>
          <w:rFonts w:ascii="Candara" w:eastAsia="SimSun" w:hAnsi="Candara" w:cs="Times New Roman"/>
          <w:b/>
          <w:bCs/>
          <w:lang w:eastAsia="zh-CN" w:bidi="lo-LA"/>
        </w:rPr>
        <w:t>RIS3 mikro līmeņa rādītāji</w:t>
      </w:r>
      <w:r w:rsidRPr="00654F8E">
        <w:rPr>
          <w:rFonts w:ascii="Candara" w:eastAsia="SimSun" w:hAnsi="Candara" w:cs="Times New Roman"/>
          <w:lang w:eastAsia="zh-CN" w:bidi="lo-LA"/>
        </w:rPr>
        <w:t xml:space="preserve"> mēra virzību uz RIS3 virsmērķa un makro līmeņa rādītāju sasniegšanu un raksturo plānoto atbalsta instrumentu sasniedzamos rādītājus</w:t>
      </w:r>
      <w:r>
        <w:rPr>
          <w:rFonts w:ascii="Candara" w:eastAsia="SimSun" w:hAnsi="Candara" w:cs="Times New Roman"/>
          <w:lang w:eastAsia="zh-CN" w:bidi="lo-LA"/>
        </w:rPr>
        <w:t xml:space="preserve">. Ieguldījumu RIS3 mikro līmeņa rādītāju sasniegšanā sniedz ieguldījumu programmas, kas paredz gan valsts budžeta, gan ES struktūrfondu investīcijas </w:t>
      </w:r>
      <w:r w:rsidR="004B52AE">
        <w:rPr>
          <w:rFonts w:ascii="Candara" w:eastAsia="SimSun" w:hAnsi="Candara" w:cs="Times New Roman"/>
          <w:lang w:eastAsia="zh-CN" w:bidi="lo-LA"/>
        </w:rPr>
        <w:t xml:space="preserve">augstākajā izglītībā, </w:t>
      </w:r>
      <w:r>
        <w:rPr>
          <w:rFonts w:ascii="Candara" w:eastAsia="SimSun" w:hAnsi="Candara" w:cs="Times New Roman"/>
          <w:lang w:eastAsia="zh-CN" w:bidi="lo-LA"/>
        </w:rPr>
        <w:t>P&amp;A un inovācijās</w:t>
      </w:r>
      <w:r w:rsidR="004B52AE">
        <w:rPr>
          <w:rFonts w:ascii="Candara" w:eastAsia="SimSun" w:hAnsi="Candara" w:cs="Times New Roman"/>
          <w:lang w:eastAsia="zh-CN" w:bidi="lo-LA"/>
        </w:rPr>
        <w:t xml:space="preserve"> un</w:t>
      </w:r>
      <w:r>
        <w:rPr>
          <w:rFonts w:ascii="Candara" w:eastAsia="SimSun" w:hAnsi="Candara" w:cs="Times New Roman"/>
          <w:lang w:eastAsia="zh-CN" w:bidi="lo-LA"/>
        </w:rPr>
        <w:t xml:space="preserve"> uzņēmējdarbības attīstībā. </w:t>
      </w:r>
      <w:r w:rsidR="00E8014E">
        <w:rPr>
          <w:rFonts w:ascii="Candara" w:eastAsia="SimSun" w:hAnsi="Candara" w:cs="Times New Roman"/>
          <w:lang w:eastAsia="zh-CN" w:bidi="lo-LA"/>
        </w:rPr>
        <w:t>Ieguldījumu programmu ieviešanas progresu, t.sk. īstenošanas nosacījumu (Ministru kabineta noteikumu) izstrādes statusu</w:t>
      </w:r>
      <w:r w:rsidR="00D73C06">
        <w:rPr>
          <w:rFonts w:ascii="Candara" w:eastAsia="SimSun" w:hAnsi="Candara" w:cs="Times New Roman"/>
          <w:lang w:eastAsia="zh-CN" w:bidi="lo-LA"/>
        </w:rPr>
        <w:t xml:space="preserve"> uz 2017.</w:t>
      </w:r>
      <w:r w:rsidR="00A15392">
        <w:rPr>
          <w:rFonts w:ascii="Candara" w:eastAsia="SimSun" w:hAnsi="Candara" w:cs="Times New Roman"/>
          <w:lang w:eastAsia="zh-CN" w:bidi="lo-LA"/>
        </w:rPr>
        <w:t xml:space="preserve">gada </w:t>
      </w:r>
      <w:r w:rsidR="00914049">
        <w:rPr>
          <w:rFonts w:ascii="Candara" w:eastAsia="SimSun" w:hAnsi="Candara" w:cs="Times New Roman"/>
          <w:lang w:eastAsia="zh-CN" w:bidi="lo-LA"/>
        </w:rPr>
        <w:t xml:space="preserve">decembri </w:t>
      </w:r>
      <w:r w:rsidR="00D73C06">
        <w:rPr>
          <w:rFonts w:ascii="Candara" w:eastAsia="SimSun" w:hAnsi="Candara" w:cs="Times New Roman"/>
          <w:lang w:eastAsia="zh-CN" w:bidi="lo-LA"/>
        </w:rPr>
        <w:t>skat. attēlā Nr.</w:t>
      </w:r>
      <w:r w:rsidR="009F2C2C">
        <w:rPr>
          <w:rFonts w:ascii="Candara" w:eastAsia="SimSun" w:hAnsi="Candara" w:cs="Times New Roman"/>
          <w:lang w:eastAsia="zh-CN" w:bidi="lo-LA"/>
        </w:rPr>
        <w:t>38.</w:t>
      </w:r>
    </w:p>
    <w:p w:rsidR="009A2B13" w:rsidRPr="00DF46E9" w:rsidP="009F2C2C" w14:paraId="68FAAC25" w14:textId="77777777">
      <w:pPr>
        <w:snapToGrid w:val="0"/>
        <w:spacing w:before="120" w:after="0" w:line="240" w:lineRule="auto"/>
        <w:ind w:firstLine="426"/>
        <w:jc w:val="both"/>
        <w:rPr>
          <w:rFonts w:ascii="Candara" w:eastAsia="SimSun" w:hAnsi="Candara" w:cs="Times New Roman"/>
          <w:lang w:eastAsia="zh-CN" w:bidi="lo-LA"/>
        </w:rPr>
      </w:pPr>
      <w:r w:rsidRPr="00654F8E">
        <w:rPr>
          <w:rFonts w:ascii="Candara" w:eastAsia="SimSun" w:hAnsi="Candara" w:cs="Times New Roman"/>
          <w:lang w:eastAsia="zh-CN" w:bidi="lo-LA"/>
        </w:rPr>
        <w:t>Izs</w:t>
      </w:r>
      <w:r w:rsidR="00AE26BB">
        <w:rPr>
          <w:rFonts w:ascii="Candara" w:eastAsia="SimSun" w:hAnsi="Candara" w:cs="Times New Roman"/>
          <w:lang w:eastAsia="zh-CN" w:bidi="lo-LA"/>
        </w:rPr>
        <w:t>trādājot ieguldījumu programmas ES fondu, Valsts pētījumu programmu, Fundamentālo un lietišķo pētījumu programmās u.c.,</w:t>
      </w:r>
      <w:r w:rsidRPr="00654F8E">
        <w:rPr>
          <w:rFonts w:ascii="Candara" w:eastAsia="SimSun" w:hAnsi="Candara" w:cs="Times New Roman"/>
          <w:lang w:eastAsia="zh-CN" w:bidi="lo-LA"/>
        </w:rPr>
        <w:t xml:space="preserve"> katra atbildīgā institūcija plānotajos iznākuma, rezultātu un ietekmes rādītājos iekļauj vienu vai vairākus </w:t>
      </w:r>
      <w:r w:rsidRPr="00654F8E">
        <w:rPr>
          <w:rFonts w:ascii="Candara" w:eastAsia="SimSun" w:hAnsi="Candara" w:cs="Times New Roman"/>
          <w:bCs/>
          <w:lang w:eastAsia="zh-CN" w:bidi="lo-LA"/>
        </w:rPr>
        <w:t>RIS3 mikro līmeņa rā</w:t>
      </w:r>
      <w:r w:rsidR="00B921B8">
        <w:rPr>
          <w:rFonts w:ascii="Candara" w:eastAsia="SimSun" w:hAnsi="Candara" w:cs="Times New Roman"/>
          <w:bCs/>
          <w:lang w:eastAsia="zh-CN" w:bidi="lo-LA"/>
        </w:rPr>
        <w:t xml:space="preserve">dītājus, kurus plānots sasniegt. </w:t>
      </w:r>
      <w:r w:rsidR="00DF46E9">
        <w:rPr>
          <w:rFonts w:ascii="Candara" w:eastAsia="SimSun" w:hAnsi="Candara" w:cs="Times New Roman"/>
          <w:bCs/>
          <w:lang w:eastAsia="zh-CN" w:bidi="lo-LA"/>
        </w:rPr>
        <w:t>39</w:t>
      </w:r>
      <w:r w:rsidR="00E5585A">
        <w:rPr>
          <w:rFonts w:ascii="Candara" w:eastAsia="SimSun" w:hAnsi="Candara" w:cs="Times New Roman"/>
          <w:bCs/>
          <w:lang w:eastAsia="zh-CN" w:bidi="lo-LA"/>
        </w:rPr>
        <w:t>.attēlā</w:t>
      </w:r>
      <w:r w:rsidR="004B52AE">
        <w:rPr>
          <w:rFonts w:ascii="Candara" w:eastAsia="SimSun" w:hAnsi="Candara" w:cs="Times New Roman"/>
          <w:bCs/>
          <w:lang w:eastAsia="zh-CN" w:bidi="lo-LA"/>
        </w:rPr>
        <w:t xml:space="preserve"> iekļauta informācija par</w:t>
      </w:r>
      <w:r w:rsidRPr="00654F8E" w:rsidR="00B921B8">
        <w:rPr>
          <w:rFonts w:ascii="Candara" w:eastAsia="SimSun" w:hAnsi="Candara" w:cs="Times New Roman"/>
          <w:bCs/>
          <w:lang w:eastAsia="zh-CN" w:bidi="lo-LA"/>
        </w:rPr>
        <w:t xml:space="preserve"> </w:t>
      </w:r>
      <w:r w:rsidR="00E8014E">
        <w:rPr>
          <w:rFonts w:ascii="Candara" w:eastAsia="SimSun" w:hAnsi="Candara" w:cs="Times New Roman"/>
          <w:bCs/>
          <w:lang w:eastAsia="zh-CN" w:bidi="lo-LA"/>
        </w:rPr>
        <w:t>RIS3 ieguld</w:t>
      </w:r>
      <w:r w:rsidR="004B52AE">
        <w:rPr>
          <w:rFonts w:ascii="Candara" w:eastAsia="SimSun" w:hAnsi="Candara" w:cs="Times New Roman"/>
          <w:bCs/>
          <w:lang w:eastAsia="zh-CN" w:bidi="lo-LA"/>
        </w:rPr>
        <w:t>ījumu programmās iestrādātajiem nosacījumiem, kas stimulē virzību uz rādītāja sasniegšanu, kā arī informācija par katras ieguldījumu programmas sniegumu</w:t>
      </w:r>
      <w:r w:rsidR="00E8014E">
        <w:rPr>
          <w:rFonts w:ascii="Candara" w:eastAsia="SimSun" w:hAnsi="Candara" w:cs="Times New Roman"/>
          <w:bCs/>
          <w:lang w:eastAsia="zh-CN" w:bidi="lo-LA"/>
        </w:rPr>
        <w:t xml:space="preserve"> RIS3 mikro līmeņa rādītāju </w:t>
      </w:r>
      <w:r w:rsidR="004B52AE">
        <w:rPr>
          <w:rFonts w:ascii="Candara" w:eastAsia="SimSun" w:hAnsi="Candara" w:cs="Times New Roman"/>
          <w:bCs/>
          <w:lang w:eastAsia="zh-CN" w:bidi="lo-LA"/>
        </w:rPr>
        <w:t>izpildē</w:t>
      </w:r>
      <w:r w:rsidRPr="00654F8E" w:rsidR="00B921B8">
        <w:rPr>
          <w:rFonts w:ascii="Candara" w:eastAsia="SimSun" w:hAnsi="Candara" w:cs="Times New Roman"/>
          <w:bCs/>
          <w:lang w:eastAsia="zh-CN" w:bidi="lo-LA"/>
        </w:rPr>
        <w:t xml:space="preserve">. </w:t>
      </w:r>
      <w:r w:rsidR="00E8014E">
        <w:rPr>
          <w:rFonts w:ascii="Candara" w:eastAsia="SimSun" w:hAnsi="Candara" w:cs="Times New Roman"/>
          <w:bCs/>
          <w:lang w:eastAsia="zh-CN" w:bidi="lo-LA"/>
        </w:rPr>
        <w:t>Ievērojot, ka virkne no RIS</w:t>
      </w:r>
      <w:r w:rsidR="004B52AE">
        <w:rPr>
          <w:rFonts w:ascii="Candara" w:eastAsia="SimSun" w:hAnsi="Candara" w:cs="Times New Roman"/>
          <w:bCs/>
          <w:lang w:eastAsia="zh-CN" w:bidi="lo-LA"/>
        </w:rPr>
        <w:t>3</w:t>
      </w:r>
      <w:r w:rsidR="00E8014E">
        <w:rPr>
          <w:rFonts w:ascii="Candara" w:eastAsia="SimSun" w:hAnsi="Candara" w:cs="Times New Roman"/>
          <w:bCs/>
          <w:lang w:eastAsia="zh-CN" w:bidi="lo-LA"/>
        </w:rPr>
        <w:t xml:space="preserve"> programmām šobrīd ir tikai īstenošanas uzsākšanas sākumposmā, daļā gadījumu norādītas uz šo brīdi programmu projektu ietvaros uzņemtās saistības</w:t>
      </w:r>
      <w:r w:rsidR="004B52AE">
        <w:rPr>
          <w:rFonts w:ascii="Candara" w:eastAsia="SimSun" w:hAnsi="Candara" w:cs="Times New Roman"/>
          <w:bCs/>
          <w:lang w:eastAsia="zh-CN" w:bidi="lo-LA"/>
        </w:rPr>
        <w:t xml:space="preserve"> (dati par projektos plānoto)</w:t>
      </w:r>
      <w:r w:rsidR="009F2C2C">
        <w:rPr>
          <w:rFonts w:ascii="Candara" w:eastAsia="SimSun" w:hAnsi="Candara" w:cs="Times New Roman"/>
          <w:bCs/>
          <w:lang w:eastAsia="zh-CN" w:bidi="lo-LA"/>
        </w:rPr>
        <w:t>.</w:t>
      </w:r>
    </w:p>
    <w:p w:rsidR="009A2B13" w:rsidP="009F2C2C" w14:paraId="73AB06F7" w14:textId="77777777">
      <w:pPr>
        <w:snapToGrid w:val="0"/>
        <w:spacing w:before="120" w:after="0" w:line="240" w:lineRule="auto"/>
        <w:ind w:firstLine="426"/>
        <w:jc w:val="both"/>
        <w:rPr>
          <w:rFonts w:ascii="Candara" w:eastAsia="SimSun" w:hAnsi="Candara" w:cs="Times New Roman"/>
          <w:bCs/>
          <w:lang w:eastAsia="zh-CN" w:bidi="lo-LA"/>
        </w:rPr>
      </w:pPr>
      <w:r w:rsidRPr="00654F8E">
        <w:rPr>
          <w:rFonts w:ascii="Candara" w:eastAsia="SimSun" w:hAnsi="Candara" w:cs="Times New Roman"/>
          <w:lang w:eastAsia="zh-CN" w:bidi="lo-LA"/>
        </w:rPr>
        <w:t>Dati par RIS3 mikro līmeņa rādītāju izpildes progresu, kas attiecas uz ES fondu programmām, tiek iegūti no ES fondu 2014.</w:t>
      </w:r>
      <w:r w:rsidR="00960F67">
        <w:rPr>
          <w:rFonts w:ascii="Candara" w:eastAsia="SimSun" w:hAnsi="Candara" w:cs="Times New Roman"/>
          <w:lang w:eastAsia="zh-CN" w:bidi="lo-LA"/>
        </w:rPr>
        <w:t xml:space="preserve"> – </w:t>
      </w:r>
      <w:r w:rsidRPr="00654F8E">
        <w:rPr>
          <w:rFonts w:ascii="Candara" w:eastAsia="SimSun" w:hAnsi="Candara" w:cs="Times New Roman"/>
          <w:lang w:eastAsia="zh-CN" w:bidi="lo-LA"/>
        </w:rPr>
        <w:t xml:space="preserve">2020.gada plānošanas perioda vadības informācijas sistēmas, projektu pieteikumiem un to atskaitēm. Tos uzkrāj un apkopo institūcijas, kuras slēdz līgumus par attiecīgo programmu projektu īstenošanu – CFLA, </w:t>
      </w:r>
      <w:r w:rsidR="00DF46E9">
        <w:rPr>
          <w:rFonts w:ascii="Candara" w:eastAsia="SimSun" w:hAnsi="Candara" w:cs="Times New Roman"/>
          <w:lang w:eastAsia="zh-CN" w:bidi="lo-LA"/>
        </w:rPr>
        <w:t xml:space="preserve">VIAA, LIAA, </w:t>
      </w:r>
      <w:r w:rsidRPr="00654F8E">
        <w:rPr>
          <w:rFonts w:ascii="Candara" w:eastAsia="SimSun" w:hAnsi="Candara" w:cs="Times New Roman"/>
          <w:lang w:eastAsia="zh-CN" w:bidi="lo-LA"/>
        </w:rPr>
        <w:t>AFI, LAD. Datus</w:t>
      </w:r>
      <w:r w:rsidR="004B52AE">
        <w:rPr>
          <w:rFonts w:ascii="Candara" w:eastAsia="SimSun" w:hAnsi="Candara" w:cs="Times New Roman"/>
          <w:lang w:eastAsia="zh-CN" w:bidi="lo-LA"/>
        </w:rPr>
        <w:t xml:space="preserve"> vienlaikus</w:t>
      </w:r>
      <w:r w:rsidRPr="00654F8E">
        <w:rPr>
          <w:rFonts w:ascii="Candara" w:eastAsia="SimSun" w:hAnsi="Candara" w:cs="Times New Roman"/>
          <w:lang w:eastAsia="zh-CN" w:bidi="lo-LA"/>
        </w:rPr>
        <w:t xml:space="preserve"> uzkrāj tautsaimniecības nozaru un OECD zinātņu </w:t>
      </w:r>
      <w:r w:rsidR="00D41596">
        <w:rPr>
          <w:rFonts w:ascii="Candara" w:eastAsia="SimSun" w:hAnsi="Candara" w:cs="Times New Roman"/>
          <w:lang w:eastAsia="zh-CN" w:bidi="lo-LA"/>
        </w:rPr>
        <w:t>nozaru</w:t>
      </w:r>
      <w:r w:rsidR="00960F67">
        <w:rPr>
          <w:rFonts w:ascii="Candara" w:eastAsia="SimSun" w:hAnsi="Candara" w:cs="Times New Roman"/>
          <w:lang w:eastAsia="zh-CN" w:bidi="lo-LA"/>
        </w:rPr>
        <w:t xml:space="preserve"> grupu</w:t>
      </w:r>
      <w:r w:rsidRPr="00654F8E">
        <w:rPr>
          <w:rFonts w:ascii="Candara" w:eastAsia="SimSun" w:hAnsi="Candara" w:cs="Times New Roman"/>
          <w:lang w:eastAsia="zh-CN" w:bidi="lo-LA"/>
        </w:rPr>
        <w:t xml:space="preserve"> griezumā, </w:t>
      </w:r>
      <w:r w:rsidRPr="00654F8E">
        <w:rPr>
          <w:rFonts w:ascii="Candara" w:eastAsia="SimSun" w:hAnsi="Candara" w:cs="Times New Roman"/>
          <w:bCs/>
          <w:lang w:eastAsia="zh-CN" w:bidi="lo-LA"/>
        </w:rPr>
        <w:t>kas ļauj analizēt katras investīciju programmas ietekmi uz specializācijas jomu un tautsaimniecības nozaru attīstību.</w:t>
      </w:r>
    </w:p>
    <w:p w:rsidR="006A6349" w14:paraId="033737C8" w14:textId="77777777">
      <w:pPr>
        <w:rPr>
          <w:rFonts w:ascii="Candara" w:eastAsia="SimSun" w:hAnsi="Candara" w:cs="Times New Roman"/>
          <w:b/>
          <w:iCs/>
          <w:lang w:eastAsia="zh-CN" w:bidi="lo-LA"/>
        </w:rPr>
      </w:pPr>
      <w:r>
        <w:rPr>
          <w:rFonts w:ascii="Candara" w:eastAsia="SimSun" w:hAnsi="Candara" w:cs="Times New Roman"/>
          <w:b/>
          <w:iCs/>
          <w:lang w:eastAsia="zh-CN" w:bidi="lo-LA"/>
        </w:rPr>
        <w:br w:type="page"/>
      </w:r>
    </w:p>
    <w:p w:rsidR="006A6349" w:rsidRPr="00D25C37" w:rsidP="006A6349" w14:paraId="7863A57B" w14:textId="77777777">
      <w:pPr>
        <w:snapToGrid w:val="0"/>
        <w:spacing w:after="120" w:line="240" w:lineRule="auto"/>
        <w:jc w:val="center"/>
        <w:rPr>
          <w:rFonts w:ascii="Candara" w:eastAsia="SimSun" w:hAnsi="Candara" w:cs="Times New Roman"/>
          <w:b/>
          <w:iCs/>
          <w:lang w:eastAsia="zh-CN" w:bidi="lo-LA"/>
        </w:rPr>
      </w:pPr>
      <w:r>
        <w:rPr>
          <w:rFonts w:ascii="Candara" w:eastAsia="SimSun" w:hAnsi="Candara" w:cs="Times New Roman"/>
          <w:b/>
          <w:iCs/>
          <w:lang w:eastAsia="zh-CN" w:bidi="lo-LA"/>
        </w:rPr>
        <w:t>38</w:t>
      </w:r>
      <w:r>
        <w:rPr>
          <w:rFonts w:ascii="Candara" w:eastAsia="SimSun" w:hAnsi="Candara" w:cs="Times New Roman"/>
          <w:b/>
          <w:iCs/>
          <w:lang w:eastAsia="zh-CN" w:bidi="lo-LA"/>
        </w:rPr>
        <w:t xml:space="preserve">.attēls. </w:t>
      </w:r>
      <w:r w:rsidR="00DF46E9">
        <w:rPr>
          <w:rFonts w:ascii="Candara" w:eastAsia="SimSun" w:hAnsi="Candara" w:cs="Times New Roman"/>
          <w:b/>
          <w:iCs/>
          <w:lang w:eastAsia="zh-CN" w:bidi="lo-LA"/>
        </w:rPr>
        <w:t xml:space="preserve">RIS3 </w:t>
      </w:r>
      <w:r w:rsidR="00133ACC">
        <w:rPr>
          <w:rFonts w:ascii="Candara" w:eastAsia="SimSun" w:hAnsi="Candara" w:cs="Times New Roman"/>
          <w:b/>
          <w:iCs/>
          <w:lang w:eastAsia="zh-CN" w:bidi="lo-LA"/>
        </w:rPr>
        <w:t>instrumentu</w:t>
      </w:r>
      <w:r w:rsidRPr="00D25C37">
        <w:rPr>
          <w:rFonts w:ascii="Candara" w:eastAsia="SimSun" w:hAnsi="Candara" w:cs="Times New Roman"/>
          <w:b/>
          <w:iCs/>
          <w:lang w:eastAsia="zh-CN" w:bidi="lo-LA"/>
        </w:rPr>
        <w:t xml:space="preserve"> ieviešana</w:t>
      </w:r>
      <w:r w:rsidR="00296348">
        <w:rPr>
          <w:rFonts w:ascii="Candara" w:eastAsia="SimSun" w:hAnsi="Candara" w:cs="Times New Roman"/>
          <w:b/>
          <w:iCs/>
          <w:lang w:eastAsia="zh-CN" w:bidi="lo-LA"/>
        </w:rPr>
        <w:t>s statuss</w:t>
      </w:r>
      <w:r w:rsidRPr="00D25C37">
        <w:rPr>
          <w:rFonts w:ascii="Candara" w:eastAsia="SimSun" w:hAnsi="Candara" w:cs="Times New Roman"/>
          <w:b/>
          <w:iCs/>
          <w:lang w:eastAsia="zh-CN" w:bidi="lo-LA"/>
        </w:rPr>
        <w:t xml:space="preserve"> </w:t>
      </w:r>
    </w:p>
    <w:p w:rsidR="006A6349" w:rsidP="006A6349" w14:paraId="21D057E0" w14:textId="77777777">
      <w:pPr>
        <w:spacing w:after="0"/>
        <w:ind w:left="567"/>
        <w:rPr>
          <w:rFonts w:ascii="Arial Narrow" w:eastAsia="Times New Roman" w:hAnsi="Arial Narrow" w:cs="Times New Roman"/>
          <w:spacing w:val="-6"/>
          <w:lang w:bidi="lo-LA"/>
        </w:rPr>
      </w:pPr>
      <w:r>
        <w:rPr>
          <w:rFonts w:ascii="Arial Narrow" w:eastAsia="Times New Roman" w:hAnsi="Arial Narrow" w:cs="Times New Roman"/>
          <w:noProof/>
          <w:spacing w:val="-6"/>
          <w:lang w:eastAsia="lv-LV"/>
        </w:rPr>
        <mc:AlternateContent>
          <mc:Choice Requires="wpg">
            <w:drawing>
              <wp:anchor distT="0" distB="0" distL="114300" distR="114300" simplePos="0" relativeHeight="251858944" behindDoc="0" locked="0" layoutInCell="1" allowOverlap="1">
                <wp:simplePos x="0" y="0"/>
                <wp:positionH relativeFrom="column">
                  <wp:posOffset>194310</wp:posOffset>
                </wp:positionH>
                <wp:positionV relativeFrom="paragraph">
                  <wp:posOffset>128270</wp:posOffset>
                </wp:positionV>
                <wp:extent cx="5263990" cy="8642350"/>
                <wp:effectExtent l="0" t="19050" r="13335" b="25400"/>
                <wp:wrapNone/>
                <wp:docPr id="374" name="Group 374"/>
                <wp:cNvGraphicFramePr/>
                <a:graphic xmlns:a="http://schemas.openxmlformats.org/drawingml/2006/main">
                  <a:graphicData uri="http://schemas.microsoft.com/office/word/2010/wordprocessingGroup">
                    <wpg:wgp xmlns:wpg="http://schemas.microsoft.com/office/word/2010/wordprocessingGroup">
                      <wpg:cNvGrpSpPr/>
                      <wpg:grpSpPr>
                        <a:xfrm>
                          <a:off x="0" y="0"/>
                          <a:ext cx="5263990" cy="8642350"/>
                          <a:chOff x="-19527" y="-66675"/>
                          <a:chExt cx="5264627" cy="8642350"/>
                        </a:xfrm>
                      </wpg:grpSpPr>
                      <wps:wsp xmlns:wps="http://schemas.microsoft.com/office/word/2010/wordprocessingShape">
                        <wps:cNvPr id="17418" name="Rounded Rectangle 28"/>
                        <wps:cNvSpPr/>
                        <wps:spPr bwMode="auto">
                          <a:xfrm>
                            <a:off x="-9526" y="1370965"/>
                            <a:ext cx="1386296" cy="508635"/>
                          </a:xfrm>
                          <a:prstGeom prst="roundRect">
                            <a:avLst>
                              <a:gd name="adj" fmla="val 5773"/>
                            </a:avLst>
                          </a:prstGeom>
                          <a:solidFill>
                            <a:schemeClr val="tx2">
                              <a:lumMod val="20000"/>
                              <a:lumOff val="80000"/>
                            </a:schemeClr>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Sadarbība: pētniecība un lauksaimn. un mežsaimn.</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ELFLA)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MKN </w:t>
                              </w:r>
                              <w:r w:rsidRPr="004C7E5C">
                                <w:rPr>
                                  <w:rFonts w:ascii="Candara" w:eastAsia="Calibri" w:hAnsi="Candara" w:cs="Arial"/>
                                  <w:b/>
                                  <w:bCs/>
                                  <w:color w:val="000000" w:themeColor="text1"/>
                                  <w:kern w:val="24"/>
                                  <w:sz w:val="20"/>
                                  <w:szCs w:val="20"/>
                                </w:rPr>
                                <w:t>201</w:t>
                              </w:r>
                              <w:r>
                                <w:rPr>
                                  <w:rFonts w:ascii="Candara" w:eastAsia="Calibri" w:hAnsi="Candara" w:cs="Arial"/>
                                  <w:b/>
                                  <w:bCs/>
                                  <w:color w:val="000000" w:themeColor="text1"/>
                                  <w:kern w:val="24"/>
                                  <w:sz w:val="20"/>
                                  <w:szCs w:val="20"/>
                                </w:rPr>
                                <w:t>7 II</w:t>
                              </w:r>
                            </w:p>
                          </w:txbxContent>
                        </wps:txbx>
                        <wps:bodyPr wrap="square" lIns="0" tIns="0" rIns="0" bIns="0" anchor="ctr"/>
                      </wps:wsp>
                      <wpg:grpSp>
                        <wpg:cNvPr id="373" name="Group 373"/>
                        <wpg:cNvGrpSpPr/>
                        <wpg:grpSpPr>
                          <a:xfrm>
                            <a:off x="-19527" y="-66675"/>
                            <a:ext cx="5264627" cy="8642350"/>
                            <a:chOff x="-25877" y="-66675"/>
                            <a:chExt cx="5264627" cy="8642350"/>
                          </a:xfrm>
                        </wpg:grpSpPr>
                        <wps:wsp xmlns:wps="http://schemas.microsoft.com/office/word/2010/wordprocessingShape">
                          <wps:cNvPr id="17416" name="Rounded Rectangle 28"/>
                          <wps:cNvSpPr/>
                          <wps:spPr bwMode="auto">
                            <a:xfrm>
                              <a:off x="-15881" y="2789183"/>
                              <a:ext cx="1397000" cy="36957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Post-dok</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rezult. </w:t>
                                </w:r>
                                <w:r w:rsidRPr="004C7E5C">
                                  <w:rPr>
                                    <w:rFonts w:ascii="Candara" w:eastAsia="Calibri" w:hAnsi="Candara" w:cs="Arial"/>
                                    <w:b/>
                                    <w:bCs/>
                                    <w:color w:val="000000" w:themeColor="text1"/>
                                    <w:kern w:val="24"/>
                                    <w:sz w:val="20"/>
                                    <w:szCs w:val="20"/>
                                  </w:rPr>
                                  <w:t>201</w:t>
                                </w:r>
                                <w:r>
                                  <w:rPr>
                                    <w:rFonts w:ascii="Candara" w:eastAsia="Calibri" w:hAnsi="Candara" w:cs="Arial"/>
                                    <w:b/>
                                    <w:bCs/>
                                    <w:color w:val="000000" w:themeColor="text1"/>
                                    <w:kern w:val="24"/>
                                    <w:sz w:val="20"/>
                                    <w:szCs w:val="20"/>
                                  </w:rPr>
                                  <w:t>7 jūnijs</w:t>
                                </w:r>
                              </w:p>
                            </w:txbxContent>
                          </wps:txbx>
                          <wps:bodyPr wrap="square" lIns="0" tIns="0" rIns="0" bIns="0" anchor="ctr"/>
                        </wps:wsp>
                        <wpg:grpSp>
                          <wpg:cNvPr id="372" name="Group 372"/>
                          <wpg:cNvGrpSpPr/>
                          <wpg:grpSpPr>
                            <a:xfrm>
                              <a:off x="-25877" y="-66675"/>
                              <a:ext cx="5264627" cy="8642350"/>
                              <a:chOff x="-25877" y="-66675"/>
                              <a:chExt cx="5264627" cy="8642350"/>
                            </a:xfrm>
                          </wpg:grpSpPr>
                          <wps:wsp xmlns:wps="http://schemas.microsoft.com/office/word/2010/wordprocessingShape">
                            <wps:cNvPr id="17419" name="Rounded Rectangle 28"/>
                            <wps:cNvSpPr/>
                            <wps:spPr bwMode="auto">
                              <a:xfrm>
                                <a:off x="1854030" y="6534784"/>
                                <a:ext cx="1396164" cy="323215"/>
                              </a:xfrm>
                              <a:prstGeom prst="roundRect">
                                <a:avLst>
                                  <a:gd name="adj" fmla="val 19598"/>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Teritoriju revitaliz.</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VARA</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2</w:t>
                                  </w:r>
                                  <w:r w:rsidRPr="004C7E5C">
                                    <w:rPr>
                                      <w:rFonts w:ascii="Candara" w:eastAsia="Calibri" w:hAnsi="Candara" w:cs="Arial"/>
                                      <w:b/>
                                      <w:bCs/>
                                      <w:color w:val="000000" w:themeColor="text1"/>
                                      <w:kern w:val="24"/>
                                      <w:sz w:val="20"/>
                                      <w:szCs w:val="20"/>
                                    </w:rPr>
                                    <w:t>01</w:t>
                                  </w:r>
                                  <w:r>
                                    <w:rPr>
                                      <w:rFonts w:ascii="Candara" w:eastAsia="Calibri" w:hAnsi="Candara" w:cs="Arial"/>
                                      <w:b/>
                                      <w:bCs/>
                                      <w:color w:val="000000" w:themeColor="text1"/>
                                      <w:kern w:val="24"/>
                                      <w:sz w:val="20"/>
                                      <w:szCs w:val="20"/>
                                    </w:rPr>
                                    <w:t>5 IV</w:t>
                                  </w:r>
                                </w:p>
                              </w:txbxContent>
                            </wps:txbx>
                            <wps:bodyPr wrap="square" lIns="0" tIns="0" rIns="0" bIns="0" anchor="ctr"/>
                          </wps:wsp>
                          <wpg:grpSp>
                            <wpg:cNvPr id="371" name="Group 371"/>
                            <wpg:cNvGrpSpPr/>
                            <wpg:grpSpPr>
                              <a:xfrm>
                                <a:off x="-25877" y="-66675"/>
                                <a:ext cx="5264627" cy="8642350"/>
                                <a:chOff x="-25877" y="-66675"/>
                                <a:chExt cx="5264627" cy="8642350"/>
                              </a:xfrm>
                            </wpg:grpSpPr>
                            <wps:wsp xmlns:wps="http://schemas.microsoft.com/office/word/2010/wordprocessingShape">
                              <wps:cNvPr id="2044664447" name="Rounded Rectangle 28"/>
                              <wps:cNvSpPr/>
                              <wps:spPr bwMode="auto">
                                <a:xfrm>
                                  <a:off x="1854200" y="6997700"/>
                                  <a:ext cx="1080000" cy="733245"/>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Zināšanu pārnese un informācijas pasākumi</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(ZM, ELFLA</w:t>
                                    </w:r>
                                    <w:r w:rsidRPr="004C7E5C">
                                      <w:rPr>
                                        <w:rFonts w:ascii="Candara" w:eastAsia="Calibri" w:hAnsi="Candara" w:cs="Arial"/>
                                        <w:b/>
                                        <w:bCs/>
                                        <w:color w:val="000000" w:themeColor="text1"/>
                                        <w:kern w:val="24"/>
                                        <w:sz w:val="20"/>
                                        <w:szCs w:val="20"/>
                                      </w:rPr>
                                      <w:t>)  2015 II</w:t>
                                    </w:r>
                                  </w:p>
                                </w:txbxContent>
                              </wps:txbx>
                              <wps:bodyPr wrap="square" lIns="0" tIns="0" rIns="0" bIns="0" anchor="ctr"/>
                            </wps:wsp>
                            <wps:wsp xmlns:wps="http://schemas.microsoft.com/office/word/2010/wordprocessingShape">
                              <wps:cNvPr id="34825" name="Rounded Rectangle 28"/>
                              <wps:cNvSpPr/>
                              <wps:spPr bwMode="auto">
                                <a:xfrm>
                                  <a:off x="3009900" y="6997700"/>
                                  <a:ext cx="1080000" cy="59055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Bezdarbnieku apmācības</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L</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w:t>
                                    </w:r>
                                    <w:r w:rsidRPr="004C7E5C">
                                      <w:rPr>
                                        <w:rFonts w:ascii="Candara" w:eastAsia="Calibri" w:hAnsi="Candara" w:cs="Arial"/>
                                        <w:b/>
                                        <w:bCs/>
                                        <w:color w:val="000000" w:themeColor="text1"/>
                                        <w:kern w:val="24"/>
                                        <w:sz w:val="20"/>
                                        <w:szCs w:val="20"/>
                                      </w:rPr>
                                      <w:t xml:space="preserve">  2015 </w:t>
                                    </w:r>
                                    <w:r>
                                      <w:rPr>
                                        <w:rFonts w:ascii="Candara" w:eastAsia="Calibri" w:hAnsi="Candara" w:cs="Arial"/>
                                        <w:b/>
                                        <w:bCs/>
                                        <w:color w:val="000000" w:themeColor="text1"/>
                                        <w:kern w:val="24"/>
                                        <w:sz w:val="20"/>
                                        <w:szCs w:val="20"/>
                                      </w:rPr>
                                      <w:t>I</w:t>
                                    </w:r>
                                    <w:r w:rsidRPr="004C7E5C">
                                      <w:rPr>
                                        <w:rFonts w:ascii="Candara" w:eastAsia="Calibri" w:hAnsi="Candara" w:cs="Arial"/>
                                        <w:b/>
                                        <w:bCs/>
                                        <w:color w:val="000000" w:themeColor="text1"/>
                                        <w:kern w:val="24"/>
                                        <w:sz w:val="20"/>
                                        <w:szCs w:val="20"/>
                                      </w:rPr>
                                      <w:t>II</w:t>
                                    </w:r>
                                  </w:p>
                                </w:txbxContent>
                              </wps:txbx>
                              <wps:bodyPr wrap="square" lIns="0" tIns="0" rIns="0" bIns="0" anchor="ctr"/>
                            </wps:wsp>
                            <wpg:grpSp>
                              <wpg:cNvPr id="370" name="Group 370"/>
                              <wpg:cNvGrpSpPr/>
                              <wpg:grpSpPr>
                                <a:xfrm>
                                  <a:off x="-25877" y="-66675"/>
                                  <a:ext cx="5264627" cy="8543925"/>
                                  <a:chOff x="-25877" y="-66675"/>
                                  <a:chExt cx="5264627" cy="8543925"/>
                                </a:xfrm>
                              </wpg:grpSpPr>
                              <wps:wsp xmlns:wps="http://schemas.microsoft.com/office/word/2010/wordprocessingShape">
                                <wps:cNvPr id="349" name="Rounded Rectangle 28"/>
                                <wps:cNvSpPr/>
                                <wps:spPr bwMode="auto">
                                  <a:xfrm>
                                    <a:off x="1841500" y="5632450"/>
                                    <a:ext cx="1080000" cy="733245"/>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Darba tirgus apsteidzošo pārkārtojumu sistēma</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L</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II</w:t>
                                      </w:r>
                                    </w:p>
                                  </w:txbxContent>
                                </wps:txbx>
                                <wps:bodyPr wrap="square" lIns="0" tIns="0" rIns="0" bIns="0" anchor="ctr"/>
                              </wps:wsp>
                              <wps:wsp xmlns:wps="http://schemas.microsoft.com/office/word/2010/wordprocessingShape">
                                <wps:cNvPr id="348" name="Rounded Rectangle 28"/>
                                <wps:cNvSpPr/>
                                <wps:spPr bwMode="auto">
                                  <a:xfrm>
                                    <a:off x="3003550" y="5670550"/>
                                    <a:ext cx="1104900" cy="600075"/>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Nodarbināto apmācības</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II</w:t>
                                      </w:r>
                                    </w:p>
                                  </w:txbxContent>
                                </wps:txbx>
                                <wps:bodyPr wrap="square" lIns="0" tIns="0" rIns="0" bIns="0" anchor="ctr"/>
                              </wps:wsp>
                              <wps:wsp xmlns:wps="http://schemas.microsoft.com/office/word/2010/wordprocessingShape">
                                <wps:cNvPr id="347" name="Rounded Rectangle 28"/>
                                <wps:cNvSpPr/>
                                <wps:spPr bwMode="auto">
                                  <a:xfrm>
                                    <a:off x="4203700" y="5670550"/>
                                    <a:ext cx="981075" cy="600075"/>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Ārējo tirgu apgūšana</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II</w:t>
                                      </w:r>
                                      <w:r>
                                        <w:rPr>
                                          <w:rFonts w:ascii="Candara" w:eastAsia="Calibri" w:hAnsi="Candara" w:cs="Arial"/>
                                          <w:b/>
                                          <w:bCs/>
                                          <w:color w:val="000000" w:themeColor="text1"/>
                                          <w:kern w:val="24"/>
                                          <w:sz w:val="20"/>
                                          <w:szCs w:val="20"/>
                                        </w:rPr>
                                        <w:t>-III</w:t>
                                      </w:r>
                                    </w:p>
                                  </w:txbxContent>
                                </wps:txbx>
                                <wps:bodyPr wrap="square" lIns="0" tIns="0" rIns="0" bIns="0" anchor="ctr"/>
                              </wps:wsp>
                              <wpg:grpSp>
                                <wpg:cNvPr id="369" name="Group 369"/>
                                <wpg:cNvGrpSpPr/>
                                <wpg:grpSpPr>
                                  <a:xfrm>
                                    <a:off x="-25877" y="-66675"/>
                                    <a:ext cx="5264627" cy="8543925"/>
                                    <a:chOff x="-25877" y="-66675"/>
                                    <a:chExt cx="5264627" cy="8543925"/>
                                  </a:xfrm>
                                </wpg:grpSpPr>
                                <wps:wsp xmlns:wps="http://schemas.microsoft.com/office/word/2010/wordprocessingShape">
                                  <wps:cNvPr id="345" name="Rounded Rectangle 28"/>
                                  <wps:cNvSpPr/>
                                  <wps:spPr bwMode="auto">
                                    <a:xfrm>
                                      <a:off x="4108450" y="4940300"/>
                                      <a:ext cx="1022350" cy="638175"/>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Finanšu pieejamības sekmēšana</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III</w:t>
                                        </w:r>
                                      </w:p>
                                    </w:txbxContent>
                                  </wps:txbx>
                                  <wps:bodyPr wrap="square" lIns="0" tIns="0" rIns="0" bIns="0" anchor="ctr"/>
                                </wps:wsp>
                                <wpg:grpSp>
                                  <wpg:cNvPr id="368" name="Group 368"/>
                                  <wpg:cNvGrpSpPr/>
                                  <wpg:grpSpPr>
                                    <a:xfrm>
                                      <a:off x="-25877" y="-66675"/>
                                      <a:ext cx="5264627" cy="8543925"/>
                                      <a:chOff x="-25877" y="-66675"/>
                                      <a:chExt cx="5264627" cy="8543925"/>
                                    </a:xfrm>
                                  </wpg:grpSpPr>
                                  <wps:wsp xmlns:wps="http://schemas.microsoft.com/office/word/2010/wordprocessingShape">
                                    <wps:cNvPr id="343" name="Rounded Rectangle 28"/>
                                    <wps:cNvSpPr/>
                                    <wps:spPr bwMode="auto">
                                      <a:xfrm>
                                        <a:off x="1847850" y="4940300"/>
                                        <a:ext cx="1079500" cy="447675"/>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KC</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III</w:t>
                                          </w:r>
                                        </w:p>
                                      </w:txbxContent>
                                    </wps:txbx>
                                    <wps:bodyPr wrap="square" lIns="0" tIns="0" rIns="0" bIns="0" anchor="ctr"/>
                                  </wps:wsp>
                                  <wps:wsp xmlns:wps="http://schemas.microsoft.com/office/word/2010/wordprocessingShape">
                                    <wps:cNvPr id="344" name="Rounded Rectangle 28"/>
                                    <wps:cNvSpPr/>
                                    <wps:spPr bwMode="auto">
                                      <a:xfrm>
                                        <a:off x="3009900" y="4940300"/>
                                        <a:ext cx="1028700" cy="504825"/>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Biznesa inkubatori</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III</w:t>
                                          </w:r>
                                        </w:p>
                                      </w:txbxContent>
                                    </wps:txbx>
                                    <wps:bodyPr wrap="square" lIns="0" tIns="0" rIns="0" bIns="0" anchor="ctr"/>
                                  </wps:wsp>
                                  <wpg:grpSp>
                                    <wpg:cNvPr id="367" name="Group 367"/>
                                    <wpg:cNvGrpSpPr/>
                                    <wpg:grpSpPr>
                                      <a:xfrm>
                                        <a:off x="-25877" y="-66675"/>
                                        <a:ext cx="5264627" cy="8543925"/>
                                        <a:chOff x="-25877" y="-66675"/>
                                        <a:chExt cx="5264627" cy="8543925"/>
                                      </a:xfrm>
                                    </wpg:grpSpPr>
                                    <wps:wsp xmlns:wps="http://schemas.microsoft.com/office/word/2010/wordprocessingShape">
                                      <wps:cNvPr id="328" name="Rounded Rectangle 28"/>
                                      <wps:cNvSpPr/>
                                      <wps:spPr bwMode="auto">
                                        <a:xfrm>
                                          <a:off x="4089900" y="4127500"/>
                                          <a:ext cx="1028200" cy="65024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Nodarbināto prof. kompetenču pilnveide</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w:t>
                                            </w:r>
                                          </w:p>
                                        </w:txbxContent>
                                      </wps:txbx>
                                      <wps:bodyPr wrap="square" lIns="0" tIns="0" rIns="0" bIns="0" anchor="ctr"/>
                                    </wps:wsp>
                                    <wpg:grpSp>
                                      <wpg:cNvPr id="366" name="Group 366"/>
                                      <wpg:cNvGrpSpPr/>
                                      <wpg:grpSpPr>
                                        <a:xfrm>
                                          <a:off x="-25877" y="-66675"/>
                                          <a:ext cx="5264627" cy="8543925"/>
                                          <a:chOff x="-25877" y="-66675"/>
                                          <a:chExt cx="5264627" cy="8543925"/>
                                        </a:xfrm>
                                      </wpg:grpSpPr>
                                      <wps:wsp xmlns:wps="http://schemas.microsoft.com/office/word/2010/wordprocessingShape">
                                        <wps:cNvPr id="327" name="Rounded Rectangle 28"/>
                                        <wps:cNvSpPr/>
                                        <wps:spPr bwMode="auto">
                                          <a:xfrm>
                                            <a:off x="2952750" y="4146550"/>
                                            <a:ext cx="1019175" cy="64770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Inovāciju motivācijas programma</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w:t>
                                              </w:r>
                                            </w:p>
                                          </w:txbxContent>
                                        </wps:txbx>
                                        <wps:bodyPr wrap="square" lIns="0" tIns="0" rIns="0" bIns="0" anchor="ctr"/>
                                      </wps:wsp>
                                      <wpg:grpSp>
                                        <wpg:cNvPr id="364" name="Group 364"/>
                                        <wpg:cNvGrpSpPr/>
                                        <wpg:grpSpPr>
                                          <a:xfrm>
                                            <a:off x="-25877" y="-66675"/>
                                            <a:ext cx="5264627" cy="8543925"/>
                                            <a:chOff x="-25877" y="-66675"/>
                                            <a:chExt cx="5264627" cy="8543925"/>
                                          </a:xfrm>
                                        </wpg:grpSpPr>
                                        <wps:wsp xmlns:wps="http://schemas.microsoft.com/office/word/2010/wordprocessingShape">
                                          <wps:cNvPr id="323" name="Rounded Rectangle 28"/>
                                          <wps:cNvSpPr/>
                                          <wps:spPr bwMode="auto">
                                            <a:xfrm>
                                              <a:off x="1841500" y="4127500"/>
                                              <a:ext cx="1031875" cy="64770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Tehnoloģiju pārneses programma</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w:t>
                                                </w:r>
                                              </w:p>
                                            </w:txbxContent>
                                          </wps:txbx>
                                          <wps:bodyPr wrap="square" lIns="0" tIns="0" rIns="0" bIns="0" anchor="ctr"/>
                                        </wps:wsp>
                                        <wpg:grpSp>
                                          <wpg:cNvPr id="363" name="Group 363"/>
                                          <wpg:cNvGrpSpPr/>
                                          <wpg:grpSpPr>
                                            <a:xfrm>
                                              <a:off x="-25877" y="-66675"/>
                                              <a:ext cx="5264627" cy="8543925"/>
                                              <a:chOff x="-25877" y="-66675"/>
                                              <a:chExt cx="5264627" cy="8543925"/>
                                            </a:xfrm>
                                          </wpg:grpSpPr>
                                          <wpg:grpSp>
                                            <wpg:cNvPr id="36" name="Group 36"/>
                                            <wpg:cNvGrpSpPr/>
                                            <wpg:grpSpPr>
                                              <a:xfrm>
                                                <a:off x="1244600" y="-66675"/>
                                                <a:ext cx="623779" cy="8543925"/>
                                                <a:chOff x="0" y="-66675"/>
                                                <a:chExt cx="623779" cy="8543925"/>
                                              </a:xfrm>
                                            </wpg:grpSpPr>
                                            <wps:wsp xmlns:wps="http://schemas.microsoft.com/office/word/2010/wordprocessingShape">
                                              <wps:cNvPr id="34836" name="Arrow: Down 34836"/>
                                              <wps:cNvSpPr/>
                                              <wps:spPr>
                                                <a:xfrm rot="10800000">
                                                  <a:off x="145584" y="-66675"/>
                                                  <a:ext cx="478195" cy="8543925"/>
                                                </a:xfrm>
                                                <a:prstGeom prst="downArrow">
                                                  <a:avLst/>
                                                </a:prstGeom>
                                                <a:solidFill>
                                                  <a:schemeClr val="accent1">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grpSp>
                                              <wpg:cNvPr id="34841" name="Group 15"/>
                                              <wpg:cNvGrpSpPr/>
                                              <wpg:grpSpPr>
                                                <a:xfrm rot="16200000">
                                                  <a:off x="166687" y="8005763"/>
                                                  <a:ext cx="180975" cy="476638"/>
                                                  <a:chOff x="0" y="0"/>
                                                  <a:chExt cx="180975" cy="476638"/>
                                                </a:xfrm>
                                              </wpg:grpSpPr>
                                              <wps:wsp xmlns:wps="http://schemas.microsoft.com/office/word/2010/wordprocessingShape">
                                                <wps:cNvPr id="34842" name="Straight Arrow Connector 34842"/>
                                                <wps:cNvCnPr/>
                                                <wps:spPr>
                                                  <a:xfrm>
                                                    <a:off x="84401" y="0"/>
                                                    <a:ext cx="646" cy="245282"/>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4843" name="Oval 34843"/>
                                                <wps:cNvSpPr/>
                                                <wps:spPr>
                                                  <a:xfrm>
                                                    <a:off x="0" y="297250"/>
                                                    <a:ext cx="180975" cy="179388"/>
                                                  </a:xfrm>
                                                  <a:prstGeom prst="ellipse">
                                                    <a:avLst/>
                                                  </a:prstGeom>
                                                  <a:solidFill>
                                                    <a:srgbClr val="00B0F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grpSp>
                                            <wpg:grpSp>
                                              <wpg:cNvPr id="350" name="Group 15"/>
                                              <wpg:cNvGrpSpPr/>
                                              <wpg:grpSpPr>
                                                <a:xfrm rot="16200000">
                                                  <a:off x="157162" y="6119813"/>
                                                  <a:ext cx="180975" cy="476250"/>
                                                  <a:chOff x="0" y="0"/>
                                                  <a:chExt cx="180975" cy="476638"/>
                                                </a:xfrm>
                                              </wpg:grpSpPr>
                                              <wps:wsp xmlns:wps="http://schemas.microsoft.com/office/word/2010/wordprocessingShape">
                                                <wps:cNvPr id="351" name="Straight Arrow Connector 351"/>
                                                <wps:cNvCnPr/>
                                                <wps:spPr>
                                                  <a:xfrm>
                                                    <a:off x="84401" y="0"/>
                                                    <a:ext cx="646" cy="245282"/>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4816" name="Oval 34816"/>
                                                <wps:cNvSpPr/>
                                                <wps:spPr>
                                                  <a:xfrm>
                                                    <a:off x="0" y="297250"/>
                                                    <a:ext cx="180975" cy="179388"/>
                                                  </a:xfrm>
                                                  <a:prstGeom prst="ellipse">
                                                    <a:avLst/>
                                                  </a:prstGeom>
                                                  <a:solidFill>
                                                    <a:srgbClr val="00B0F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grpSp>
                                            <wpg:grpSp>
                                              <wpg:cNvPr id="330" name="Group 15"/>
                                              <wpg:cNvGrpSpPr/>
                                              <wpg:grpSpPr>
                                                <a:xfrm rot="16200000">
                                                  <a:off x="147637" y="3348038"/>
                                                  <a:ext cx="180975" cy="476250"/>
                                                  <a:chOff x="0" y="0"/>
                                                  <a:chExt cx="180975" cy="476638"/>
                                                </a:xfrm>
                                              </wpg:grpSpPr>
                                              <wps:wsp xmlns:wps="http://schemas.microsoft.com/office/word/2010/wordprocessingShape">
                                                <wps:cNvPr id="335" name="Straight Arrow Connector 335"/>
                                                <wps:cNvCnPr/>
                                                <wps:spPr>
                                                  <a:xfrm>
                                                    <a:off x="84401" y="0"/>
                                                    <a:ext cx="646" cy="245282"/>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41" name="Oval 341"/>
                                                <wps:cNvSpPr/>
                                                <wps:spPr>
                                                  <a:xfrm>
                                                    <a:off x="0" y="297250"/>
                                                    <a:ext cx="180975" cy="179388"/>
                                                  </a:xfrm>
                                                  <a:prstGeom prst="ellipse">
                                                    <a:avLst/>
                                                  </a:prstGeom>
                                                  <a:solidFill>
                                                    <a:srgbClr val="00B0F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grpSp>
                                            <wpg:grpSp>
                                              <wpg:cNvPr id="17411" name="Group 15"/>
                                              <wpg:cNvGrpSpPr/>
                                              <wpg:grpSpPr>
                                                <a:xfrm rot="16200000">
                                                  <a:off x="152401" y="-168794"/>
                                                  <a:ext cx="180975" cy="485773"/>
                                                  <a:chOff x="64019" y="3"/>
                                                  <a:chExt cx="180975" cy="486169"/>
                                                </a:xfrm>
                                              </wpg:grpSpPr>
                                              <wps:wsp xmlns:wps="http://schemas.microsoft.com/office/word/2010/wordprocessingShape">
                                                <wps:cNvPr id="17412" name="Straight Arrow Connector 17412"/>
                                                <wps:cNvCnPr/>
                                                <wps:spPr>
                                                  <a:xfrm>
                                                    <a:off x="160595" y="3"/>
                                                    <a:ext cx="646" cy="245281"/>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7415" name="Oval 17415"/>
                                                <wps:cNvSpPr/>
                                                <wps:spPr>
                                                  <a:xfrm>
                                                    <a:off x="64019" y="306784"/>
                                                    <a:ext cx="180975" cy="179388"/>
                                                  </a:xfrm>
                                                  <a:prstGeom prst="ellipse">
                                                    <a:avLst/>
                                                  </a:prstGeom>
                                                  <a:solidFill>
                                                    <a:srgbClr val="00B0F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grpSp>
                                          </wpg:grpSp>
                                          <wpg:grpSp>
                                            <wpg:cNvPr id="362" name="Group 362"/>
                                            <wpg:cNvGrpSpPr/>
                                            <wpg:grpSpPr>
                                              <a:xfrm>
                                                <a:off x="-25877" y="167221"/>
                                                <a:ext cx="5264627" cy="3792639"/>
                                                <a:chOff x="-25877" y="-86779"/>
                                                <a:chExt cx="5264627" cy="3792639"/>
                                              </a:xfrm>
                                            </wpg:grpSpPr>
                                            <wpg:grpSp>
                                              <wpg:cNvPr id="361" name="Group 361"/>
                                              <wpg:cNvGrpSpPr/>
                                              <wpg:grpSpPr>
                                                <a:xfrm>
                                                  <a:off x="1797050" y="0"/>
                                                  <a:ext cx="3441700" cy="3705860"/>
                                                  <a:chOff x="0" y="0"/>
                                                  <a:chExt cx="3441700" cy="3705860"/>
                                                </a:xfrm>
                                              </wpg:grpSpPr>
                                              <wps:wsp xmlns:wps="http://schemas.microsoft.com/office/word/2010/wordprocessingShape">
                                                <wps:cNvPr id="326" name="Rounded Rectangle 28"/>
                                                <wps:cNvSpPr/>
                                                <wps:spPr bwMode="auto">
                                                  <a:xfrm>
                                                    <a:off x="31750" y="3175000"/>
                                                    <a:ext cx="1600200" cy="52451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Ražošanas telpu un infrastruktūras izveide</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w:t>
                                                      </w:r>
                                                    </w:p>
                                                  </w:txbxContent>
                                                </wps:txbx>
                                                <wps:bodyPr wrap="square" lIns="0" tIns="0" rIns="0" bIns="0" anchor="ctr"/>
                                              </wps:wsp>
                                              <wps:wsp xmlns:wps="http://schemas.microsoft.com/office/word/2010/wordprocessingShape">
                                                <wps:cNvPr id="329" name="Rounded Rectangle 28"/>
                                                <wps:cNvSpPr/>
                                                <wps:spPr bwMode="auto">
                                                  <a:xfrm>
                                                    <a:off x="1701800" y="3181350"/>
                                                    <a:ext cx="1552575" cy="52451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Uzņēmējdarbību veicinoša publiskā infrastr. reģionos</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VARA</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w:t>
                                                      </w:r>
                                                    </w:p>
                                                  </w:txbxContent>
                                                </wps:txbx>
                                                <wps:bodyPr wrap="square" lIns="0" tIns="0" rIns="0" bIns="0" anchor="ctr"/>
                                              </wps:wsp>
                                              <wpg:grpSp>
                                                <wpg:cNvPr id="292" name="Group 292"/>
                                                <wpg:cNvGrpSpPr/>
                                                <wpg:grpSpPr>
                                                  <a:xfrm>
                                                    <a:off x="0" y="0"/>
                                                    <a:ext cx="3441700" cy="3043237"/>
                                                    <a:chOff x="0" y="0"/>
                                                    <a:chExt cx="3441700" cy="3043237"/>
                                                  </a:xfrm>
                                                </wpg:grpSpPr>
                                                <wps:wsp xmlns:wps="http://schemas.microsoft.com/office/word/2010/wordprocessingShape">
                                                  <wps:cNvPr id="325" name="Rounded Rectangle 28"/>
                                                  <wps:cNvSpPr/>
                                                  <wps:spPr bwMode="auto">
                                                    <a:xfrm>
                                                      <a:off x="69850" y="2628900"/>
                                                      <a:ext cx="1497964" cy="407987"/>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Klasteru programma</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w:t>
                                                        </w:r>
                                                      </w:p>
                                                    </w:txbxContent>
                                                  </wps:txbx>
                                                  <wps:bodyPr wrap="square" lIns="0" tIns="0" rIns="0" bIns="0" anchor="ctr"/>
                                                </wps:wsp>
                                                <wps:wsp xmlns:wps="http://schemas.microsoft.com/office/word/2010/wordprocessingShape">
                                                  <wps:cNvPr id="324" name="Rounded Rectangle 28"/>
                                                  <wps:cNvSpPr/>
                                                  <wps:spPr bwMode="auto">
                                                    <a:xfrm>
                                                      <a:off x="1708151" y="2582862"/>
                                                      <a:ext cx="1535166" cy="460375"/>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Jaunu produktu ieviešana ražošanā</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II</w:t>
                                                        </w:r>
                                                      </w:p>
                                                    </w:txbxContent>
                                                  </wps:txbx>
                                                  <wps:bodyPr wrap="square" lIns="0" tIns="0" rIns="0" bIns="0" anchor="ctr"/>
                                                </wps:wsp>
                                                <wpg:grpSp>
                                                  <wpg:cNvPr id="209" name="Group 209"/>
                                                  <wpg:cNvGrpSpPr/>
                                                  <wpg:grpSpPr>
                                                    <a:xfrm>
                                                      <a:off x="0" y="0"/>
                                                      <a:ext cx="3441700" cy="2535183"/>
                                                      <a:chOff x="0" y="0"/>
                                                      <a:chExt cx="3441700" cy="2535183"/>
                                                    </a:xfrm>
                                                  </wpg:grpSpPr>
                                                  <wps:wsp xmlns:wps="http://schemas.microsoft.com/office/word/2010/wordprocessingShape">
                                                    <wps:cNvPr id="322" name="Rounded Rectangle 28"/>
                                                    <wps:cNvSpPr/>
                                                    <wps:spPr bwMode="auto">
                                                      <a:xfrm>
                                                        <a:off x="38100" y="2165350"/>
                                                        <a:ext cx="1673524" cy="369833"/>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PII infrastruktūras attīstība</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IV</w:t>
                                                          </w:r>
                                                        </w:p>
                                                      </w:txbxContent>
                                                    </wps:txbx>
                                                    <wps:bodyPr wrap="square" lIns="0" tIns="0" rIns="0" bIns="0" anchor="ctr"/>
                                                  </wps:wsp>
                                                  <wpg:grpSp>
                                                    <wpg:cNvPr id="200" name="Group 200"/>
                                                    <wpg:cNvGrpSpPr/>
                                                    <wpg:grpSpPr>
                                                      <a:xfrm>
                                                        <a:off x="0" y="0"/>
                                                        <a:ext cx="3441700" cy="2062480"/>
                                                        <a:chOff x="0" y="0"/>
                                                        <a:chExt cx="3441700" cy="2062480"/>
                                                      </a:xfrm>
                                                    </wpg:grpSpPr>
                                                    <wps:wsp xmlns:wps="http://schemas.microsoft.com/office/word/2010/wordprocessingShape">
                                                      <wps:cNvPr id="321" name="Rounded Rectangle 28"/>
                                                      <wps:cNvSpPr/>
                                                      <wps:spPr bwMode="auto">
                                                        <a:xfrm>
                                                          <a:off x="31750" y="1631950"/>
                                                          <a:ext cx="1454785" cy="43053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Praktiskas ievirzes pētījumi</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w:t>
                                                            </w:r>
                                                          </w:p>
                                                        </w:txbxContent>
                                                      </wps:txbx>
                                                      <wps:bodyPr wrap="square" lIns="0" tIns="0" rIns="0" bIns="0" anchor="ctr"/>
                                                    </wps:wsp>
                                                    <wps:wsp xmlns:wps="http://schemas.microsoft.com/office/word/2010/wordprocessingShape">
                                                      <wps:cNvPr id="320" name="Rounded Rectangle 28"/>
                                                      <wps:cNvSpPr/>
                                                      <wps:spPr bwMode="auto">
                                                        <a:xfrm>
                                                          <a:off x="1587500" y="1625600"/>
                                                          <a:ext cx="1655816" cy="43200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 xml:space="preserve">DVB, mācību prakse prof. izglītībā </w:t>
                                                            </w: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w:t>
                                                            </w:r>
                                                          </w:p>
                                                        </w:txbxContent>
                                                      </wps:txbx>
                                                      <wps:bodyPr wrap="square" lIns="0" tIns="0" rIns="0" bIns="0" anchor="ctr"/>
                                                    </wps:wsp>
                                                    <wpg:grpSp>
                                                      <wpg:cNvPr id="196" name="Group 196"/>
                                                      <wpg:cNvGrpSpPr/>
                                                      <wpg:grpSpPr>
                                                        <a:xfrm>
                                                          <a:off x="0" y="0"/>
                                                          <a:ext cx="3441700" cy="1562300"/>
                                                          <a:chOff x="0" y="0"/>
                                                          <a:chExt cx="3441700" cy="1562300"/>
                                                        </a:xfrm>
                                                      </wpg:grpSpPr>
                                                      <wps:wsp xmlns:wps="http://schemas.microsoft.com/office/word/2010/wordprocessingShape">
                                                        <wps:cNvPr id="319" name="Rounded Rectangle 28"/>
                                                        <wps:cNvSpPr/>
                                                        <wps:spPr bwMode="auto">
                                                          <a:xfrm>
                                                            <a:off x="1600200" y="1130300"/>
                                                            <a:ext cx="1655816" cy="43200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 xml:space="preserve">Koledžu STEM infrastruktūra </w:t>
                                                              </w: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 III</w:t>
                                                              </w:r>
                                                            </w:p>
                                                          </w:txbxContent>
                                                        </wps:txbx>
                                                        <wps:bodyPr wrap="square" lIns="0" tIns="0" rIns="0" bIns="0" anchor="ctr"/>
                                                      </wps:wsp>
                                                      <wpg:grpSp>
                                                        <wpg:cNvPr id="2048" name="Group 2048"/>
                                                        <wpg:cNvGrpSpPr/>
                                                        <wpg:grpSpPr>
                                                          <a:xfrm>
                                                            <a:off x="0" y="0"/>
                                                            <a:ext cx="3441700" cy="1560830"/>
                                                            <a:chOff x="0" y="0"/>
                                                            <a:chExt cx="3441700" cy="1560830"/>
                                                          </a:xfrm>
                                                        </wpg:grpSpPr>
                                                        <wps:wsp xmlns:wps="http://schemas.microsoft.com/office/word/2010/wordprocessingShape">
                                                          <wps:cNvPr id="318" name="Rounded Rectangle 28"/>
                                                          <wps:cNvSpPr/>
                                                          <wps:spPr bwMode="auto">
                                                            <a:xfrm>
                                                              <a:off x="0" y="1130300"/>
                                                              <a:ext cx="1535430" cy="43053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AII STEM infrastruktūra</w:t>
                                                                </w:r>
                                                              </w:p>
                                                              <w:p w:rsidR="00B55C40" w:rsidRPr="004C7E5C" w:rsidP="006A6349" w14:textId="6070FC5C">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III</w:t>
                                                                </w:r>
                                                              </w:p>
                                                            </w:txbxContent>
                                                          </wps:txbx>
                                                          <wps:bodyPr wrap="square" lIns="0" tIns="0" rIns="0" bIns="0" anchor="ctr"/>
                                                        </wps:wsp>
                                                        <wpg:grpSp>
                                                          <wpg:cNvPr id="89" name="Group 89"/>
                                                          <wpg:cNvGrpSpPr/>
                                                          <wpg:grpSpPr>
                                                            <a:xfrm>
                                                              <a:off x="31747" y="0"/>
                                                              <a:ext cx="3409953" cy="1033780"/>
                                                              <a:chOff x="31747" y="0"/>
                                                              <a:chExt cx="3409953" cy="1033780"/>
                                                            </a:xfrm>
                                                          </wpg:grpSpPr>
                                                          <wps:wsp xmlns:wps="http://schemas.microsoft.com/office/word/2010/wordprocessingShape">
                                                            <wps:cNvPr id="309" name="Rounded Rectangle 28"/>
                                                            <wps:cNvSpPr/>
                                                            <wps:spPr bwMode="auto">
                                                              <a:xfrm>
                                                                <a:off x="31747" y="603250"/>
                                                                <a:ext cx="1454785" cy="430530"/>
                                                              </a:xfrm>
                                                              <a:prstGeom prst="roundRect">
                                                                <a:avLst>
                                                                  <a:gd name="adj" fmla="val 5773"/>
                                                                </a:avLst>
                                                              </a:prstGeom>
                                                              <a:solidFill>
                                                                <a:schemeClr val="accent1">
                                                                  <a:lumMod val="20000"/>
                                                                  <a:lumOff val="80000"/>
                                                                </a:schemeClr>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A165DF" w14:textId="77777777">
                                                                  <w:pPr>
                                                                    <w:pStyle w:val="NormalWeb"/>
                                                                    <w:shd w:val="clear" w:color="auto" w:fill="DDE5F7" w:themeFill="accent6" w:themeFillTint="33"/>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St. sadarbība P&amp;A</w:t>
                                                                  </w:r>
                                                                </w:p>
                                                                <w:p w:rsidR="00B55C40" w:rsidRPr="004C7E5C" w:rsidP="006A6349" w14:textId="24B888A1">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vērtēšana </w:t>
                                                                  </w:r>
                                                                </w:p>
                                                              </w:txbxContent>
                                                            </wps:txbx>
                                                            <wps:bodyPr wrap="square" lIns="0" tIns="0" rIns="0" bIns="0" anchor="ctr"/>
                                                          </wps:wsp>
                                                          <wps:wsp xmlns:wps="http://schemas.microsoft.com/office/word/2010/wordprocessingShape">
                                                            <wps:cNvPr id="17408" name="Rounded Rectangle 28"/>
                                                            <wps:cNvSpPr/>
                                                            <wps:spPr bwMode="auto">
                                                              <a:xfrm>
                                                                <a:off x="1555750" y="603250"/>
                                                                <a:ext cx="1664335" cy="430530"/>
                                                              </a:xfrm>
                                                              <a:prstGeom prst="roundRect">
                                                                <a:avLst>
                                                                  <a:gd name="adj" fmla="val 5773"/>
                                                                </a:avLst>
                                                              </a:prstGeom>
                                                              <a:solidFill>
                                                                <a:schemeClr val="accent5">
                                                                  <a:lumMod val="20000"/>
                                                                  <a:lumOff val="80000"/>
                                                                </a:schemeClr>
                                                              </a:solidFill>
                                                              <a:ln>
                                                                <a:solidFill>
                                                                  <a:schemeClr val="accent5">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Inovācijas granti studentiem</w:t>
                                                                  </w:r>
                                                                </w:p>
                                                                <w:p w:rsidR="00B55C40" w:rsidRPr="004C7E5C" w:rsidP="006A6349" w14:textId="0214EBB0">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MKN 2018 I</w:t>
                                                                  </w:r>
                                                                </w:p>
                                                              </w:txbxContent>
                                                            </wps:txbx>
                                                            <wps:bodyPr wrap="square" lIns="0" tIns="0" rIns="0" bIns="0" anchor="ctr"/>
                                                          </wps:wsp>
                                                          <wps:wsp xmlns:wps="http://schemas.microsoft.com/office/word/2010/wordprocessingShape">
                                                            <wps:cNvPr id="17409" name="Rounded Rectangle 28"/>
                                                            <wps:cNvSpPr/>
                                                            <wps:spPr bwMode="auto">
                                                              <a:xfrm>
                                                                <a:off x="31750" y="0"/>
                                                                <a:ext cx="3409950" cy="542925"/>
                                                              </a:xfrm>
                                                              <a:prstGeom prst="roundRect">
                                                                <a:avLst>
                                                                  <a:gd name="adj" fmla="val 5773"/>
                                                                </a:avLst>
                                                              </a:prstGeom>
                                                              <a:solidFill>
                                                                <a:schemeClr val="accent5">
                                                                  <a:lumMod val="20000"/>
                                                                  <a:lumOff val="80000"/>
                                                                </a:schemeClr>
                                                              </a:solidFill>
                                                              <a:ln>
                                                                <a:solidFill>
                                                                  <a:schemeClr val="accent5">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AII studiju programmu fragmentācijas mazināšana, akad. personāla kapacitātes stiprināšana, AII pārvaldības uzlabošana</w:t>
                                                                  </w:r>
                                                                </w:p>
                                                                <w:p w:rsidR="00B55C40" w:rsidRPr="004C7E5C" w:rsidP="006A6349" w14:textId="7AFB21F9">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MKN 2018 I</w:t>
                                                                  </w:r>
                                                                </w:p>
                                                              </w:txbxContent>
                                                            </wps:txbx>
                                                            <wps:bodyPr wrap="square" lIns="0" tIns="0" rIns="0" bIns="0" anchor="ctr"/>
                                                          </wps:wsp>
                                                        </wpg:grpSp>
                                                      </wpg:grpSp>
                                                    </wpg:grpSp>
                                                  </wpg:grpSp>
                                                </wpg:grpSp>
                                              </wpg:grpSp>
                                            </wpg:grpSp>
                                            <wpg:grpSp>
                                              <wpg:cNvPr id="64" name="Group 64"/>
                                              <wpg:cNvGrpSpPr/>
                                              <wpg:grpSpPr>
                                                <a:xfrm>
                                                  <a:off x="-25877" y="-86779"/>
                                                  <a:ext cx="1415225" cy="2585504"/>
                                                  <a:chOff x="-25877" y="-182029"/>
                                                  <a:chExt cx="1415225" cy="2585504"/>
                                                </a:xfrm>
                                              </wpg:grpSpPr>
                                              <wps:wsp xmlns:wps="http://schemas.microsoft.com/office/word/2010/wordprocessingShape">
                                                <wps:cNvPr id="17417" name="Rounded Rectangle 28"/>
                                                <wps:cNvSpPr/>
                                                <wps:spPr bwMode="auto">
                                                  <a:xfrm>
                                                    <a:off x="-7652" y="2033905"/>
                                                    <a:ext cx="1397000" cy="36957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P&amp;A infrastruktūra</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vērt. </w:t>
                                                      </w:r>
                                                      <w:r w:rsidRPr="004C7E5C">
                                                        <w:rPr>
                                                          <w:rFonts w:ascii="Candara" w:eastAsia="Calibri" w:hAnsi="Candara" w:cs="Arial"/>
                                                          <w:b/>
                                                          <w:bCs/>
                                                          <w:color w:val="000000" w:themeColor="text1"/>
                                                          <w:kern w:val="24"/>
                                                          <w:sz w:val="20"/>
                                                          <w:szCs w:val="20"/>
                                                        </w:rPr>
                                                        <w:t>201</w:t>
                                                      </w:r>
                                                      <w:r>
                                                        <w:rPr>
                                                          <w:rFonts w:ascii="Candara" w:eastAsia="Calibri" w:hAnsi="Candara" w:cs="Arial"/>
                                                          <w:b/>
                                                          <w:bCs/>
                                                          <w:color w:val="000000" w:themeColor="text1"/>
                                                          <w:kern w:val="24"/>
                                                          <w:sz w:val="20"/>
                                                          <w:szCs w:val="20"/>
                                                        </w:rPr>
                                                        <w:t>7 III</w:t>
                                                      </w:r>
                                                    </w:p>
                                                  </w:txbxContent>
                                                </wps:txbx>
                                                <wps:bodyPr wrap="square" lIns="0" tIns="0" rIns="0" bIns="0" anchor="ctr"/>
                                              </wps:wsp>
                                              <wps:wsp xmlns:wps="http://schemas.microsoft.com/office/word/2010/wordprocessingShape">
                                                <wps:cNvPr id="17420" name="Rounded Rectangle 28"/>
                                                <wps:cNvSpPr/>
                                                <wps:spPr bwMode="auto">
                                                  <a:xfrm>
                                                    <a:off x="-25877" y="-182029"/>
                                                    <a:ext cx="1396067" cy="417776"/>
                                                  </a:xfrm>
                                                  <a:prstGeom prst="roundRect">
                                                    <a:avLst>
                                                      <a:gd name="adj" fmla="val 5773"/>
                                                    </a:avLst>
                                                  </a:prstGeom>
                                                  <a:solidFill>
                                                    <a:schemeClr val="accent6">
                                                      <a:lumMod val="20000"/>
                                                      <a:lumOff val="80000"/>
                                                    </a:schemeClr>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Straujas izaugsmes komersanti</w:t>
                                                      </w:r>
                                                    </w:p>
                                                    <w:p w:rsidR="00B55C40" w:rsidRPr="004C7E5C" w:rsidP="006A6349"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 IV</w:t>
                                                      </w:r>
                                                    </w:p>
                                                  </w:txbxContent>
                                                </wps:txbx>
                                                <wps:bodyPr wrap="square" lIns="0" tIns="0" rIns="0" bIns="0" anchor="ctr"/>
                                              </wps:wsp>
                                            </wpg:grpSp>
                                          </wpg:grpSp>
                                        </wpg:grpSp>
                                      </wpg:grpSp>
                                    </wpg:grpSp>
                                  </wpg:grpSp>
                                </wpg:grpSp>
                              </wpg:grpSp>
                            </wpg:grpSp>
                            <wps:wsp xmlns:wps="http://schemas.microsoft.com/office/word/2010/wordprocessingShape">
                              <wps:cNvPr id="46" name="Rounded Rectangle 28"/>
                              <wps:cNvSpPr/>
                              <wps:spPr bwMode="auto">
                                <a:xfrm>
                                  <a:off x="1905000" y="8147050"/>
                                  <a:ext cx="1849120" cy="428625"/>
                                </a:xfrm>
                                <a:prstGeom prst="roundRect">
                                  <a:avLst>
                                    <a:gd name="adj" fmla="val 8567"/>
                                  </a:avLst>
                                </a:prstGeom>
                                <a:solidFill>
                                  <a:srgbClr val="92D050"/>
                                </a:solidFill>
                                <a:ln w="12700">
                                  <a:solidFill>
                                    <a:srgbClr val="A5A5A5">
                                      <a:lumMod val="75000"/>
                                    </a:srgbClr>
                                  </a:solidFill>
                                  <a:miter lim="800000"/>
                                </a:ln>
                                <a:effectLst/>
                              </wps:spPr>
                              <wps:txbx>
                                <w:txbxContent>
                                  <w:p w:rsidR="00B55C40" w:rsidRPr="001349D5" w:rsidP="009A650D"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Cs/>
                                        <w:kern w:val="24"/>
                                        <w:sz w:val="18"/>
                                        <w:szCs w:val="18"/>
                                      </w:rPr>
                                    </w:pPr>
                                    <w:r w:rsidRPr="001349D5">
                                      <w:rPr>
                                        <w:rFonts w:ascii="Candara" w:eastAsia="Calibri" w:hAnsi="Candara" w:cs="Arial"/>
                                        <w:bCs/>
                                        <w:kern w:val="24"/>
                                        <w:sz w:val="18"/>
                                        <w:szCs w:val="18"/>
                                      </w:rPr>
                                      <w:t xml:space="preserve">Norvēģu </w:t>
                                    </w:r>
                                    <w:r>
                                      <w:rPr>
                                        <w:rFonts w:ascii="Candara" w:eastAsia="Calibri" w:hAnsi="Candara" w:cs="Arial"/>
                                        <w:bCs/>
                                        <w:kern w:val="24"/>
                                        <w:sz w:val="18"/>
                                        <w:szCs w:val="18"/>
                                      </w:rPr>
                                      <w:t>FI</w:t>
                                    </w:r>
                                    <w:r w:rsidRPr="001349D5">
                                      <w:rPr>
                                        <w:rFonts w:ascii="Candara" w:eastAsia="Calibri" w:hAnsi="Candara" w:cs="Arial"/>
                                        <w:bCs/>
                                        <w:kern w:val="24"/>
                                        <w:sz w:val="18"/>
                                        <w:szCs w:val="18"/>
                                      </w:rPr>
                                      <w:t xml:space="preserve"> </w:t>
                                    </w:r>
                                    <w:r>
                                      <w:rPr>
                                        <w:rFonts w:ascii="Candara" w:eastAsia="Calibri" w:hAnsi="Candara" w:cs="Arial"/>
                                        <w:bCs/>
                                        <w:kern w:val="24"/>
                                        <w:sz w:val="18"/>
                                        <w:szCs w:val="18"/>
                                      </w:rPr>
                                      <w:t>programma</w:t>
                                    </w:r>
                                    <w:r w:rsidRPr="009A650D">
                                      <w:rPr>
                                        <w:rFonts w:ascii="Candara" w:eastAsia="Calibri" w:hAnsi="Candara" w:cs="Arial"/>
                                        <w:bCs/>
                                        <w:kern w:val="24"/>
                                        <w:sz w:val="18"/>
                                        <w:szCs w:val="18"/>
                                      </w:rPr>
                                      <w:t xml:space="preserve"> “Inovācijas “zaļās ražošanas” jomā”</w:t>
                                    </w:r>
                                    <w:r w:rsidRPr="001349D5">
                                      <w:rPr>
                                        <w:rFonts w:ascii="Candara" w:eastAsia="Calibri" w:hAnsi="Candara" w:cs="Arial"/>
                                        <w:bCs/>
                                        <w:kern w:val="24"/>
                                        <w:sz w:val="18"/>
                                        <w:szCs w:val="18"/>
                                      </w:rPr>
                                      <w:t xml:space="preserve"> praktiska uzsākšana</w:t>
                                    </w:r>
                                    <w:r>
                                      <w:rPr>
                                        <w:rFonts w:ascii="Candara" w:eastAsia="Calibri" w:hAnsi="Candara" w:cs="Arial"/>
                                        <w:bCs/>
                                        <w:kern w:val="24"/>
                                        <w:sz w:val="18"/>
                                        <w:szCs w:val="18"/>
                                      </w:rPr>
                                      <w:t xml:space="preserve"> (EM)</w:t>
                                    </w:r>
                                    <w:r w:rsidRPr="001349D5">
                                      <w:rPr>
                                        <w:rFonts w:ascii="Candara" w:eastAsia="Calibri" w:hAnsi="Candara" w:cs="Arial"/>
                                        <w:bCs/>
                                        <w:kern w:val="24"/>
                                        <w:sz w:val="18"/>
                                        <w:szCs w:val="18"/>
                                      </w:rPr>
                                      <w:t xml:space="preserve"> </w:t>
                                    </w:r>
                                    <w:r w:rsidRPr="009A650D">
                                      <w:rPr>
                                        <w:rFonts w:ascii="Candara" w:eastAsia="Calibri" w:hAnsi="Candara" w:cs="Arial"/>
                                        <w:b/>
                                        <w:bCs/>
                                        <w:kern w:val="24"/>
                                        <w:sz w:val="18"/>
                                        <w:szCs w:val="18"/>
                                      </w:rPr>
                                      <w:t>2014 I</w:t>
                                    </w:r>
                                  </w:p>
                                  <w:p w:rsidR="00B55C40" w:rsidRPr="00945CA1" w:rsidP="009A650D" w14:textId="77777777">
                                    <w:pPr>
                                      <w:pStyle w:val="NormalWeb"/>
                                      <w:kinsoku w:val="0"/>
                                      <w:overflowPunct w:val="0"/>
                                      <w:spacing w:before="0" w:beforeAutospacing="0" w:after="0" w:afterAutospacing="0" w:line="216" w:lineRule="auto"/>
                                      <w:textAlignment w:val="baseline"/>
                                      <w:rPr>
                                        <w:sz w:val="20"/>
                                        <w:szCs w:val="20"/>
                                      </w:rPr>
                                    </w:pPr>
                                  </w:p>
                                  <w:p w:rsidR="00B55C40" w:rsidRPr="000407A3" w:rsidP="009A650D"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p>
                                </w:txbxContent>
                              </wps:txbx>
                              <wps:bodyPr wrap="square" lIns="0" tIns="0" rIns="0" bIns="0" anchor="ctr"/>
                            </wps:wsp>
                          </wpg:grpSp>
                        </wpg:grpSp>
                      </wpg:grpSp>
                    </wpg:wgp>
                  </a:graphicData>
                </a:graphic>
                <wp14:sizeRelH relativeFrom="margin">
                  <wp14:pctWidth>0</wp14:pctWidth>
                </wp14:sizeRelH>
                <wp14:sizeRelV relativeFrom="margin">
                  <wp14:pctHeight>0</wp14:pctHeight>
                </wp14:sizeRelV>
              </wp:anchor>
            </w:drawing>
          </mc:Choice>
          <mc:Fallback>
            <w:pict>
              <v:group id="Group 374" o:spid="_x0000_s1193" style="width:414.5pt;height:680.5pt;margin-top:10.1pt;margin-left:15.3pt;mso-height-relative:margin;mso-width-relative:margin;position:absolute;z-index:251859968" coordorigin="-195,-666" coordsize="52646,86423">
                <v:roundrect id="_x0000_s1194" style="width:13862;height:5087;left:-95;mso-wrap-style:square;position:absolute;top:13709;visibility:visible;v-text-anchor:middle" arcsize="3783f" fillcolor="#e8cde7" strokecolor="#472cbb" strokeweight="1pt">
                  <v:stroke joinstyle="miter"/>
                  <v:textbox inset="0,0,0,0">
                    <w:txbxContent>
                      <w:p w:rsidR="00B55C40" w:rsidRPr="004C7E5C" w:rsidP="006A6349" w14:paraId="54AFCAC5"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Sadarbība: pētniecība un lauksaimn. un mežsaimn.</w:t>
                        </w:r>
                      </w:p>
                      <w:p w:rsidR="00B55C40" w:rsidRPr="004C7E5C" w:rsidP="006A6349" w14:paraId="7702C2AD"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ELFLA)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MKN </w:t>
                        </w:r>
                        <w:r w:rsidRPr="004C7E5C">
                          <w:rPr>
                            <w:rFonts w:ascii="Candara" w:eastAsia="Calibri" w:hAnsi="Candara" w:cs="Arial"/>
                            <w:b/>
                            <w:bCs/>
                            <w:color w:val="000000" w:themeColor="text1"/>
                            <w:kern w:val="24"/>
                            <w:sz w:val="20"/>
                            <w:szCs w:val="20"/>
                          </w:rPr>
                          <w:t>201</w:t>
                        </w:r>
                        <w:r>
                          <w:rPr>
                            <w:rFonts w:ascii="Candara" w:eastAsia="Calibri" w:hAnsi="Candara" w:cs="Arial"/>
                            <w:b/>
                            <w:bCs/>
                            <w:color w:val="000000" w:themeColor="text1"/>
                            <w:kern w:val="24"/>
                            <w:sz w:val="20"/>
                            <w:szCs w:val="20"/>
                          </w:rPr>
                          <w:t>7 II</w:t>
                        </w:r>
                      </w:p>
                    </w:txbxContent>
                  </v:textbox>
                </v:roundrect>
                <v:group id="Group 373" o:spid="_x0000_s1195" style="width:52646;height:86422;left:-195;position:absolute;top:-666" coordorigin="-258,-666" coordsize="52646,86423">
                  <v:roundrect id="_x0000_s1196" style="width:13969;height:3696;left:-158;mso-wrap-style:square;position:absolute;top:27891;visibility:visible;v-text-anchor:middle" arcsize="3783f" fillcolor="#92d050" strokecolor="#472cbb" strokeweight="1pt">
                    <v:stroke joinstyle="miter"/>
                    <v:textbox inset="0,0,0,0">
                      <w:txbxContent>
                        <w:p w:rsidR="00B55C40" w:rsidRPr="004C7E5C" w:rsidP="006A6349" w14:paraId="770D37BE"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Post-dok</w:t>
                          </w:r>
                        </w:p>
                        <w:p w:rsidR="00B55C40" w:rsidRPr="004C7E5C" w:rsidP="006A6349" w14:paraId="512075F3"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rezult. </w:t>
                          </w:r>
                          <w:r w:rsidRPr="004C7E5C">
                            <w:rPr>
                              <w:rFonts w:ascii="Candara" w:eastAsia="Calibri" w:hAnsi="Candara" w:cs="Arial"/>
                              <w:b/>
                              <w:bCs/>
                              <w:color w:val="000000" w:themeColor="text1"/>
                              <w:kern w:val="24"/>
                              <w:sz w:val="20"/>
                              <w:szCs w:val="20"/>
                            </w:rPr>
                            <w:t>201</w:t>
                          </w:r>
                          <w:r>
                            <w:rPr>
                              <w:rFonts w:ascii="Candara" w:eastAsia="Calibri" w:hAnsi="Candara" w:cs="Arial"/>
                              <w:b/>
                              <w:bCs/>
                              <w:color w:val="000000" w:themeColor="text1"/>
                              <w:kern w:val="24"/>
                              <w:sz w:val="20"/>
                              <w:szCs w:val="20"/>
                            </w:rPr>
                            <w:t>7 jūnijs</w:t>
                          </w:r>
                        </w:p>
                      </w:txbxContent>
                    </v:textbox>
                  </v:roundrect>
                  <v:group id="Group 372" o:spid="_x0000_s1197" style="width:52645;height:86422;left:-258;position:absolute;top:-666" coordorigin="-258,-666" coordsize="52646,86423">
                    <v:roundrect id="_x0000_s1198" style="width:13961;height:3232;left:18540;mso-wrap-style:square;position:absolute;top:65347;visibility:visible;v-text-anchor:middle" arcsize="12843f" fillcolor="#92d050" strokecolor="#472cbb" strokeweight="1pt">
                      <v:stroke joinstyle="miter"/>
                      <v:textbox inset="0,0,0,0">
                        <w:txbxContent>
                          <w:p w:rsidR="00B55C40" w:rsidRPr="004C7E5C" w:rsidP="006A6349" w14:paraId="3FBDE3A4"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Teritoriju revitaliz.</w:t>
                            </w:r>
                          </w:p>
                          <w:p w:rsidR="00B55C40" w:rsidRPr="004C7E5C" w:rsidP="006A6349" w14:paraId="72D2D92D"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VARA</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2</w:t>
                            </w:r>
                            <w:r w:rsidRPr="004C7E5C">
                              <w:rPr>
                                <w:rFonts w:ascii="Candara" w:eastAsia="Calibri" w:hAnsi="Candara" w:cs="Arial"/>
                                <w:b/>
                                <w:bCs/>
                                <w:color w:val="000000" w:themeColor="text1"/>
                                <w:kern w:val="24"/>
                                <w:sz w:val="20"/>
                                <w:szCs w:val="20"/>
                              </w:rPr>
                              <w:t>01</w:t>
                            </w:r>
                            <w:r>
                              <w:rPr>
                                <w:rFonts w:ascii="Candara" w:eastAsia="Calibri" w:hAnsi="Candara" w:cs="Arial"/>
                                <w:b/>
                                <w:bCs/>
                                <w:color w:val="000000" w:themeColor="text1"/>
                                <w:kern w:val="24"/>
                                <w:sz w:val="20"/>
                                <w:szCs w:val="20"/>
                              </w:rPr>
                              <w:t>5 IV</w:t>
                            </w:r>
                          </w:p>
                        </w:txbxContent>
                      </v:textbox>
                    </v:roundrect>
                    <v:group id="Group 371" o:spid="_x0000_s1199" style="width:52645;height:86422;left:-258;position:absolute;top:-666" coordorigin="-258,-666" coordsize="52646,86423">
                      <v:roundrect id="_x0000_s1200" style="width:10800;height:7332;left:18542;mso-wrap-style:square;position:absolute;top:69977;visibility:visible;v-text-anchor:middle" arcsize="3783f" fillcolor="#92d050" strokecolor="#472cbb" strokeweight="1pt">
                        <v:stroke joinstyle="miter"/>
                        <v:textbox inset="0,0,0,0">
                          <w:txbxContent>
                            <w:p w:rsidR="00B55C40" w:rsidRPr="004C7E5C" w:rsidP="006A6349" w14:paraId="159FD84A"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Zināšanu pārnese un informācijas pasākumi</w:t>
                              </w:r>
                            </w:p>
                            <w:p w:rsidR="00B55C40" w:rsidRPr="004C7E5C" w:rsidP="006A6349" w14:paraId="30394B47"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(ZM, ELFLA</w:t>
                              </w:r>
                              <w:r w:rsidRPr="004C7E5C">
                                <w:rPr>
                                  <w:rFonts w:ascii="Candara" w:eastAsia="Calibri" w:hAnsi="Candara" w:cs="Arial"/>
                                  <w:b/>
                                  <w:bCs/>
                                  <w:color w:val="000000" w:themeColor="text1"/>
                                  <w:kern w:val="24"/>
                                  <w:sz w:val="20"/>
                                  <w:szCs w:val="20"/>
                                </w:rPr>
                                <w:t>)  2015 II</w:t>
                              </w:r>
                            </w:p>
                          </w:txbxContent>
                        </v:textbox>
                      </v:roundrect>
                      <v:roundrect id="_x0000_s1201" style="width:10800;height:5905;left:30099;mso-wrap-style:square;position:absolute;top:69977;visibility:visible;v-text-anchor:middle" arcsize="3783f" fillcolor="#92d050" strokecolor="#472cbb" strokeweight="1pt">
                        <v:stroke joinstyle="miter"/>
                        <v:textbox inset="0,0,0,0">
                          <w:txbxContent>
                            <w:p w:rsidR="00B55C40" w:rsidRPr="004C7E5C" w:rsidP="006A6349" w14:paraId="0A26CC1A"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Bezdarbnieku apmācības</w:t>
                              </w:r>
                            </w:p>
                            <w:p w:rsidR="00B55C40" w:rsidRPr="004C7E5C" w:rsidP="006A6349" w14:paraId="0D70AF88"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L</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w:t>
                              </w:r>
                              <w:r w:rsidRPr="004C7E5C">
                                <w:rPr>
                                  <w:rFonts w:ascii="Candara" w:eastAsia="Calibri" w:hAnsi="Candara" w:cs="Arial"/>
                                  <w:b/>
                                  <w:bCs/>
                                  <w:color w:val="000000" w:themeColor="text1"/>
                                  <w:kern w:val="24"/>
                                  <w:sz w:val="20"/>
                                  <w:szCs w:val="20"/>
                                </w:rPr>
                                <w:t xml:space="preserve">  2015 </w:t>
                              </w:r>
                              <w:r>
                                <w:rPr>
                                  <w:rFonts w:ascii="Candara" w:eastAsia="Calibri" w:hAnsi="Candara" w:cs="Arial"/>
                                  <w:b/>
                                  <w:bCs/>
                                  <w:color w:val="000000" w:themeColor="text1"/>
                                  <w:kern w:val="24"/>
                                  <w:sz w:val="20"/>
                                  <w:szCs w:val="20"/>
                                </w:rPr>
                                <w:t>I</w:t>
                              </w:r>
                              <w:r w:rsidRPr="004C7E5C">
                                <w:rPr>
                                  <w:rFonts w:ascii="Candara" w:eastAsia="Calibri" w:hAnsi="Candara" w:cs="Arial"/>
                                  <w:b/>
                                  <w:bCs/>
                                  <w:color w:val="000000" w:themeColor="text1"/>
                                  <w:kern w:val="24"/>
                                  <w:sz w:val="20"/>
                                  <w:szCs w:val="20"/>
                                </w:rPr>
                                <w:t>II</w:t>
                              </w:r>
                            </w:p>
                          </w:txbxContent>
                        </v:textbox>
                      </v:roundrect>
                      <v:group id="Group 370" o:spid="_x0000_s1202" style="width:52645;height:85438;left:-258;position:absolute;top:-666" coordorigin="-258,-666" coordsize="52646,85439">
                        <v:roundrect id="_x0000_s1203" style="width:10800;height:7332;left:18415;mso-wrap-style:square;position:absolute;top:56324;visibility:visible;v-text-anchor:middle" arcsize="3783f" fillcolor="#92d050" strokecolor="#472cbb" strokeweight="1pt">
                          <v:stroke joinstyle="miter"/>
                          <v:textbox inset="0,0,0,0">
                            <w:txbxContent>
                              <w:p w:rsidR="00B55C40" w:rsidRPr="004C7E5C" w:rsidP="006A6349" w14:paraId="2D2B0E0B"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Darba tirgus apsteidzošo pārkārtojumu sistēma</w:t>
                                </w:r>
                              </w:p>
                              <w:p w:rsidR="00B55C40" w:rsidRPr="004C7E5C" w:rsidP="006A6349" w14:paraId="67C6959C"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L</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II</w:t>
                                </w:r>
                              </w:p>
                            </w:txbxContent>
                          </v:textbox>
                        </v:roundrect>
                        <v:roundrect id="_x0000_s1204" style="width:11049;height:6001;left:30035;mso-wrap-style:square;position:absolute;top:56705;visibility:visible;v-text-anchor:middle" arcsize="3783f" fillcolor="#92d050" strokecolor="#472cbb" strokeweight="1pt">
                          <v:stroke joinstyle="miter"/>
                          <v:textbox inset="0,0,0,0">
                            <w:txbxContent>
                              <w:p w:rsidR="00B55C40" w:rsidRPr="004C7E5C" w:rsidP="006A6349" w14:paraId="1B35F23A"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Nodarbināto apmācības</w:t>
                                </w:r>
                              </w:p>
                              <w:p w:rsidR="00B55C40" w:rsidRPr="004C7E5C" w:rsidP="006A6349" w14:paraId="7F9A682B"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II</w:t>
                                </w:r>
                              </w:p>
                            </w:txbxContent>
                          </v:textbox>
                        </v:roundrect>
                        <v:roundrect id="_x0000_s1205" style="width:9810;height:6001;left:42037;mso-wrap-style:square;position:absolute;top:56705;visibility:visible;v-text-anchor:middle" arcsize="3783f" fillcolor="#92d050" strokecolor="#472cbb" strokeweight="1pt">
                          <v:stroke joinstyle="miter"/>
                          <v:textbox inset="0,0,0,0">
                            <w:txbxContent>
                              <w:p w:rsidR="00B55C40" w:rsidRPr="004C7E5C" w:rsidP="006A6349" w14:paraId="1A7F0B68"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Ārējo tirgu apgūšana</w:t>
                                </w:r>
                              </w:p>
                              <w:p w:rsidR="00B55C40" w:rsidRPr="004C7E5C" w:rsidP="006A6349" w14:paraId="16E549AF"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II</w:t>
                                </w:r>
                                <w:r>
                                  <w:rPr>
                                    <w:rFonts w:ascii="Candara" w:eastAsia="Calibri" w:hAnsi="Candara" w:cs="Arial"/>
                                    <w:b/>
                                    <w:bCs/>
                                    <w:color w:val="000000" w:themeColor="text1"/>
                                    <w:kern w:val="24"/>
                                    <w:sz w:val="20"/>
                                    <w:szCs w:val="20"/>
                                  </w:rPr>
                                  <w:t>-III</w:t>
                                </w:r>
                              </w:p>
                            </w:txbxContent>
                          </v:textbox>
                        </v:roundrect>
                        <v:group id="Group 369" o:spid="_x0000_s1206" style="width:52645;height:85438;left:-258;position:absolute;top:-666" coordorigin="-258,-666" coordsize="52646,85439">
                          <v:roundrect id="_x0000_s1207" style="width:10224;height:6381;left:41084;mso-wrap-style:square;position:absolute;top:49403;visibility:visible;v-text-anchor:middle" arcsize="3783f" fillcolor="#92d050" strokecolor="#472cbb" strokeweight="1pt">
                            <v:stroke joinstyle="miter"/>
                            <v:textbox inset="0,0,0,0">
                              <w:txbxContent>
                                <w:p w:rsidR="00B55C40" w:rsidRPr="004C7E5C" w:rsidP="006A6349" w14:paraId="78AADE9D"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Finanšu pieejamības sekmēšana</w:t>
                                  </w:r>
                                </w:p>
                                <w:p w:rsidR="00B55C40" w:rsidRPr="004C7E5C" w:rsidP="006A6349" w14:paraId="4E2B28BE"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III</w:t>
                                  </w:r>
                                </w:p>
                              </w:txbxContent>
                            </v:textbox>
                          </v:roundrect>
                          <v:group id="Group 368" o:spid="_x0000_s1208" style="width:52645;height:85438;left:-258;position:absolute;top:-666" coordorigin="-258,-666" coordsize="52646,85439">
                            <v:roundrect id="_x0000_s1209" style="width:10795;height:4476;left:18478;mso-wrap-style:square;position:absolute;top:49403;visibility:visible;v-text-anchor:middle" arcsize="3783f" fillcolor="#92d050" strokecolor="#472cbb" strokeweight="1pt">
                              <v:stroke joinstyle="miter"/>
                              <v:textbox inset="0,0,0,0">
                                <w:txbxContent>
                                  <w:p w:rsidR="00B55C40" w:rsidRPr="004C7E5C" w:rsidP="006A6349" w14:paraId="2F262933"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KC</w:t>
                                    </w:r>
                                  </w:p>
                                  <w:p w:rsidR="00B55C40" w:rsidRPr="004C7E5C" w:rsidP="006A6349" w14:paraId="66076384"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III</w:t>
                                    </w:r>
                                  </w:p>
                                </w:txbxContent>
                              </v:textbox>
                            </v:roundrect>
                            <v:roundrect id="_x0000_s1210" style="width:10287;height:5048;left:30099;mso-wrap-style:square;position:absolute;top:49403;visibility:visible;v-text-anchor:middle" arcsize="3783f" fillcolor="#92d050" strokecolor="#472cbb" strokeweight="1pt">
                              <v:stroke joinstyle="miter"/>
                              <v:textbox inset="0,0,0,0">
                                <w:txbxContent>
                                  <w:p w:rsidR="00B55C40" w:rsidRPr="004C7E5C" w:rsidP="006A6349" w14:paraId="3BACCB76"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Biznesa inkubatori</w:t>
                                    </w:r>
                                  </w:p>
                                  <w:p w:rsidR="00B55C40" w:rsidRPr="004C7E5C" w:rsidP="006A6349" w14:paraId="6F063CD7"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III</w:t>
                                    </w:r>
                                  </w:p>
                                </w:txbxContent>
                              </v:textbox>
                            </v:roundrect>
                            <v:group id="Group 367" o:spid="_x0000_s1211" style="width:52645;height:85438;left:-258;position:absolute;top:-666" coordorigin="-258,-666" coordsize="52646,85439">
                              <v:roundrect id="_x0000_s1212" style="width:10282;height:6502;left:40899;mso-wrap-style:square;position:absolute;top:41275;visibility:visible;v-text-anchor:middle" arcsize="3783f" fillcolor="#92d050" strokecolor="#472cbb" strokeweight="1pt">
                                <v:stroke joinstyle="miter"/>
                                <v:textbox inset="0,0,0,0">
                                  <w:txbxContent>
                                    <w:p w:rsidR="00B55C40" w:rsidRPr="004C7E5C" w:rsidP="006A6349" w14:paraId="37DC80EB"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Nodarbināto prof. kompetenču pilnveide</w:t>
                                      </w:r>
                                    </w:p>
                                    <w:p w:rsidR="00B55C40" w:rsidRPr="004C7E5C" w:rsidP="006A6349" w14:paraId="214A7C9B"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w:t>
                                      </w:r>
                                    </w:p>
                                  </w:txbxContent>
                                </v:textbox>
                              </v:roundrect>
                              <v:group id="Group 366" o:spid="_x0000_s1213" style="width:52645;height:85438;left:-258;position:absolute;top:-666" coordorigin="-258,-666" coordsize="52646,85439">
                                <v:roundrect id="_x0000_s1214" style="width:10192;height:6477;left:29527;mso-wrap-style:square;position:absolute;top:41465;visibility:visible;v-text-anchor:middle" arcsize="3783f" fillcolor="#92d050" strokecolor="#472cbb" strokeweight="1pt">
                                  <v:stroke joinstyle="miter"/>
                                  <v:textbox inset="0,0,0,0">
                                    <w:txbxContent>
                                      <w:p w:rsidR="00B55C40" w:rsidRPr="004C7E5C" w:rsidP="006A6349" w14:paraId="763BAE56"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Inovāciju motivācijas programma</w:t>
                                        </w:r>
                                      </w:p>
                                      <w:p w:rsidR="00B55C40" w:rsidRPr="004C7E5C" w:rsidP="006A6349" w14:paraId="6A9C19E4"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w:t>
                                        </w:r>
                                      </w:p>
                                    </w:txbxContent>
                                  </v:textbox>
                                </v:roundrect>
                                <v:group id="Group 364" o:spid="_x0000_s1215" style="width:52645;height:85438;left:-258;position:absolute;top:-666" coordorigin="-258,-666" coordsize="52646,85439">
                                  <v:roundrect id="_x0000_s1216" style="width:10318;height:6477;left:18415;mso-wrap-style:square;position:absolute;top:41275;visibility:visible;v-text-anchor:middle" arcsize="3783f" fillcolor="#92d050" strokecolor="#472cbb" strokeweight="1pt">
                                    <v:stroke joinstyle="miter"/>
                                    <v:textbox inset="0,0,0,0">
                                      <w:txbxContent>
                                        <w:p w:rsidR="00B55C40" w:rsidRPr="004C7E5C" w:rsidP="006A6349" w14:paraId="14E50C9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Tehnoloģiju pārneses programma</w:t>
                                          </w:r>
                                        </w:p>
                                        <w:p w:rsidR="00B55C40" w:rsidRPr="004C7E5C" w:rsidP="006A6349" w14:paraId="322115F0"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w:t>
                                          </w:r>
                                        </w:p>
                                      </w:txbxContent>
                                    </v:textbox>
                                  </v:roundrect>
                                  <v:group id="Group 363" o:spid="_x0000_s1217" style="width:52645;height:85438;left:-258;position:absolute;top:-666" coordorigin="-258,-666" coordsize="52646,85439">
                                    <v:group id="Group 36" o:spid="_x0000_s1218" style="width:6237;height:85438;left:12446;position:absolute;top:-666" coordorigin="0,-666" coordsize="6237,85439">
                                      <v:shape id="Arrow: Down 34836" o:spid="_x0000_s1219" type="#_x0000_t67" style="width:4782;height:85438;left:1455;mso-wrap-style:square;position:absolute;rotation:180;top:-666;visibility:visible;v-text-anchor:middle" adj="20996" fillcolor="#6d1d6a" strokecolor="#481346" strokeweight="0.5pt"/>
                                      <v:group id="Group 15" o:spid="_x0000_s1220" style="width:1810;height:4766;left:1666;position:absolute;rotation:-90;top:80057" coordsize="180975,476638">
                                        <v:shapetype id="_x0000_t32" coordsize="21600,21600" o:spt="32" o:oned="t" path="m,l21600,21600e" filled="f">
                                          <v:path arrowok="t" fillok="f" o:connecttype="none"/>
                                          <o:lock v:ext="edit" shapetype="t"/>
                                        </v:shapetype>
                                        <v:shape id="Straight Arrow Connector 34842" o:spid="_x0000_s1221" type="#_x0000_t32" style="width:646;height:245282;left:84401;mso-wrap-style:square;position:absolute;visibility:visible" o:connectortype="straight" strokecolor="#00b0f0" strokeweight="0.5pt">
                                          <v:stroke joinstyle="miter" endarrow="block"/>
                                        </v:shape>
                                        <v:oval id="Oval 34843" o:spid="_x0000_s1222" style="width:180975;height:179388;mso-wrap-style:square;position:absolute;top:297250;visibility:visible;v-text-anchor:top" fillcolor="#00b0f0" strokecolor="white" strokeweight="1pt">
                                          <v:stroke joinstyle="miter"/>
                                        </v:oval>
                                      </v:group>
                                      <v:group id="Group 15" o:spid="_x0000_s1223" style="width:1810;height:4762;left:1571;position:absolute;rotation:-90;top:61198" coordsize="180975,476638">
                                        <v:shape id="Straight Arrow Connector 351" o:spid="_x0000_s1224" type="#_x0000_t32" style="width:646;height:245282;left:84401;mso-wrap-style:square;position:absolute;visibility:visible" o:connectortype="straight" strokecolor="#00b0f0" strokeweight="0.5pt">
                                          <v:stroke joinstyle="miter" endarrow="block"/>
                                        </v:shape>
                                        <v:oval id="Oval 34816" o:spid="_x0000_s1225" style="width:180975;height:179388;mso-wrap-style:square;position:absolute;top:297250;visibility:visible;v-text-anchor:top" fillcolor="#00b0f0" strokecolor="white" strokeweight="1pt">
                                          <v:stroke joinstyle="miter"/>
                                        </v:oval>
                                      </v:group>
                                      <v:group id="Group 15" o:spid="_x0000_s1226" style="width:1810;height:4762;left:1476;position:absolute;rotation:-90;top:33480" coordsize="180975,476638">
                                        <v:shape id="Straight Arrow Connector 335" o:spid="_x0000_s1227" type="#_x0000_t32" style="width:646;height:245282;left:84401;mso-wrap-style:square;position:absolute;visibility:visible" o:connectortype="straight" strokecolor="#00b0f0" strokeweight="0.5pt">
                                          <v:stroke joinstyle="miter" endarrow="block"/>
                                        </v:shape>
                                        <v:oval id="Oval 341" o:spid="_x0000_s1228" style="width:180975;height:179388;mso-wrap-style:square;position:absolute;top:297250;visibility:visible;v-text-anchor:top" fillcolor="#00b0f0" strokecolor="white" strokeweight="1pt">
                                          <v:stroke joinstyle="miter"/>
                                        </v:oval>
                                      </v:group>
                                      <v:group id="Group 15" o:spid="_x0000_s1229" style="width:1808;height:4857;left:1525;position:absolute;rotation:-90;top:-1688" coordorigin="64019,3" coordsize="180975,486169">
                                        <v:shape id="Straight Arrow Connector 17412" o:spid="_x0000_s1230" type="#_x0000_t32" style="width:646;height:245281;left:160595;mso-wrap-style:square;position:absolute;top:3;visibility:visible" o:connectortype="straight" strokecolor="#00b0f0" strokeweight="0.5pt">
                                          <v:stroke joinstyle="miter" endarrow="block"/>
                                        </v:shape>
                                        <v:oval id="Oval 17415" o:spid="_x0000_s1231" style="width:180975;height:179388;left:64019;mso-wrap-style:square;position:absolute;top:306784;visibility:visible;v-text-anchor:top" fillcolor="#00b0f0" strokecolor="white" strokeweight="1pt">
                                          <v:stroke joinstyle="miter"/>
                                        </v:oval>
                                      </v:group>
                                    </v:group>
                                    <v:group id="Group 362" o:spid="_x0000_s1232" style="width:52645;height:37926;left:-258;position:absolute;top:1672" coordorigin="-258,-867" coordsize="52646,37926">
                                      <v:group id="Group 361" o:spid="_x0000_s1233" style="width:34417;height:37058;left:17970;position:absolute" coordsize="34417,37058">
                                        <v:roundrect id="_x0000_s1234" style="width:16002;height:5245;left:317;mso-wrap-style:square;position:absolute;top:31750;visibility:visible;v-text-anchor:middle" arcsize="3783f" fillcolor="#92d050" strokecolor="#472cbb" strokeweight="1pt">
                                          <v:stroke joinstyle="miter"/>
                                          <v:textbox inset="0,0,0,0">
                                            <w:txbxContent>
                                              <w:p w:rsidR="00B55C40" w:rsidRPr="004C7E5C" w:rsidP="006A6349" w14:paraId="2ACAE080"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Ražošanas telpu un infrastruktūras izveide</w:t>
                                                </w:r>
                                              </w:p>
                                              <w:p w:rsidR="00B55C40" w:rsidRPr="004C7E5C" w:rsidP="006A6349" w14:paraId="44136677"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w:t>
                                                </w:r>
                                              </w:p>
                                            </w:txbxContent>
                                          </v:textbox>
                                        </v:roundrect>
                                        <v:roundrect id="_x0000_s1235" style="width:15525;height:5245;left:17018;mso-wrap-style:square;position:absolute;top:31813;visibility:visible;v-text-anchor:middle" arcsize="3783f" fillcolor="#92d050" strokecolor="#472cbb" strokeweight="1pt">
                                          <v:stroke joinstyle="miter"/>
                                          <v:textbox inset="0,0,0,0">
                                            <w:txbxContent>
                                              <w:p w:rsidR="00B55C40" w:rsidRPr="004C7E5C" w:rsidP="006A6349" w14:paraId="64225CEA"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Uzņēmējdarbību veicinoša publiskā infrastr. reģionos</w:t>
                                                </w:r>
                                              </w:p>
                                              <w:p w:rsidR="00B55C40" w:rsidRPr="004C7E5C" w:rsidP="006A6349" w14:paraId="1553683C"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VARA</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w:t>
                                                </w:r>
                                              </w:p>
                                            </w:txbxContent>
                                          </v:textbox>
                                        </v:roundrect>
                                        <v:group id="Group 292" o:spid="_x0000_s1236" style="width:34417;height:30432;position:absolute" coordsize="34417,30432">
                                          <v:roundrect id="_x0000_s1237" style="width:14980;height:4079;left:698;mso-wrap-style:square;position:absolute;top:26289;visibility:visible;v-text-anchor:middle" arcsize="3783f" fillcolor="#92d050" strokecolor="#472cbb" strokeweight="1pt">
                                            <v:stroke joinstyle="miter"/>
                                            <v:textbox inset="0,0,0,0">
                                              <w:txbxContent>
                                                <w:p w:rsidR="00B55C40" w:rsidRPr="004C7E5C" w:rsidP="006A6349" w14:paraId="1418E8E4"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Klasteru programma</w:t>
                                                  </w:r>
                                                </w:p>
                                                <w:p w:rsidR="00B55C40" w:rsidRPr="004C7E5C" w:rsidP="006A6349" w14:paraId="1AAB24E2"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w:t>
                                                  </w:r>
                                                </w:p>
                                              </w:txbxContent>
                                            </v:textbox>
                                          </v:roundrect>
                                          <v:roundrect id="_x0000_s1238" style="width:15352;height:4604;left:17081;mso-wrap-style:square;position:absolute;top:25828;visibility:visible;v-text-anchor:middle" arcsize="3783f" fillcolor="#92d050" strokecolor="#472cbb" strokeweight="1pt">
                                            <v:stroke joinstyle="miter"/>
                                            <v:textbox inset="0,0,0,0">
                                              <w:txbxContent>
                                                <w:p w:rsidR="00B55C40" w:rsidRPr="004C7E5C" w:rsidP="006A6349" w14:paraId="0C755A32"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Jaunu produktu ieviešana ražošanā</w:t>
                                                  </w:r>
                                                </w:p>
                                                <w:p w:rsidR="00B55C40" w:rsidRPr="004C7E5C" w:rsidP="006A6349" w14:paraId="0D11F746"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II</w:t>
                                                  </w:r>
                                                </w:p>
                                              </w:txbxContent>
                                            </v:textbox>
                                          </v:roundrect>
                                          <v:group id="Group 209" o:spid="_x0000_s1239" style="width:34417;height:25351;position:absolute" coordsize="34417,25351">
                                            <v:roundrect id="_x0000_s1240" style="width:16735;height:3698;left:381;mso-wrap-style:square;position:absolute;top:21653;visibility:visible;v-text-anchor:middle" arcsize="3783f" fillcolor="#92d050" strokecolor="#472cbb" strokeweight="1pt">
                                              <v:stroke joinstyle="miter"/>
                                              <v:textbox inset="0,0,0,0">
                                                <w:txbxContent>
                                                  <w:p w:rsidR="00B55C40" w:rsidRPr="004C7E5C" w:rsidP="006A6349" w14:paraId="355CBBFF"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PII infrastruktūras attīstība</w:t>
                                                    </w:r>
                                                  </w:p>
                                                  <w:p w:rsidR="00B55C40" w:rsidRPr="004C7E5C" w:rsidP="006A6349" w14:paraId="41A4E2EE"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6</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IV – 2017 IV</w:t>
                                                    </w:r>
                                                  </w:p>
                                                </w:txbxContent>
                                              </v:textbox>
                                            </v:roundrect>
                                            <v:group id="Group 200" o:spid="_x0000_s1241" style="width:34417;height:20624;position:absolute" coordsize="34417,20624">
                                              <v:roundrect id="_x0000_s1242" style="width:14548;height:4305;left:317;mso-wrap-style:square;position:absolute;top:16319;visibility:visible;v-text-anchor:middle" arcsize="3783f" fillcolor="#92d050" strokecolor="#472cbb" strokeweight="1pt">
                                                <v:stroke joinstyle="miter"/>
                                                <v:textbox inset="0,0,0,0">
                                                  <w:txbxContent>
                                                    <w:p w:rsidR="00B55C40" w:rsidRPr="004C7E5C" w:rsidP="006A6349" w14:paraId="10389D53"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Praktiskas ievirzes pētījumi</w:t>
                                                      </w:r>
                                                    </w:p>
                                                    <w:p w:rsidR="00B55C40" w:rsidRPr="004C7E5C" w:rsidP="006A6349" w14:paraId="66F82BBA"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w:t>
                                                      </w:r>
                                                    </w:p>
                                                  </w:txbxContent>
                                                </v:textbox>
                                              </v:roundrect>
                                              <v:roundrect id="_x0000_s1243" style="width:16558;height:4320;left:15875;mso-wrap-style:square;position:absolute;top:16256;visibility:visible;v-text-anchor:middle" arcsize="3783f" fillcolor="#92d050" strokecolor="#472cbb" strokeweight="1pt">
                                                <v:stroke joinstyle="miter"/>
                                                <v:textbox inset="0,0,0,0">
                                                  <w:txbxContent>
                                                    <w:p w:rsidR="00B55C40" w:rsidRPr="004C7E5C" w:rsidP="006A6349" w14:paraId="2D747D99"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 xml:space="preserve">DVB, mācību prakse prof. izglītībā </w:t>
                                                      </w: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w:t>
                                                      </w:r>
                                                    </w:p>
                                                  </w:txbxContent>
                                                </v:textbox>
                                              </v:roundrect>
                                              <v:group id="Group 196" o:spid="_x0000_s1244" style="width:34417;height:15623;position:absolute" coordsize="34417,15623">
                                                <v:roundrect id="_x0000_s1245" style="width:16558;height:4320;left:16002;mso-wrap-style:square;position:absolute;top:11303;visibility:visible;v-text-anchor:middle" arcsize="3783f" fillcolor="#92d050" strokecolor="#472cbb" strokeweight="1pt">
                                                  <v:stroke joinstyle="miter"/>
                                                  <v:textbox inset="0,0,0,0">
                                                    <w:txbxContent>
                                                      <w:p w:rsidR="00B55C40" w:rsidRPr="004C7E5C" w:rsidP="006A6349" w14:paraId="37FB6CB6"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 xml:space="preserve">Koledžu STEM infrastruktūra </w:t>
                                                        </w: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 III</w:t>
                                                        </w:r>
                                                      </w:p>
                                                    </w:txbxContent>
                                                  </v:textbox>
                                                </v:roundrect>
                                                <v:group id="Group 2048" o:spid="_x0000_s1246" style="width:34417;height:15608;position:absolute" coordsize="34417,15608">
                                                  <v:roundrect id="_x0000_s1247" style="width:15354;height:4305;mso-wrap-style:square;position:absolute;top:11303;visibility:visible;v-text-anchor:middle" arcsize="3783f" fillcolor="#92d050" strokecolor="#472cbb" strokeweight="1pt">
                                                    <v:stroke joinstyle="miter"/>
                                                    <v:textbox inset="0,0,0,0">
                                                      <w:txbxContent>
                                                        <w:p w:rsidR="00B55C40" w:rsidRPr="004C7E5C" w:rsidP="006A6349" w14:paraId="14FE321E"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AII STEM infrastruktūra</w:t>
                                                          </w:r>
                                                        </w:p>
                                                        <w:p w:rsidR="00B55C40" w:rsidRPr="004C7E5C" w:rsidP="006A6349" w14:paraId="76D56A88" w14:textId="6070FC5C">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III</w:t>
                                                          </w:r>
                                                        </w:p>
                                                      </w:txbxContent>
                                                    </v:textbox>
                                                  </v:roundrect>
                                                  <v:group id="Group 89" o:spid="_x0000_s1248" style="width:34100;height:10337;left:317;position:absolute" coordorigin="317,0" coordsize="34099,10337">
                                                    <v:roundrect id="_x0000_s1249" style="width:14548;height:4305;left:317;mso-wrap-style:square;position:absolute;top:6032;visibility:visible;v-text-anchor:middle" arcsize="3783f" fillcolor="#f1cbf0" strokecolor="#472cbb" strokeweight="1pt">
                                                      <v:stroke joinstyle="miter"/>
                                                      <v:textbox inset="0,0,0,0">
                                                        <w:txbxContent>
                                                          <w:p w:rsidR="00B55C40" w:rsidRPr="004C7E5C" w:rsidP="00A165DF" w14:paraId="5E2921A8" w14:textId="77777777">
                                                            <w:pPr>
                                                              <w:pStyle w:val="NormalWeb"/>
                                                              <w:shd w:val="clear" w:color="auto" w:fill="DDE5F7" w:themeFill="accent6" w:themeFillTint="33"/>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St. sadarbība P&amp;A</w:t>
                                                            </w:r>
                                                          </w:p>
                                                          <w:p w:rsidR="00B55C40" w:rsidRPr="004C7E5C" w:rsidP="006A6349" w14:paraId="6AFD1FBE" w14:textId="24B888A1">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vērtēšana </w:t>
                                                            </w:r>
                                                          </w:p>
                                                        </w:txbxContent>
                                                      </v:textbox>
                                                    </v:roundrect>
                                                    <v:roundrect id="_x0000_s1250" style="width:16643;height:4305;left:15557;mso-wrap-style:square;position:absolute;top:6032;visibility:visible;v-text-anchor:middle" arcsize="3783f" fillcolor="#d9ecfb" strokecolor="#0d548a" strokeweight="1pt">
                                                      <v:stroke joinstyle="miter"/>
                                                      <v:textbox inset="0,0,0,0">
                                                        <w:txbxContent>
                                                          <w:p w:rsidR="00B55C40" w:rsidRPr="004C7E5C" w:rsidP="006A6349" w14:paraId="1F0B1971"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Inovācijas granti studentiem</w:t>
                                                            </w:r>
                                                          </w:p>
                                                          <w:p w:rsidR="00B55C40" w:rsidRPr="004C7E5C" w:rsidP="006A6349" w14:paraId="07DBD221" w14:textId="0214EBB0">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MKN 2018 I</w:t>
                                                            </w:r>
                                                          </w:p>
                                                        </w:txbxContent>
                                                      </v:textbox>
                                                    </v:roundrect>
                                                    <v:roundrect id="_x0000_s1251" style="width:34100;height:5429;left:317;mso-wrap-style:square;position:absolute;visibility:visible;v-text-anchor:middle" arcsize="3783f" fillcolor="#d9ecfb" strokecolor="#0d548a" strokeweight="1pt">
                                                      <v:stroke joinstyle="miter"/>
                                                      <v:textbox inset="0,0,0,0">
                                                        <w:txbxContent>
                                                          <w:p w:rsidR="00B55C40" w:rsidRPr="004C7E5C" w:rsidP="006A6349" w14:paraId="3434280E"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AII studiju programmu fragmentācijas mazināšana, akad. personāla kapacitātes stiprināšana, AII pārvaldības uzlabošana</w:t>
                                                            </w:r>
                                                          </w:p>
                                                          <w:p w:rsidR="00B55C40" w:rsidRPr="004C7E5C" w:rsidP="006A6349" w14:paraId="4FF18138" w14:textId="7AFB21F9">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IZM)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MKN 2018 I</w:t>
                                                            </w:r>
                                                          </w:p>
                                                        </w:txbxContent>
                                                      </v:textbox>
                                                    </v:roundrect>
                                                  </v:group>
                                                </v:group>
                                              </v:group>
                                            </v:group>
                                          </v:group>
                                        </v:group>
                                      </v:group>
                                      <v:group id="Group 64" o:spid="_x0000_s1252" style="width:14151;height:25854;left:-258;position:absolute;top:-867" coordorigin="-258,-1820" coordsize="14152,25855">
                                        <v:roundrect id="_x0000_s1253" style="width:13969;height:3695;left:-76;mso-wrap-style:square;position:absolute;top:20339;visibility:visible;v-text-anchor:middle" arcsize="3783f" fillcolor="#92d050" strokecolor="#472cbb" strokeweight="1pt">
                                          <v:stroke joinstyle="miter"/>
                                          <v:textbox inset="0,0,0,0">
                                            <w:txbxContent>
                                              <w:p w:rsidR="00B55C40" w:rsidRPr="004C7E5C" w:rsidP="006A6349" w14:paraId="691CC8C5"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P&amp;A infrastruktūra</w:t>
                                                </w:r>
                                              </w:p>
                                              <w:p w:rsidR="00B55C40" w:rsidRPr="004C7E5C" w:rsidP="006A6349" w14:paraId="104F1B57"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IZ</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vērt. </w:t>
                                                </w:r>
                                                <w:r w:rsidRPr="004C7E5C">
                                                  <w:rPr>
                                                    <w:rFonts w:ascii="Candara" w:eastAsia="Calibri" w:hAnsi="Candara" w:cs="Arial"/>
                                                    <w:b/>
                                                    <w:bCs/>
                                                    <w:color w:val="000000" w:themeColor="text1"/>
                                                    <w:kern w:val="24"/>
                                                    <w:sz w:val="20"/>
                                                    <w:szCs w:val="20"/>
                                                  </w:rPr>
                                                  <w:t>201</w:t>
                                                </w:r>
                                                <w:r>
                                                  <w:rPr>
                                                    <w:rFonts w:ascii="Candara" w:eastAsia="Calibri" w:hAnsi="Candara" w:cs="Arial"/>
                                                    <w:b/>
                                                    <w:bCs/>
                                                    <w:color w:val="000000" w:themeColor="text1"/>
                                                    <w:kern w:val="24"/>
                                                    <w:sz w:val="20"/>
                                                    <w:szCs w:val="20"/>
                                                  </w:rPr>
                                                  <w:t>7 III</w:t>
                                                </w:r>
                                              </w:p>
                                            </w:txbxContent>
                                          </v:textbox>
                                        </v:roundrect>
                                        <v:roundrect id="_x0000_s1254" style="width:13959;height:4177;left:-258;mso-wrap-style:square;position:absolute;top:-1820;visibility:visible;v-text-anchor:middle" arcsize="3783f" fillcolor="#dde5f7" strokecolor="#472cbb" strokeweight="1pt">
                                          <v:stroke joinstyle="miter"/>
                                          <v:textbox inset="0,0,0,0">
                                            <w:txbxContent>
                                              <w:p w:rsidR="00B55C40" w:rsidRPr="004C7E5C" w:rsidP="006A6349" w14:paraId="201B2C73"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Straujas izaugsmes komersanti</w:t>
                                                </w:r>
                                              </w:p>
                                              <w:p w:rsidR="00B55C40" w:rsidRPr="004C7E5C" w:rsidP="006A6349" w14:paraId="4D84F691"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E</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201</w:t>
                                                </w:r>
                                                <w:r>
                                                  <w:rPr>
                                                    <w:rFonts w:ascii="Candara" w:eastAsia="Calibri" w:hAnsi="Candara" w:cs="Arial"/>
                                                    <w:b/>
                                                    <w:bCs/>
                                                    <w:color w:val="000000" w:themeColor="text1"/>
                                                    <w:kern w:val="24"/>
                                                    <w:sz w:val="20"/>
                                                    <w:szCs w:val="20"/>
                                                  </w:rPr>
                                                  <w:t>7 IV</w:t>
                                                </w:r>
                                              </w:p>
                                            </w:txbxContent>
                                          </v:textbox>
                                        </v:roundrect>
                                      </v:group>
                                    </v:group>
                                  </v:group>
                                </v:group>
                              </v:group>
                            </v:group>
                          </v:group>
                        </v:group>
                      </v:group>
                      <v:roundrect id="_x0000_s1255" style="width:18491;height:4286;left:19050;mso-wrap-style:square;position:absolute;top:81470;visibility:visible;v-text-anchor:middle" arcsize="5613f" fillcolor="#92d050" strokecolor="#7c7c7c" strokeweight="1pt">
                        <v:stroke joinstyle="miter"/>
                        <v:textbox inset="0,0,0,0">
                          <w:txbxContent>
                            <w:p w:rsidR="00B55C40" w:rsidRPr="001349D5" w:rsidP="009A650D" w14:paraId="2AE7B56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Cs/>
                                  <w:kern w:val="24"/>
                                  <w:sz w:val="18"/>
                                  <w:szCs w:val="18"/>
                                </w:rPr>
                              </w:pPr>
                              <w:r w:rsidRPr="001349D5">
                                <w:rPr>
                                  <w:rFonts w:ascii="Candara" w:eastAsia="Calibri" w:hAnsi="Candara" w:cs="Arial"/>
                                  <w:bCs/>
                                  <w:kern w:val="24"/>
                                  <w:sz w:val="18"/>
                                  <w:szCs w:val="18"/>
                                </w:rPr>
                                <w:t xml:space="preserve">Norvēģu </w:t>
                              </w:r>
                              <w:r>
                                <w:rPr>
                                  <w:rFonts w:ascii="Candara" w:eastAsia="Calibri" w:hAnsi="Candara" w:cs="Arial"/>
                                  <w:bCs/>
                                  <w:kern w:val="24"/>
                                  <w:sz w:val="18"/>
                                  <w:szCs w:val="18"/>
                                </w:rPr>
                                <w:t>FI</w:t>
                              </w:r>
                              <w:r w:rsidRPr="001349D5">
                                <w:rPr>
                                  <w:rFonts w:ascii="Candara" w:eastAsia="Calibri" w:hAnsi="Candara" w:cs="Arial"/>
                                  <w:bCs/>
                                  <w:kern w:val="24"/>
                                  <w:sz w:val="18"/>
                                  <w:szCs w:val="18"/>
                                </w:rPr>
                                <w:t xml:space="preserve"> </w:t>
                              </w:r>
                              <w:r>
                                <w:rPr>
                                  <w:rFonts w:ascii="Candara" w:eastAsia="Calibri" w:hAnsi="Candara" w:cs="Arial"/>
                                  <w:bCs/>
                                  <w:kern w:val="24"/>
                                  <w:sz w:val="18"/>
                                  <w:szCs w:val="18"/>
                                </w:rPr>
                                <w:t>programma</w:t>
                              </w:r>
                              <w:r w:rsidRPr="009A650D">
                                <w:rPr>
                                  <w:rFonts w:ascii="Candara" w:eastAsia="Calibri" w:hAnsi="Candara" w:cs="Arial"/>
                                  <w:bCs/>
                                  <w:kern w:val="24"/>
                                  <w:sz w:val="18"/>
                                  <w:szCs w:val="18"/>
                                </w:rPr>
                                <w:t xml:space="preserve"> “Inovācijas “zaļās ražošanas” jomā”</w:t>
                              </w:r>
                              <w:r w:rsidRPr="001349D5">
                                <w:rPr>
                                  <w:rFonts w:ascii="Candara" w:eastAsia="Calibri" w:hAnsi="Candara" w:cs="Arial"/>
                                  <w:bCs/>
                                  <w:kern w:val="24"/>
                                  <w:sz w:val="18"/>
                                  <w:szCs w:val="18"/>
                                </w:rPr>
                                <w:t xml:space="preserve"> praktiska uzsākšana</w:t>
                              </w:r>
                              <w:r>
                                <w:rPr>
                                  <w:rFonts w:ascii="Candara" w:eastAsia="Calibri" w:hAnsi="Candara" w:cs="Arial"/>
                                  <w:bCs/>
                                  <w:kern w:val="24"/>
                                  <w:sz w:val="18"/>
                                  <w:szCs w:val="18"/>
                                </w:rPr>
                                <w:t xml:space="preserve"> (EM)</w:t>
                              </w:r>
                              <w:r w:rsidRPr="001349D5">
                                <w:rPr>
                                  <w:rFonts w:ascii="Candara" w:eastAsia="Calibri" w:hAnsi="Candara" w:cs="Arial"/>
                                  <w:bCs/>
                                  <w:kern w:val="24"/>
                                  <w:sz w:val="18"/>
                                  <w:szCs w:val="18"/>
                                </w:rPr>
                                <w:t xml:space="preserve"> </w:t>
                              </w:r>
                              <w:r w:rsidRPr="009A650D">
                                <w:rPr>
                                  <w:rFonts w:ascii="Candara" w:eastAsia="Calibri" w:hAnsi="Candara" w:cs="Arial"/>
                                  <w:b/>
                                  <w:bCs/>
                                  <w:kern w:val="24"/>
                                  <w:sz w:val="18"/>
                                  <w:szCs w:val="18"/>
                                </w:rPr>
                                <w:t>2014 I</w:t>
                              </w:r>
                            </w:p>
                            <w:p w:rsidR="00B55C40" w:rsidRPr="00945CA1" w:rsidP="009A650D" w14:paraId="1626EA7E" w14:textId="77777777">
                              <w:pPr>
                                <w:pStyle w:val="NormalWeb"/>
                                <w:kinsoku w:val="0"/>
                                <w:overflowPunct w:val="0"/>
                                <w:spacing w:before="0" w:beforeAutospacing="0" w:after="0" w:afterAutospacing="0" w:line="216" w:lineRule="auto"/>
                                <w:textAlignment w:val="baseline"/>
                                <w:rPr>
                                  <w:sz w:val="20"/>
                                  <w:szCs w:val="20"/>
                                </w:rPr>
                              </w:pPr>
                            </w:p>
                            <w:p w:rsidR="00B55C40" w:rsidRPr="000407A3" w:rsidP="009A650D" w14:paraId="6DFE99FB"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p>
                          </w:txbxContent>
                        </v:textbox>
                      </v:roundrect>
                    </v:group>
                  </v:group>
                </v:group>
              </v:group>
            </w:pict>
          </mc:Fallback>
        </mc:AlternateContent>
      </w:r>
    </w:p>
    <w:p w:rsidR="006A6349" w:rsidP="00AF169F" w14:paraId="50C7DE0D" w14:textId="77777777">
      <w:pPr>
        <w:spacing w:after="0"/>
        <w:ind w:left="1843"/>
        <w:rPr>
          <w:rFonts w:ascii="Arial Narrow" w:eastAsia="Times New Roman" w:hAnsi="Arial Narrow" w:cs="Times New Roman"/>
          <w:spacing w:val="-6"/>
          <w:lang w:bidi="lo-LA"/>
        </w:rPr>
      </w:pPr>
      <w:r>
        <w:rPr>
          <w:rFonts w:ascii="Arial Narrow" w:eastAsia="Times New Roman" w:hAnsi="Arial Narrow" w:cs="Times New Roman"/>
          <w:spacing w:val="-6"/>
          <w:lang w:bidi="lo-LA"/>
        </w:rPr>
        <w:t>2018</w:t>
      </w:r>
    </w:p>
    <w:p w:rsidR="006A6349" w:rsidP="006A6349" w14:paraId="1E9E82F9" w14:textId="77777777">
      <w:pPr>
        <w:spacing w:after="0"/>
        <w:ind w:left="567"/>
        <w:rPr>
          <w:rFonts w:ascii="Arial Narrow" w:eastAsia="Times New Roman" w:hAnsi="Arial Narrow" w:cs="Times New Roman"/>
          <w:spacing w:val="-6"/>
          <w:lang w:bidi="lo-LA"/>
        </w:rPr>
      </w:pPr>
    </w:p>
    <w:p w:rsidR="006A6349" w:rsidP="006A6349" w14:paraId="421353AA" w14:textId="77777777">
      <w:pPr>
        <w:spacing w:after="0"/>
        <w:ind w:left="567"/>
        <w:rPr>
          <w:rFonts w:ascii="Arial Narrow" w:eastAsia="Times New Roman" w:hAnsi="Arial Narrow" w:cs="Times New Roman"/>
          <w:spacing w:val="-6"/>
          <w:lang w:bidi="lo-LA"/>
        </w:rPr>
      </w:pPr>
    </w:p>
    <w:p w:rsidR="006A6349" w:rsidP="006A6349" w14:paraId="7A7D65FD" w14:textId="77777777">
      <w:pPr>
        <w:spacing w:after="0"/>
        <w:ind w:left="567"/>
        <w:rPr>
          <w:rFonts w:ascii="Arial Narrow" w:eastAsia="Times New Roman" w:hAnsi="Arial Narrow" w:cs="Times New Roman"/>
          <w:spacing w:val="-6"/>
          <w:lang w:bidi="lo-LA"/>
        </w:rPr>
      </w:pPr>
      <w:r>
        <w:rPr>
          <w:noProof/>
          <w:lang w:eastAsia="lv-LV"/>
        </w:rPr>
        <mc:AlternateContent>
          <mc:Choice Requires="wps">
            <w:drawing>
              <wp:anchor distT="0" distB="0" distL="114300" distR="114300" simplePos="0" relativeHeight="251871232" behindDoc="0" locked="0" layoutInCell="1" allowOverlap="1">
                <wp:simplePos x="0" y="0"/>
                <wp:positionH relativeFrom="column">
                  <wp:posOffset>194310</wp:posOffset>
                </wp:positionH>
                <wp:positionV relativeFrom="paragraph">
                  <wp:posOffset>141605</wp:posOffset>
                </wp:positionV>
                <wp:extent cx="1395871" cy="337185"/>
                <wp:effectExtent l="0" t="0" r="13970" b="24765"/>
                <wp:wrapNone/>
                <wp:docPr id="387" name="Rounded 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395871" cy="337185"/>
                        </a:xfrm>
                        <a:prstGeom prst="roundRect">
                          <a:avLst>
                            <a:gd name="adj" fmla="val 5773"/>
                          </a:avLst>
                        </a:prstGeom>
                        <a:solidFill>
                          <a:schemeClr val="accent6">
                            <a:lumMod val="20000"/>
                            <a:lumOff val="80000"/>
                          </a:schemeClr>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AF169F"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Energoefektivitāte</w:t>
                            </w:r>
                          </w:p>
                          <w:p w:rsidR="00B55C40" w:rsidRPr="004C7E5C" w:rsidP="00AF169F"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VARA</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2</w:t>
                            </w:r>
                            <w:r w:rsidRPr="004C7E5C">
                              <w:rPr>
                                <w:rFonts w:ascii="Candara" w:eastAsia="Calibri" w:hAnsi="Candara" w:cs="Arial"/>
                                <w:b/>
                                <w:bCs/>
                                <w:color w:val="000000" w:themeColor="text1"/>
                                <w:kern w:val="24"/>
                                <w:sz w:val="20"/>
                                <w:szCs w:val="20"/>
                              </w:rPr>
                              <w:t>01</w:t>
                            </w:r>
                            <w:r>
                              <w:rPr>
                                <w:rFonts w:ascii="Candara" w:eastAsia="Calibri" w:hAnsi="Candara" w:cs="Arial"/>
                                <w:b/>
                                <w:bCs/>
                                <w:color w:val="000000" w:themeColor="text1"/>
                                <w:kern w:val="24"/>
                                <w:sz w:val="20"/>
                                <w:szCs w:val="20"/>
                              </w:rPr>
                              <w:t xml:space="preserve">7 IV </w:t>
                            </w:r>
                          </w:p>
                        </w:txbxContent>
                      </wps:txbx>
                      <wps:bodyPr wrap="square" lIns="0" tIns="0" rIns="0" bIns="0" anchor="ctr"/>
                    </wps:wsp>
                  </a:graphicData>
                </a:graphic>
                <wp14:sizeRelH relativeFrom="margin">
                  <wp14:pctWidth>0</wp14:pctWidth>
                </wp14:sizeRelH>
                <wp14:sizeRelV relativeFrom="margin">
                  <wp14:pctHeight>0</wp14:pctHeight>
                </wp14:sizeRelV>
              </wp:anchor>
            </w:drawing>
          </mc:Choice>
          <mc:Fallback>
            <w:pict>
              <v:roundrect id="Rounded Rectangle 28" o:spid="_x0000_s1256" style="width:109.9pt;height:26.55pt;margin-top:11.15pt;margin-left:15.3pt;mso-height-percent:0;mso-height-relative:margin;mso-width-percent:0;mso-width-relative:margin;mso-wrap-distance-bottom:0;mso-wrap-distance-left:9pt;mso-wrap-distance-right:9pt;mso-wrap-distance-top:0;mso-wrap-style:square;position:absolute;visibility:visible;v-text-anchor:middle;z-index:251872256" arcsize="3783f" fillcolor="#dde5f7" strokecolor="#472cbb" strokeweight="1pt">
                <v:stroke joinstyle="miter"/>
                <v:textbox inset="0,0,0,0">
                  <w:txbxContent>
                    <w:p w:rsidR="00B55C40" w:rsidRPr="004C7E5C" w:rsidP="00AF169F" w14:paraId="7A2DA73E"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Energoefektivitāte</w:t>
                      </w:r>
                    </w:p>
                    <w:p w:rsidR="00B55C40" w:rsidRPr="004C7E5C" w:rsidP="00AF169F" w14:paraId="4475EF0F" w14:textId="77777777">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VARA</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2</w:t>
                      </w:r>
                      <w:r w:rsidRPr="004C7E5C">
                        <w:rPr>
                          <w:rFonts w:ascii="Candara" w:eastAsia="Calibri" w:hAnsi="Candara" w:cs="Arial"/>
                          <w:b/>
                          <w:bCs/>
                          <w:color w:val="000000" w:themeColor="text1"/>
                          <w:kern w:val="24"/>
                          <w:sz w:val="20"/>
                          <w:szCs w:val="20"/>
                        </w:rPr>
                        <w:t>01</w:t>
                      </w:r>
                      <w:r>
                        <w:rPr>
                          <w:rFonts w:ascii="Candara" w:eastAsia="Calibri" w:hAnsi="Candara" w:cs="Arial"/>
                          <w:b/>
                          <w:bCs/>
                          <w:color w:val="000000" w:themeColor="text1"/>
                          <w:kern w:val="24"/>
                          <w:sz w:val="20"/>
                          <w:szCs w:val="20"/>
                        </w:rPr>
                        <w:t xml:space="preserve">7 IV </w:t>
                      </w:r>
                    </w:p>
                  </w:txbxContent>
                </v:textbox>
              </v:roundrect>
            </w:pict>
          </mc:Fallback>
        </mc:AlternateContent>
      </w:r>
    </w:p>
    <w:p w:rsidR="006A6349" w:rsidP="006A6349" w14:paraId="37BE94D2" w14:textId="77777777">
      <w:pPr>
        <w:spacing w:after="0"/>
        <w:ind w:left="567"/>
        <w:rPr>
          <w:rFonts w:ascii="Arial Narrow" w:eastAsia="Times New Roman" w:hAnsi="Arial Narrow" w:cs="Times New Roman"/>
          <w:spacing w:val="-6"/>
          <w:lang w:bidi="lo-LA"/>
        </w:rPr>
      </w:pPr>
    </w:p>
    <w:p w:rsidR="006A6349" w:rsidP="006A6349" w14:paraId="25600426" w14:textId="77777777">
      <w:pPr>
        <w:spacing w:after="0"/>
        <w:ind w:left="567"/>
        <w:rPr>
          <w:rFonts w:ascii="Arial Narrow" w:eastAsia="Times New Roman" w:hAnsi="Arial Narrow" w:cs="Times New Roman"/>
          <w:spacing w:val="-6"/>
          <w:lang w:bidi="lo-LA"/>
        </w:rPr>
      </w:pPr>
    </w:p>
    <w:p w:rsidR="006A6349" w:rsidP="006A6349" w14:paraId="6F8BE0B2" w14:textId="77777777">
      <w:pPr>
        <w:spacing w:after="0"/>
        <w:ind w:left="567"/>
        <w:rPr>
          <w:rFonts w:ascii="Arial Narrow" w:eastAsia="Times New Roman" w:hAnsi="Arial Narrow" w:cs="Times New Roman"/>
          <w:spacing w:val="-6"/>
          <w:lang w:bidi="lo-LA"/>
        </w:rPr>
      </w:pPr>
    </w:p>
    <w:p w:rsidR="006A6349" w:rsidP="006A6349" w14:paraId="64380406" w14:textId="77777777">
      <w:pPr>
        <w:spacing w:after="0"/>
        <w:ind w:left="567"/>
        <w:rPr>
          <w:rFonts w:ascii="Arial Narrow" w:eastAsia="Times New Roman" w:hAnsi="Arial Narrow" w:cs="Times New Roman"/>
          <w:spacing w:val="-6"/>
          <w:lang w:bidi="lo-LA"/>
        </w:rPr>
      </w:pPr>
    </w:p>
    <w:p w:rsidR="006A6349" w:rsidP="006A6349" w14:paraId="53FF41A8" w14:textId="77777777">
      <w:pPr>
        <w:spacing w:after="0"/>
        <w:ind w:left="567"/>
        <w:rPr>
          <w:rFonts w:ascii="Arial Narrow" w:eastAsia="Times New Roman" w:hAnsi="Arial Narrow" w:cs="Times New Roman"/>
          <w:spacing w:val="-6"/>
          <w:lang w:bidi="lo-LA"/>
        </w:rPr>
      </w:pPr>
    </w:p>
    <w:p w:rsidR="006A6349" w:rsidP="006A6349" w14:paraId="02869DF4" w14:textId="77777777">
      <w:pPr>
        <w:spacing w:after="0"/>
        <w:ind w:left="567"/>
        <w:rPr>
          <w:rFonts w:ascii="Arial Narrow" w:eastAsia="Times New Roman" w:hAnsi="Arial Narrow" w:cs="Times New Roman"/>
          <w:spacing w:val="-6"/>
          <w:lang w:bidi="lo-LA"/>
        </w:rPr>
      </w:pPr>
    </w:p>
    <w:p w:rsidR="006A6349" w:rsidP="006A6349" w14:paraId="01665DE8" w14:textId="77777777">
      <w:pPr>
        <w:spacing w:after="0"/>
        <w:ind w:left="567"/>
        <w:rPr>
          <w:rFonts w:ascii="Arial Narrow" w:eastAsia="Times New Roman" w:hAnsi="Arial Narrow" w:cs="Times New Roman"/>
          <w:spacing w:val="-6"/>
          <w:lang w:bidi="lo-LA"/>
        </w:rPr>
      </w:pPr>
    </w:p>
    <w:p w:rsidR="006A6349" w:rsidP="006A6349" w14:paraId="4F2D2C9A" w14:textId="1153B0B0">
      <w:pPr>
        <w:spacing w:after="0"/>
        <w:ind w:left="567"/>
        <w:rPr>
          <w:rFonts w:ascii="Arial Narrow" w:eastAsia="Times New Roman" w:hAnsi="Arial Narrow" w:cs="Times New Roman"/>
          <w:spacing w:val="-6"/>
          <w:lang w:bidi="lo-LA"/>
        </w:rPr>
      </w:pPr>
    </w:p>
    <w:p w:rsidR="006A6349" w:rsidP="006A6349" w14:paraId="1314FDF0" w14:textId="28E84973">
      <w:pPr>
        <w:spacing w:after="0"/>
        <w:ind w:left="567"/>
        <w:rPr>
          <w:rFonts w:ascii="Arial Narrow" w:eastAsia="Times New Roman" w:hAnsi="Arial Narrow" w:cs="Times New Roman"/>
          <w:spacing w:val="-6"/>
          <w:lang w:bidi="lo-LA"/>
        </w:rPr>
      </w:pPr>
    </w:p>
    <w:p w:rsidR="006A6349" w:rsidP="006A6349" w14:paraId="275E996F" w14:textId="77777777">
      <w:pPr>
        <w:spacing w:after="0"/>
        <w:ind w:left="567"/>
        <w:rPr>
          <w:rFonts w:ascii="Arial Narrow" w:eastAsia="Times New Roman" w:hAnsi="Arial Narrow" w:cs="Times New Roman"/>
          <w:spacing w:val="-6"/>
          <w:lang w:bidi="lo-LA"/>
        </w:rPr>
      </w:pPr>
    </w:p>
    <w:p w:rsidR="006A6349" w:rsidP="006A6349" w14:paraId="73310878" w14:textId="79175A09">
      <w:pPr>
        <w:spacing w:after="0"/>
        <w:ind w:left="567"/>
        <w:rPr>
          <w:rFonts w:ascii="Arial Narrow" w:eastAsia="Times New Roman" w:hAnsi="Arial Narrow" w:cs="Times New Roman"/>
          <w:spacing w:val="-6"/>
          <w:lang w:bidi="lo-LA"/>
        </w:rPr>
      </w:pPr>
    </w:p>
    <w:p w:rsidR="006A6349" w:rsidP="006A6349" w14:paraId="3B1ED8EF" w14:textId="77777777">
      <w:pPr>
        <w:spacing w:after="0"/>
        <w:ind w:left="567"/>
        <w:rPr>
          <w:rFonts w:ascii="Arial Narrow" w:eastAsia="Times New Roman" w:hAnsi="Arial Narrow" w:cs="Times New Roman"/>
          <w:spacing w:val="-6"/>
          <w:lang w:bidi="lo-LA"/>
        </w:rPr>
      </w:pPr>
    </w:p>
    <w:p w:rsidR="006A6349" w:rsidP="006A6349" w14:paraId="29750DAF" w14:textId="77777777">
      <w:pPr>
        <w:spacing w:after="0"/>
        <w:ind w:left="567"/>
        <w:rPr>
          <w:rFonts w:ascii="Arial Narrow" w:eastAsia="Times New Roman" w:hAnsi="Arial Narrow" w:cs="Times New Roman"/>
          <w:spacing w:val="-6"/>
          <w:lang w:bidi="lo-LA"/>
        </w:rPr>
      </w:pPr>
    </w:p>
    <w:p w:rsidR="006A6349" w:rsidP="006A6349" w14:paraId="0A9AC9A5" w14:textId="77777777">
      <w:pPr>
        <w:spacing w:after="0"/>
        <w:ind w:left="567"/>
        <w:rPr>
          <w:rFonts w:ascii="Arial Narrow" w:eastAsia="Times New Roman" w:hAnsi="Arial Narrow" w:cs="Times New Roman"/>
          <w:spacing w:val="-6"/>
          <w:lang w:bidi="lo-LA"/>
        </w:rPr>
      </w:pPr>
    </w:p>
    <w:p w:rsidR="006A6349" w:rsidP="006A6349" w14:paraId="6F3674F6" w14:textId="77777777">
      <w:pPr>
        <w:spacing w:after="0"/>
        <w:ind w:left="567"/>
        <w:rPr>
          <w:rFonts w:ascii="Arial Narrow" w:eastAsia="Times New Roman" w:hAnsi="Arial Narrow" w:cs="Times New Roman"/>
          <w:spacing w:val="-6"/>
          <w:lang w:bidi="lo-LA"/>
        </w:rPr>
      </w:pPr>
    </w:p>
    <w:p w:rsidR="006A6349" w:rsidP="006A6349" w14:paraId="17320026" w14:textId="77777777">
      <w:pPr>
        <w:spacing w:after="0"/>
        <w:ind w:left="567"/>
        <w:rPr>
          <w:rFonts w:ascii="Arial Narrow" w:eastAsia="Times New Roman" w:hAnsi="Arial Narrow" w:cs="Times New Roman"/>
          <w:spacing w:val="-6"/>
          <w:lang w:bidi="lo-LA"/>
        </w:rPr>
      </w:pPr>
    </w:p>
    <w:p w:rsidR="006A6349" w:rsidP="00641B69" w14:paraId="743C722A" w14:textId="77777777">
      <w:pPr>
        <w:spacing w:after="0"/>
        <w:ind w:left="1985"/>
        <w:rPr>
          <w:rFonts w:ascii="Arial Narrow" w:eastAsia="Times New Roman" w:hAnsi="Arial Narrow" w:cs="Times New Roman"/>
          <w:spacing w:val="-6"/>
          <w:lang w:bidi="lo-LA"/>
        </w:rPr>
      </w:pPr>
      <w:r>
        <w:rPr>
          <w:rFonts w:ascii="Arial Narrow" w:eastAsia="Times New Roman" w:hAnsi="Arial Narrow" w:cs="Times New Roman"/>
          <w:spacing w:val="-6"/>
          <w:lang w:bidi="lo-LA"/>
        </w:rPr>
        <w:t>2017</w:t>
      </w:r>
    </w:p>
    <w:p w:rsidR="006A6349" w:rsidP="006A6349" w14:paraId="4DF4B695" w14:textId="066DF9DD">
      <w:pPr>
        <w:spacing w:after="0"/>
        <w:ind w:left="567"/>
        <w:rPr>
          <w:rFonts w:ascii="Arial Narrow" w:eastAsia="Times New Roman" w:hAnsi="Arial Narrow" w:cs="Times New Roman"/>
          <w:spacing w:val="-6"/>
          <w:lang w:bidi="lo-LA"/>
        </w:rPr>
      </w:pPr>
    </w:p>
    <w:p w:rsidR="006A6349" w:rsidP="006A6349" w14:paraId="400D5FC0" w14:textId="77777777">
      <w:pPr>
        <w:spacing w:after="0"/>
        <w:rPr>
          <w:rFonts w:ascii="Arial Narrow" w:eastAsia="Times New Roman" w:hAnsi="Arial Narrow" w:cs="Times New Roman"/>
          <w:spacing w:val="-6"/>
          <w:lang w:bidi="lo-LA"/>
        </w:rPr>
      </w:pPr>
    </w:p>
    <w:p w:rsidR="006A6349" w:rsidP="006A6349" w14:paraId="5C1F189F" w14:textId="77777777">
      <w:pPr>
        <w:spacing w:after="0"/>
        <w:ind w:left="567"/>
        <w:rPr>
          <w:rFonts w:ascii="Arial Narrow" w:eastAsia="Times New Roman" w:hAnsi="Arial Narrow" w:cs="Times New Roman"/>
          <w:spacing w:val="-6"/>
          <w:lang w:bidi="lo-LA"/>
        </w:rPr>
      </w:pPr>
    </w:p>
    <w:p w:rsidR="006A6349" w:rsidP="006A6349" w14:paraId="30007DBB" w14:textId="77777777">
      <w:pPr>
        <w:spacing w:after="0"/>
        <w:ind w:left="567"/>
        <w:rPr>
          <w:rFonts w:ascii="Arial Narrow" w:eastAsia="Times New Roman" w:hAnsi="Arial Narrow" w:cs="Times New Roman"/>
          <w:spacing w:val="-6"/>
          <w:lang w:bidi="lo-LA"/>
        </w:rPr>
      </w:pPr>
    </w:p>
    <w:p w:rsidR="006A6349" w:rsidP="006A6349" w14:paraId="1DE42CFA" w14:textId="77777777">
      <w:pPr>
        <w:spacing w:after="0"/>
        <w:ind w:left="567"/>
        <w:rPr>
          <w:rFonts w:ascii="Arial Narrow" w:eastAsia="Times New Roman" w:hAnsi="Arial Narrow" w:cs="Times New Roman"/>
          <w:spacing w:val="-6"/>
          <w:lang w:bidi="lo-LA"/>
        </w:rPr>
      </w:pPr>
    </w:p>
    <w:p w:rsidR="006A6349" w:rsidP="006A6349" w14:paraId="559E3595" w14:textId="77777777">
      <w:pPr>
        <w:spacing w:after="0"/>
        <w:ind w:left="567"/>
        <w:rPr>
          <w:rFonts w:ascii="Arial Narrow" w:eastAsia="Times New Roman" w:hAnsi="Arial Narrow" w:cs="Times New Roman"/>
          <w:spacing w:val="-6"/>
          <w:lang w:bidi="lo-LA"/>
        </w:rPr>
      </w:pPr>
    </w:p>
    <w:p w:rsidR="006A6349" w:rsidP="006A6349" w14:paraId="317A68E6" w14:textId="5E087855">
      <w:pPr>
        <w:spacing w:after="0"/>
        <w:ind w:left="567"/>
        <w:rPr>
          <w:rFonts w:ascii="Arial Narrow" w:eastAsia="Times New Roman" w:hAnsi="Arial Narrow" w:cs="Times New Roman"/>
          <w:spacing w:val="-6"/>
          <w:lang w:bidi="lo-LA"/>
        </w:rPr>
      </w:pPr>
    </w:p>
    <w:p w:rsidR="006A6349" w:rsidP="006A6349" w14:paraId="40171C3E" w14:textId="77777777">
      <w:pPr>
        <w:spacing w:after="0"/>
        <w:ind w:left="567"/>
        <w:rPr>
          <w:rFonts w:ascii="Arial Narrow" w:eastAsia="Times New Roman" w:hAnsi="Arial Narrow" w:cs="Times New Roman"/>
          <w:spacing w:val="-6"/>
          <w:lang w:bidi="lo-LA"/>
        </w:rPr>
      </w:pPr>
    </w:p>
    <w:p w:rsidR="006A6349" w:rsidP="006A6349" w14:paraId="51A34473" w14:textId="77777777">
      <w:pPr>
        <w:spacing w:after="0"/>
        <w:ind w:left="567"/>
        <w:rPr>
          <w:rFonts w:ascii="Arial Narrow" w:eastAsia="Times New Roman" w:hAnsi="Arial Narrow" w:cs="Times New Roman"/>
          <w:spacing w:val="-6"/>
          <w:lang w:bidi="lo-LA"/>
        </w:rPr>
      </w:pPr>
    </w:p>
    <w:p w:rsidR="006A6349" w:rsidP="006A6349" w14:paraId="7F85C604" w14:textId="77777777">
      <w:pPr>
        <w:spacing w:after="0"/>
        <w:ind w:left="567"/>
        <w:rPr>
          <w:rFonts w:ascii="Arial Narrow" w:eastAsia="Times New Roman" w:hAnsi="Arial Narrow" w:cs="Times New Roman"/>
          <w:spacing w:val="-6"/>
          <w:lang w:bidi="lo-LA"/>
        </w:rPr>
      </w:pPr>
    </w:p>
    <w:p w:rsidR="006A6349" w:rsidP="006A6349" w14:paraId="4A0A8A47" w14:textId="77777777">
      <w:pPr>
        <w:spacing w:after="0"/>
        <w:ind w:left="567"/>
        <w:rPr>
          <w:rFonts w:ascii="Arial Narrow" w:eastAsia="Times New Roman" w:hAnsi="Arial Narrow" w:cs="Times New Roman"/>
          <w:spacing w:val="-6"/>
          <w:lang w:bidi="lo-LA"/>
        </w:rPr>
      </w:pPr>
      <w:r w:rsidRPr="00A26433">
        <w:rPr>
          <w:rFonts w:ascii="Arial Narrow" w:eastAsia="Times New Roman" w:hAnsi="Arial Narrow" w:cs="Times New Roman"/>
          <w:noProof/>
          <w:spacing w:val="-6"/>
          <w:lang w:eastAsia="lv-LV"/>
        </w:rPr>
        <mc:AlternateContent>
          <mc:Choice Requires="wps">
            <w:drawing>
              <wp:anchor distT="0" distB="0" distL="114300" distR="114300" simplePos="0" relativeHeight="251770880" behindDoc="0" locked="0" layoutInCell="1" allowOverlap="1">
                <wp:simplePos x="0" y="0"/>
                <wp:positionH relativeFrom="column">
                  <wp:posOffset>-1728470</wp:posOffset>
                </wp:positionH>
                <wp:positionV relativeFrom="paragraph">
                  <wp:posOffset>241935</wp:posOffset>
                </wp:positionV>
                <wp:extent cx="5266690" cy="521970"/>
                <wp:effectExtent l="105410" t="8890" r="20320" b="210820"/>
                <wp:wrapNone/>
                <wp:docPr id="346" name="Line Callout 1 58"/>
                <wp:cNvGraphicFramePr/>
                <a:graphic xmlns:a="http://schemas.openxmlformats.org/drawingml/2006/main">
                  <a:graphicData uri="http://schemas.microsoft.com/office/word/2010/wordprocessingShape">
                    <wps:wsp xmlns:wps="http://schemas.microsoft.com/office/word/2010/wordprocessingShape">
                      <wps:cNvSpPr/>
                      <wps:spPr>
                        <a:xfrm rot="16200000">
                          <a:off x="0" y="0"/>
                          <a:ext cx="5266690" cy="521970"/>
                        </a:xfrm>
                        <a:prstGeom prst="borderCallout1">
                          <a:avLst>
                            <a:gd name="adj1" fmla="val 63733"/>
                            <a:gd name="adj2" fmla="val -3563"/>
                            <a:gd name="adj3" fmla="val -20252"/>
                            <a:gd name="adj4" fmla="val -3577"/>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P="006A6349" w14:textId="77777777">
                            <w:pPr>
                              <w:pStyle w:val="NormalWeb"/>
                              <w:kinsoku w:val="0"/>
                              <w:overflowPunct w:val="0"/>
                              <w:spacing w:before="0" w:beforeAutospacing="0" w:after="0" w:afterAutospacing="0" w:line="216" w:lineRule="auto"/>
                              <w:jc w:val="center"/>
                              <w:textAlignment w:val="baseline"/>
                            </w:pPr>
                            <w:r>
                              <w:rPr>
                                <w:rFonts w:ascii="Candara" w:eastAsia="Calibri" w:hAnsi="Candara" w:cs="Arial"/>
                                <w:i/>
                                <w:iCs/>
                                <w:color w:val="000000" w:themeColor="text1"/>
                                <w:kern w:val="24"/>
                                <w:sz w:val="26"/>
                                <w:szCs w:val="26"/>
                              </w:rPr>
                              <w:t xml:space="preserve">VPP, FLPP, Starptautiskie projekti zinātnē un tehnoloģijās, Baltic Bonus programma  (2015.g  </w:t>
                            </w:r>
                            <w:r>
                              <w:rPr>
                                <w:rFonts w:ascii="Wingdings" w:eastAsia="Calibri" w:hAnsi="Wingdings" w:cs="Arial"/>
                                <w:i/>
                                <w:iCs/>
                                <w:color w:val="000000" w:themeColor="text1"/>
                                <w:kern w:val="24"/>
                                <w:sz w:val="26"/>
                                <w:szCs w:val="26"/>
                              </w:rPr>
                              <w:sym w:font="Wingdings" w:char="F0E0"/>
                            </w:r>
                            <w:r>
                              <w:rPr>
                                <w:rFonts w:ascii="Candara" w:eastAsia="Calibri" w:hAnsi="Wingdings" w:cs="Arial"/>
                                <w:i/>
                                <w:iCs/>
                                <w:color w:val="000000" w:themeColor="text1"/>
                                <w:kern w:val="24"/>
                                <w:sz w:val="26"/>
                                <w:szCs w:val="26"/>
                              </w:rPr>
                              <w:t xml:space="preserve"> </w:t>
                            </w:r>
                            <w:r>
                              <w:rPr>
                                <w:rFonts w:ascii="Candara" w:eastAsia="Calibri" w:hAnsi="Candara" w:cs="Arial"/>
                                <w:i/>
                                <w:iCs/>
                                <w:color w:val="000000" w:themeColor="text1"/>
                                <w:kern w:val="24"/>
                                <w:sz w:val="26"/>
                                <w:szCs w:val="26"/>
                              </w:rPr>
                              <w:t xml:space="preserve"> ..)</w:t>
                            </w:r>
                          </w:p>
                        </w:txbxContent>
                      </wps:txbx>
                      <wps:bodyPr wrap="square" anchor="ct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8" o:spid="_x0000_s1257" type="#_x0000_t47" style="width:414.7pt;height:41.1pt;margin-top:19.05pt;margin-left:-136.1pt;mso-height-percent:0;mso-height-relative:margin;mso-width-percent:0;mso-width-relative:margin;mso-wrap-distance-bottom:0;mso-wrap-distance-left:9pt;mso-wrap-distance-right:9pt;mso-wrap-distance-top:0;mso-wrap-style:square;position:absolute;rotation:-90;visibility:visible;v-text-anchor:middle;z-index:251771904" adj="-773,-4374,-770,13766" fillcolor="#92d050" strokecolor="#472cbb" strokeweight="1pt">
                <v:textbox>
                  <w:txbxContent>
                    <w:p w:rsidR="00B55C40" w:rsidP="006A6349" w14:paraId="5BB24A0B" w14:textId="77777777">
                      <w:pPr>
                        <w:pStyle w:val="NormalWeb"/>
                        <w:kinsoku w:val="0"/>
                        <w:overflowPunct w:val="0"/>
                        <w:spacing w:before="0" w:beforeAutospacing="0" w:after="0" w:afterAutospacing="0" w:line="216" w:lineRule="auto"/>
                        <w:jc w:val="center"/>
                        <w:textAlignment w:val="baseline"/>
                      </w:pPr>
                      <w:r>
                        <w:rPr>
                          <w:rFonts w:ascii="Candara" w:eastAsia="Calibri" w:hAnsi="Candara" w:cs="Arial"/>
                          <w:i/>
                          <w:iCs/>
                          <w:color w:val="000000" w:themeColor="text1"/>
                          <w:kern w:val="24"/>
                          <w:sz w:val="26"/>
                          <w:szCs w:val="26"/>
                        </w:rPr>
                        <w:t xml:space="preserve">VPP, FLPP, Starptautiskie projekti zinātnē un tehnoloģijās, Baltic Bonus programma  (2015.g  </w:t>
                      </w:r>
                      <w:r>
                        <w:rPr>
                          <w:rFonts w:ascii="Wingdings" w:eastAsia="Calibri" w:hAnsi="Wingdings" w:cs="Arial"/>
                          <w:i/>
                          <w:iCs/>
                          <w:color w:val="000000" w:themeColor="text1"/>
                          <w:kern w:val="24"/>
                          <w:sz w:val="26"/>
                          <w:szCs w:val="26"/>
                        </w:rPr>
                        <w:sym w:font="Wingdings" w:char="F0E0"/>
                      </w:r>
                      <w:r>
                        <w:rPr>
                          <w:rFonts w:ascii="Candara" w:eastAsia="Calibri" w:hAnsi="Wingdings" w:cs="Arial"/>
                          <w:i/>
                          <w:iCs/>
                          <w:color w:val="000000" w:themeColor="text1"/>
                          <w:kern w:val="24"/>
                          <w:sz w:val="26"/>
                          <w:szCs w:val="26"/>
                        </w:rPr>
                        <w:t xml:space="preserve"> </w:t>
                      </w:r>
                      <w:r>
                        <w:rPr>
                          <w:rFonts w:ascii="Candara" w:eastAsia="Calibri" w:hAnsi="Candara" w:cs="Arial"/>
                          <w:i/>
                          <w:iCs/>
                          <w:color w:val="000000" w:themeColor="text1"/>
                          <w:kern w:val="24"/>
                          <w:sz w:val="26"/>
                          <w:szCs w:val="26"/>
                        </w:rPr>
                        <w:t xml:space="preserve"> ..)</w:t>
                      </w:r>
                    </w:p>
                  </w:txbxContent>
                </v:textbox>
              </v:shape>
            </w:pict>
          </mc:Fallback>
        </mc:AlternateContent>
      </w:r>
    </w:p>
    <w:p w:rsidR="006A6349" w:rsidP="006A6349" w14:paraId="1167A554" w14:textId="6B9F1023">
      <w:pPr>
        <w:spacing w:after="0"/>
        <w:ind w:left="567"/>
        <w:rPr>
          <w:rFonts w:ascii="Arial Narrow" w:eastAsia="Times New Roman" w:hAnsi="Arial Narrow" w:cs="Times New Roman"/>
          <w:spacing w:val="-6"/>
          <w:lang w:bidi="lo-LA"/>
        </w:rPr>
      </w:pPr>
    </w:p>
    <w:p w:rsidR="006A6349" w:rsidP="006A6349" w14:paraId="503E51B2" w14:textId="77777777">
      <w:pPr>
        <w:spacing w:after="0"/>
        <w:ind w:left="567"/>
        <w:rPr>
          <w:rFonts w:ascii="Arial Narrow" w:eastAsia="Times New Roman" w:hAnsi="Arial Narrow" w:cs="Times New Roman"/>
          <w:spacing w:val="-6"/>
          <w:lang w:bidi="lo-LA"/>
        </w:rPr>
      </w:pPr>
    </w:p>
    <w:p w:rsidR="00641B69" w:rsidP="00641B69" w14:paraId="01D0ECC3" w14:textId="77777777">
      <w:pPr>
        <w:spacing w:after="0"/>
        <w:ind w:left="1985"/>
        <w:rPr>
          <w:rFonts w:ascii="Arial Narrow" w:eastAsia="Times New Roman" w:hAnsi="Arial Narrow" w:cs="Times New Roman"/>
          <w:spacing w:val="-6"/>
          <w:lang w:bidi="lo-LA"/>
        </w:rPr>
      </w:pPr>
    </w:p>
    <w:p w:rsidR="00641B69" w:rsidP="00641B69" w14:paraId="4717B92D" w14:textId="682E0C41">
      <w:pPr>
        <w:spacing w:after="0"/>
        <w:ind w:left="1985"/>
        <w:rPr>
          <w:rFonts w:ascii="Arial Narrow" w:eastAsia="Times New Roman" w:hAnsi="Arial Narrow" w:cs="Times New Roman"/>
          <w:spacing w:val="-6"/>
          <w:lang w:bidi="lo-LA"/>
        </w:rPr>
      </w:pPr>
    </w:p>
    <w:p w:rsidR="006A6349" w:rsidP="00641B69" w14:paraId="7427C000" w14:textId="3E927F17">
      <w:pPr>
        <w:spacing w:after="0"/>
        <w:ind w:left="1985"/>
        <w:rPr>
          <w:rFonts w:ascii="Arial Narrow" w:eastAsia="Times New Roman" w:hAnsi="Arial Narrow" w:cs="Times New Roman"/>
          <w:spacing w:val="-6"/>
          <w:lang w:bidi="lo-LA"/>
        </w:rPr>
      </w:pPr>
      <w:r>
        <w:rPr>
          <w:noProof/>
          <w:lang w:eastAsia="lv-LV"/>
        </w:rPr>
        <mc:AlternateContent>
          <mc:Choice Requires="wps">
            <w:drawing>
              <wp:anchor distT="0" distB="0" distL="114300" distR="114300" simplePos="0" relativeHeight="251869184" behindDoc="0" locked="0" layoutInCell="1" allowOverlap="1">
                <wp:simplePos x="0" y="0"/>
                <wp:positionH relativeFrom="column">
                  <wp:posOffset>3547110</wp:posOffset>
                </wp:positionH>
                <wp:positionV relativeFrom="paragraph">
                  <wp:posOffset>157480</wp:posOffset>
                </wp:positionV>
                <wp:extent cx="1533525" cy="571500"/>
                <wp:effectExtent l="0" t="0" r="28575" b="19050"/>
                <wp:wrapNone/>
                <wp:docPr id="386" name="Rounded 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533525" cy="571500"/>
                        </a:xfrm>
                        <a:prstGeom prst="roundRect">
                          <a:avLst>
                            <a:gd name="adj" fmla="val 5773"/>
                          </a:avLst>
                        </a:prstGeom>
                        <a:solidFill>
                          <a:srgbClr val="92D050"/>
                        </a:solidFill>
                        <a:ln>
                          <a:solidFill>
                            <a:schemeClr val="accent3">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B55C40" w:rsidRPr="004C7E5C" w:rsidP="00BB247F"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Publisko datu atkalizmantošana.</w:t>
                            </w:r>
                          </w:p>
                          <w:p w:rsidR="00B55C40" w:rsidRPr="004C7E5C" w:rsidP="00BB247F" w14:textId="0B9FD53B">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VARA</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MKN 2015 IV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/atlase </w:t>
                            </w:r>
                          </w:p>
                        </w:txbxContent>
                      </wps:txbx>
                      <wps:bodyPr wrap="square" lIns="0" tIns="0" rIns="0" bIns="0" anchor="ctr"/>
                    </wps:wsp>
                  </a:graphicData>
                </a:graphic>
                <wp14:sizeRelH relativeFrom="margin">
                  <wp14:pctWidth>0</wp14:pctWidth>
                </wp14:sizeRelH>
                <wp14:sizeRelV relativeFrom="margin">
                  <wp14:pctHeight>0</wp14:pctHeight>
                </wp14:sizeRelV>
              </wp:anchor>
            </w:drawing>
          </mc:Choice>
          <mc:Fallback>
            <w:pict>
              <v:roundrect id="_x0000_s1258" style="width:120.75pt;height:45pt;margin-top:12.4pt;margin-left:279.3pt;mso-height-percent:0;mso-height-relative:margin;mso-width-percent:0;mso-width-relative:margin;mso-wrap-distance-bottom:0;mso-wrap-distance-left:9pt;mso-wrap-distance-right:9pt;mso-wrap-distance-top:0;mso-wrap-style:square;position:absolute;visibility:visible;v-text-anchor:middle;z-index:251870208" arcsize="3783f" fillcolor="#92d050" strokecolor="#472cbb" strokeweight="1pt">
                <v:stroke joinstyle="miter"/>
                <v:textbox inset="0,0,0,0">
                  <w:txbxContent>
                    <w:p w:rsidR="00B55C40" w:rsidRPr="004C7E5C" w:rsidP="00BB247F" w14:paraId="4E2DBD62"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color w:val="000000" w:themeColor="text1"/>
                          <w:kern w:val="24"/>
                          <w:sz w:val="20"/>
                          <w:szCs w:val="20"/>
                        </w:rPr>
                        <w:t>Publisko datu atkalizmantošana.</w:t>
                      </w:r>
                    </w:p>
                    <w:p w:rsidR="00B55C40" w:rsidRPr="004C7E5C" w:rsidP="00BB247F" w14:paraId="4BC74A1E" w14:textId="0B9FD53B">
                      <w:pPr>
                        <w:pStyle w:val="NormalWeb"/>
                        <w:kinsoku w:val="0"/>
                        <w:overflowPunct w:val="0"/>
                        <w:spacing w:before="0" w:beforeAutospacing="0" w:after="0" w:afterAutospacing="0" w:line="216" w:lineRule="auto"/>
                        <w:jc w:val="center"/>
                        <w:textAlignment w:val="baseline"/>
                        <w:rPr>
                          <w:sz w:val="20"/>
                          <w:szCs w:val="20"/>
                        </w:rPr>
                      </w:pP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VARA</w:t>
                      </w:r>
                      <w:r w:rsidRPr="004C7E5C">
                        <w:rPr>
                          <w:rFonts w:ascii="Candara" w:eastAsia="Calibri" w:hAnsi="Candara" w:cs="Arial"/>
                          <w:color w:val="000000" w:themeColor="text1"/>
                          <w:kern w:val="24"/>
                          <w:sz w:val="20"/>
                          <w:szCs w:val="20"/>
                        </w:rPr>
                        <w:t>M</w:t>
                      </w:r>
                      <w:r>
                        <w:rPr>
                          <w:rFonts w:ascii="Candara" w:eastAsia="Calibri" w:hAnsi="Candara" w:cs="Arial"/>
                          <w:color w:val="000000" w:themeColor="text1"/>
                          <w:kern w:val="24"/>
                          <w:sz w:val="20"/>
                          <w:szCs w:val="20"/>
                        </w:rPr>
                        <w:t xml:space="preserve">) MKN 2015 IV </w:t>
                      </w:r>
                      <w:r w:rsidRPr="004C7E5C">
                        <w:rPr>
                          <w:rFonts w:ascii="Candara" w:eastAsia="Calibri" w:hAnsi="Candara" w:cs="Arial"/>
                          <w:b/>
                          <w:bCs/>
                          <w:color w:val="000000" w:themeColor="text1"/>
                          <w:kern w:val="24"/>
                          <w:sz w:val="20"/>
                          <w:szCs w:val="20"/>
                        </w:rPr>
                        <w:t xml:space="preserve"> </w:t>
                      </w:r>
                      <w:r>
                        <w:rPr>
                          <w:rFonts w:ascii="Candara" w:eastAsia="Calibri" w:hAnsi="Candara" w:cs="Arial"/>
                          <w:b/>
                          <w:bCs/>
                          <w:color w:val="000000" w:themeColor="text1"/>
                          <w:kern w:val="24"/>
                          <w:sz w:val="20"/>
                          <w:szCs w:val="20"/>
                        </w:rPr>
                        <w:t xml:space="preserve">/atlase </w:t>
                      </w:r>
                    </w:p>
                  </w:txbxContent>
                </v:textbox>
              </v:roundrect>
            </w:pict>
          </mc:Fallback>
        </mc:AlternateContent>
      </w:r>
      <w:r w:rsidRPr="004C7E5C">
        <w:rPr>
          <w:rFonts w:ascii="Arial Narrow" w:eastAsia="Times New Roman" w:hAnsi="Arial Narrow" w:cs="Times New Roman"/>
          <w:noProof/>
          <w:spacing w:val="-6"/>
          <w:lang w:eastAsia="lv-LV"/>
        </w:rPr>
        <mc:AlternateContent>
          <mc:Choice Requires="wps">
            <w:drawing>
              <wp:anchor distT="0" distB="0" distL="114300" distR="114300" simplePos="0" relativeHeight="251854848" behindDoc="0" locked="0" layoutInCell="1" allowOverlap="1">
                <wp:simplePos x="0" y="0"/>
                <wp:positionH relativeFrom="column">
                  <wp:posOffset>5128260</wp:posOffset>
                </wp:positionH>
                <wp:positionV relativeFrom="paragraph">
                  <wp:posOffset>141425</wp:posOffset>
                </wp:positionV>
                <wp:extent cx="1428750" cy="2089150"/>
                <wp:effectExtent l="0" t="0" r="19050" b="25400"/>
                <wp:wrapNone/>
                <wp:docPr id="35" name="Rounded 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428750" cy="2089150"/>
                        </a:xfrm>
                        <a:prstGeom prst="roundRect">
                          <a:avLst>
                            <a:gd name="adj" fmla="val 1064"/>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rsidR="00B55C40" w:rsidRPr="00BD4C4B" w:rsidP="00BD4C4B" w14:textId="77777777">
                            <w:pPr>
                              <w:pStyle w:val="NormalWeb"/>
                              <w:kinsoku w:val="0"/>
                              <w:overflowPunct w:val="0"/>
                              <w:spacing w:before="0" w:beforeAutospacing="0" w:after="0" w:afterAutospacing="0" w:line="216" w:lineRule="auto"/>
                              <w:jc w:val="center"/>
                              <w:textAlignment w:val="baseline"/>
                              <w:rPr>
                                <w:rFonts w:ascii="Candara" w:hAnsi="Candara"/>
                                <w:sz w:val="18"/>
                                <w:szCs w:val="18"/>
                              </w:rPr>
                            </w:pPr>
                            <w:r w:rsidRPr="00BD4C4B">
                              <w:rPr>
                                <w:rFonts w:ascii="Candara" w:hAnsi="Candara"/>
                                <w:sz w:val="18"/>
                                <w:szCs w:val="18"/>
                              </w:rPr>
                              <w:t xml:space="preserve">Apzīmējumi: </w:t>
                            </w:r>
                          </w:p>
                          <w:p w:rsidR="00B55C40" w:rsidRPr="00BD4C4B" w:rsidP="00BD4C4B" w14:textId="77777777">
                            <w:pPr>
                              <w:pStyle w:val="NormalWeb"/>
                              <w:kinsoku w:val="0"/>
                              <w:overflowPunct w:val="0"/>
                              <w:spacing w:before="0" w:beforeAutospacing="0" w:after="0" w:afterAutospacing="0" w:line="216" w:lineRule="auto"/>
                              <w:jc w:val="center"/>
                              <w:textAlignment w:val="baseline"/>
                              <w:rPr>
                                <w:rFonts w:ascii="Candara" w:hAnsi="Candara"/>
                                <w:sz w:val="18"/>
                                <w:szCs w:val="18"/>
                              </w:rPr>
                            </w:pPr>
                            <w:r>
                              <w:rPr>
                                <w:rFonts w:ascii="Candara" w:hAnsi="Candara"/>
                                <w:sz w:val="18"/>
                                <w:szCs w:val="18"/>
                              </w:rPr>
                              <w:t xml:space="preserve"> </w:t>
                            </w:r>
                            <w:r>
                              <w:rPr>
                                <w:noProof/>
                              </w:rPr>
                              <w:drawing>
                                <wp:inline distT="0" distB="0" distL="0" distR="0">
                                  <wp:extent cx="102870" cy="113157"/>
                                  <wp:effectExtent l="19050" t="19050" r="11430" b="20320"/>
                                  <wp:docPr id="900918465"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6491" name=""/>
                                          <pic:cNvPicPr/>
                                        </pic:nvPicPr>
                                        <pic:blipFill>
                                          <a:blip xmlns:r="http://schemas.openxmlformats.org/officeDocument/2006/relationships" r:embed="rId79"/>
                                          <a:stretch>
                                            <a:fillRect/>
                                          </a:stretch>
                                        </pic:blipFill>
                                        <pic:spPr>
                                          <a:xfrm>
                                            <a:off x="0" y="0"/>
                                            <a:ext cx="104900" cy="115391"/>
                                          </a:xfrm>
                                          <a:prstGeom prst="rect">
                                            <a:avLst/>
                                          </a:prstGeom>
                                          <a:ln>
                                            <a:solidFill>
                                              <a:schemeClr val="bg2">
                                                <a:lumMod val="50000"/>
                                              </a:schemeClr>
                                            </a:solidFill>
                                          </a:ln>
                                        </pic:spPr>
                                      </pic:pic>
                                    </a:graphicData>
                                  </a:graphic>
                                </wp:inline>
                              </w:drawing>
                            </w:r>
                            <w:r>
                              <w:rPr>
                                <w:rFonts w:ascii="Candara" w:hAnsi="Candara"/>
                                <w:sz w:val="18"/>
                                <w:szCs w:val="18"/>
                              </w:rPr>
                              <w:t xml:space="preserve"> -</w:t>
                            </w:r>
                            <w:r w:rsidRPr="00BD4C4B">
                              <w:rPr>
                                <w:rFonts w:ascii="Candara" w:hAnsi="Candara"/>
                                <w:sz w:val="18"/>
                                <w:szCs w:val="18"/>
                              </w:rPr>
                              <w:t xml:space="preserve">  programmas ieviešanas nosacījumi ir </w:t>
                            </w:r>
                            <w:r>
                              <w:rPr>
                                <w:rFonts w:ascii="Candara" w:hAnsi="Candara"/>
                                <w:sz w:val="18"/>
                                <w:szCs w:val="18"/>
                              </w:rPr>
                              <w:t>apstiprināti Ministru kabinetā</w:t>
                            </w:r>
                            <w:r w:rsidRPr="00BD4C4B">
                              <w:rPr>
                                <w:rFonts w:ascii="Candara" w:hAnsi="Candara"/>
                                <w:sz w:val="18"/>
                                <w:szCs w:val="18"/>
                              </w:rPr>
                              <w:t xml:space="preserve"> un ir noslēgts līgums (-i)</w:t>
                            </w:r>
                            <w:r>
                              <w:rPr>
                                <w:rFonts w:ascii="Candara" w:hAnsi="Candara"/>
                                <w:sz w:val="18"/>
                                <w:szCs w:val="18"/>
                              </w:rPr>
                              <w:t xml:space="preserve"> par projekta (u-) īstenošanu</w:t>
                            </w:r>
                            <w:r w:rsidRPr="00BD4C4B">
                              <w:rPr>
                                <w:rFonts w:ascii="Candara" w:hAnsi="Candara"/>
                                <w:sz w:val="18"/>
                                <w:szCs w:val="18"/>
                              </w:rPr>
                              <w:t>;</w:t>
                            </w:r>
                          </w:p>
                          <w:p w:rsidR="00B55C40" w:rsidRPr="00BD4C4B" w:rsidP="00BD4C4B" w14:textId="6C3C5E83">
                            <w:pPr>
                              <w:pStyle w:val="NormalWeb"/>
                              <w:kinsoku w:val="0"/>
                              <w:overflowPunct w:val="0"/>
                              <w:spacing w:before="0" w:beforeAutospacing="0" w:after="0" w:afterAutospacing="0" w:line="216" w:lineRule="auto"/>
                              <w:jc w:val="center"/>
                              <w:textAlignment w:val="baseline"/>
                              <w:rPr>
                                <w:rFonts w:ascii="Candara" w:hAnsi="Candara"/>
                                <w:sz w:val="18"/>
                                <w:szCs w:val="18"/>
                              </w:rPr>
                            </w:pPr>
                            <w:r>
                              <w:rPr>
                                <w:noProof/>
                              </w:rPr>
                              <w:drawing>
                                <wp:inline distT="0" distB="0" distL="0" distR="0">
                                  <wp:extent cx="92870" cy="85725"/>
                                  <wp:effectExtent l="19050" t="19050" r="21590" b="9525"/>
                                  <wp:docPr id="92062861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34153" name=""/>
                                          <pic:cNvPicPr/>
                                        </pic:nvPicPr>
                                        <pic:blipFill>
                                          <a:blip xmlns:r="http://schemas.openxmlformats.org/officeDocument/2006/relationships" r:embed="rId80">
                                            <a:duotone>
                                              <a:prstClr val="black"/>
                                              <a:schemeClr val="accent1">
                                                <a:tint val="45000"/>
                                                <a:satMod val="400000"/>
                                              </a:schemeClr>
                                            </a:duotone>
                                          </a:blip>
                                          <a:stretch>
                                            <a:fillRect/>
                                          </a:stretch>
                                        </pic:blipFill>
                                        <pic:spPr>
                                          <a:xfrm>
                                            <a:off x="0" y="0"/>
                                            <a:ext cx="97208" cy="89730"/>
                                          </a:xfrm>
                                          <a:prstGeom prst="rect">
                                            <a:avLst/>
                                          </a:prstGeom>
                                          <a:ln>
                                            <a:solidFill>
                                              <a:schemeClr val="bg2">
                                                <a:lumMod val="75000"/>
                                              </a:schemeClr>
                                            </a:solidFill>
                                          </a:ln>
                                        </pic:spPr>
                                      </pic:pic>
                                    </a:graphicData>
                                  </a:graphic>
                                </wp:inline>
                              </w:drawing>
                            </w:r>
                            <w:r>
                              <w:rPr>
                                <w:rFonts w:ascii="Candara" w:hAnsi="Candara"/>
                                <w:sz w:val="18"/>
                                <w:szCs w:val="18"/>
                              </w:rPr>
                              <w:t xml:space="preserve"> </w:t>
                            </w:r>
                            <w:r w:rsidRPr="00BD4C4B">
                              <w:rPr>
                                <w:rFonts w:ascii="Candara" w:hAnsi="Candara"/>
                                <w:sz w:val="18"/>
                                <w:szCs w:val="18"/>
                              </w:rPr>
                              <w:t>- programmas ieviešanas nosacījumi ir izstrādāti, pašlaik norisinās projektu atlase</w:t>
                            </w:r>
                            <w:r>
                              <w:rPr>
                                <w:rFonts w:ascii="Candara" w:hAnsi="Candara"/>
                                <w:sz w:val="18"/>
                                <w:szCs w:val="18"/>
                              </w:rPr>
                              <w:t>s/vērtēšanas process</w:t>
                            </w:r>
                            <w:r w:rsidRPr="00BD4C4B">
                              <w:rPr>
                                <w:rFonts w:ascii="Candara" w:hAnsi="Candara"/>
                                <w:sz w:val="18"/>
                                <w:szCs w:val="18"/>
                              </w:rPr>
                              <w:t>;</w:t>
                            </w:r>
                          </w:p>
                          <w:p w:rsidR="00B55C40" w:rsidRPr="00BD4C4B" w:rsidP="00BD4C4B" w14:textId="09C5DEEC">
                            <w:pPr>
                              <w:pStyle w:val="NormalWeb"/>
                              <w:kinsoku w:val="0"/>
                              <w:overflowPunct w:val="0"/>
                              <w:spacing w:before="0" w:beforeAutospacing="0" w:after="0" w:afterAutospacing="0" w:line="216" w:lineRule="auto"/>
                              <w:jc w:val="center"/>
                              <w:textAlignment w:val="baseline"/>
                              <w:rPr>
                                <w:rFonts w:ascii="Candara" w:hAnsi="Candara"/>
                                <w:sz w:val="18"/>
                                <w:szCs w:val="18"/>
                              </w:rPr>
                            </w:pPr>
                            <w:r>
                              <w:rPr>
                                <w:noProof/>
                              </w:rPr>
                              <w:drawing>
                                <wp:inline distT="0" distB="0" distL="0" distR="0">
                                  <wp:extent cx="120015" cy="114300"/>
                                  <wp:effectExtent l="19050" t="19050" r="13335" b="19050"/>
                                  <wp:docPr id="6973702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87209" name=""/>
                                          <pic:cNvPicPr/>
                                        </pic:nvPicPr>
                                        <pic:blipFill>
                                          <a:blip xmlns:r="http://schemas.openxmlformats.org/officeDocument/2006/relationships" r:embed="rId81"/>
                                          <a:stretch>
                                            <a:fillRect/>
                                          </a:stretch>
                                        </pic:blipFill>
                                        <pic:spPr>
                                          <a:xfrm>
                                            <a:off x="0" y="0"/>
                                            <a:ext cx="123884" cy="117985"/>
                                          </a:xfrm>
                                          <a:prstGeom prst="rect">
                                            <a:avLst/>
                                          </a:prstGeom>
                                          <a:ln>
                                            <a:solidFill>
                                              <a:schemeClr val="bg1">
                                                <a:lumMod val="75000"/>
                                              </a:schemeClr>
                                            </a:solidFill>
                                          </a:ln>
                                        </pic:spPr>
                                      </pic:pic>
                                    </a:graphicData>
                                  </a:graphic>
                                </wp:inline>
                              </w:drawing>
                            </w:r>
                            <w:r>
                              <w:rPr>
                                <w:rFonts w:ascii="Candara" w:hAnsi="Candara"/>
                                <w:sz w:val="18"/>
                                <w:szCs w:val="18"/>
                              </w:rPr>
                              <w:t xml:space="preserve"> </w:t>
                            </w:r>
                            <w:r w:rsidRPr="00BD4C4B">
                              <w:rPr>
                                <w:rFonts w:ascii="Candara" w:hAnsi="Candara"/>
                                <w:sz w:val="18"/>
                                <w:szCs w:val="18"/>
                              </w:rPr>
                              <w:t xml:space="preserve">- programmas ieviešanas nosacījumi </w:t>
                            </w:r>
                            <w:r>
                              <w:rPr>
                                <w:rFonts w:ascii="Candara" w:hAnsi="Candara"/>
                                <w:sz w:val="18"/>
                                <w:szCs w:val="18"/>
                              </w:rPr>
                              <w:t xml:space="preserve">izstrādi, norisinās </w:t>
                            </w:r>
                            <w:r w:rsidRPr="00BD4C4B">
                              <w:rPr>
                                <w:rFonts w:ascii="Candara" w:hAnsi="Candara"/>
                                <w:sz w:val="18"/>
                                <w:szCs w:val="18"/>
                              </w:rPr>
                              <w:t xml:space="preserve"> </w:t>
                            </w:r>
                            <w:r>
                              <w:rPr>
                                <w:rFonts w:ascii="Candara" w:hAnsi="Candara"/>
                                <w:sz w:val="18"/>
                                <w:szCs w:val="18"/>
                              </w:rPr>
                              <w:t>atlases dokumentācijas sagatavošana</w:t>
                            </w:r>
                          </w:p>
                        </w:txbxContent>
                      </wps:txbx>
                      <wps:bodyPr wrap="square" lIns="0" tIns="0" rIns="0" bIns="0" anchor="ctr"/>
                    </wps:wsp>
                  </a:graphicData>
                </a:graphic>
                <wp14:sizeRelH relativeFrom="margin">
                  <wp14:pctWidth>0</wp14:pctWidth>
                </wp14:sizeRelH>
                <wp14:sizeRelV relativeFrom="margin">
                  <wp14:pctHeight>0</wp14:pctHeight>
                </wp14:sizeRelV>
              </wp:anchor>
            </w:drawing>
          </mc:Choice>
          <mc:Fallback>
            <w:pict>
              <v:roundrect id="_x0000_s1259" style="width:112.5pt;height:164.5pt;margin-top:11.15pt;margin-left:403.8pt;mso-height-percent:0;mso-height-relative:margin;mso-width-percent:0;mso-width-relative:margin;mso-wrap-distance-bottom:0;mso-wrap-distance-left:9pt;mso-wrap-distance-right:9pt;mso-wrap-distance-top:0;mso-wrap-style:square;position:absolute;visibility:visible;v-text-anchor:middle;z-index:251855872" arcsize="698f" fillcolor="white" strokecolor="#7d6482" strokeweight="1pt">
                <v:stroke joinstyle="miter"/>
                <v:textbox inset="0,0,0,0">
                  <w:txbxContent>
                    <w:p w:rsidR="00B55C40" w:rsidRPr="00BD4C4B" w:rsidP="00BD4C4B" w14:paraId="7069CC8D" w14:textId="77777777">
                      <w:pPr>
                        <w:pStyle w:val="NormalWeb"/>
                        <w:kinsoku w:val="0"/>
                        <w:overflowPunct w:val="0"/>
                        <w:spacing w:before="0" w:beforeAutospacing="0" w:after="0" w:afterAutospacing="0" w:line="216" w:lineRule="auto"/>
                        <w:jc w:val="center"/>
                        <w:textAlignment w:val="baseline"/>
                        <w:rPr>
                          <w:rFonts w:ascii="Candara" w:hAnsi="Candara"/>
                          <w:sz w:val="18"/>
                          <w:szCs w:val="18"/>
                        </w:rPr>
                      </w:pPr>
                      <w:r w:rsidRPr="00BD4C4B">
                        <w:rPr>
                          <w:rFonts w:ascii="Candara" w:hAnsi="Candara"/>
                          <w:sz w:val="18"/>
                          <w:szCs w:val="18"/>
                        </w:rPr>
                        <w:t xml:space="preserve">Apzīmējumi: </w:t>
                      </w:r>
                    </w:p>
                    <w:p w:rsidR="00B55C40" w:rsidRPr="00BD4C4B" w:rsidP="00BD4C4B" w14:paraId="25D93A0E" w14:textId="77777777">
                      <w:pPr>
                        <w:pStyle w:val="NormalWeb"/>
                        <w:kinsoku w:val="0"/>
                        <w:overflowPunct w:val="0"/>
                        <w:spacing w:before="0" w:beforeAutospacing="0" w:after="0" w:afterAutospacing="0" w:line="216" w:lineRule="auto"/>
                        <w:jc w:val="center"/>
                        <w:textAlignment w:val="baseline"/>
                        <w:rPr>
                          <w:rFonts w:ascii="Candara" w:hAnsi="Candara"/>
                          <w:sz w:val="18"/>
                          <w:szCs w:val="18"/>
                        </w:rPr>
                      </w:pPr>
                      <w:r>
                        <w:rPr>
                          <w:rFonts w:ascii="Candara" w:hAnsi="Candara"/>
                          <w:sz w:val="18"/>
                          <w:szCs w:val="18"/>
                        </w:rPr>
                        <w:t xml:space="preserve"> </w:t>
                      </w:r>
                      <w:drawing>
                        <wp:inline distT="0" distB="0" distL="0" distR="0">
                          <wp:extent cx="102870" cy="113157"/>
                          <wp:effectExtent l="19050" t="19050" r="11430" b="2032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06429" name=""/>
                                  <pic:cNvPicPr/>
                                </pic:nvPicPr>
                                <pic:blipFill>
                                  <a:blip xmlns:r="http://schemas.openxmlformats.org/officeDocument/2006/relationships" r:embed="rId79"/>
                                  <a:stretch>
                                    <a:fillRect/>
                                  </a:stretch>
                                </pic:blipFill>
                                <pic:spPr>
                                  <a:xfrm>
                                    <a:off x="0" y="0"/>
                                    <a:ext cx="104900" cy="115391"/>
                                  </a:xfrm>
                                  <a:prstGeom prst="rect">
                                    <a:avLst/>
                                  </a:prstGeom>
                                  <a:ln>
                                    <a:solidFill>
                                      <a:schemeClr val="bg2">
                                        <a:lumMod val="50000"/>
                                      </a:schemeClr>
                                    </a:solidFill>
                                  </a:ln>
                                </pic:spPr>
                              </pic:pic>
                            </a:graphicData>
                          </a:graphic>
                        </wp:inline>
                      </w:drawing>
                      <w:r>
                        <w:rPr>
                          <w:rFonts w:ascii="Candara" w:hAnsi="Candara"/>
                          <w:sz w:val="18"/>
                          <w:szCs w:val="18"/>
                        </w:rPr>
                        <w:t xml:space="preserve"> -</w:t>
                      </w:r>
                      <w:r w:rsidRPr="00BD4C4B">
                        <w:rPr>
                          <w:rFonts w:ascii="Candara" w:hAnsi="Candara"/>
                          <w:sz w:val="18"/>
                          <w:szCs w:val="18"/>
                        </w:rPr>
                        <w:t xml:space="preserve">  programmas ieviešanas nosacījumi ir </w:t>
                      </w:r>
                      <w:r>
                        <w:rPr>
                          <w:rFonts w:ascii="Candara" w:hAnsi="Candara"/>
                          <w:sz w:val="18"/>
                          <w:szCs w:val="18"/>
                        </w:rPr>
                        <w:t>apstiprināti Ministru kabinetā</w:t>
                      </w:r>
                      <w:r w:rsidRPr="00BD4C4B">
                        <w:rPr>
                          <w:rFonts w:ascii="Candara" w:hAnsi="Candara"/>
                          <w:sz w:val="18"/>
                          <w:szCs w:val="18"/>
                        </w:rPr>
                        <w:t xml:space="preserve"> un ir noslēgts līgums (-i)</w:t>
                      </w:r>
                      <w:r>
                        <w:rPr>
                          <w:rFonts w:ascii="Candara" w:hAnsi="Candara"/>
                          <w:sz w:val="18"/>
                          <w:szCs w:val="18"/>
                        </w:rPr>
                        <w:t xml:space="preserve"> par projekta (u-) īstenošanu</w:t>
                      </w:r>
                      <w:r w:rsidRPr="00BD4C4B">
                        <w:rPr>
                          <w:rFonts w:ascii="Candara" w:hAnsi="Candara"/>
                          <w:sz w:val="18"/>
                          <w:szCs w:val="18"/>
                        </w:rPr>
                        <w:t>;</w:t>
                      </w:r>
                    </w:p>
                    <w:p w:rsidR="00B55C40" w:rsidRPr="00BD4C4B" w:rsidP="00BD4C4B" w14:paraId="1994F63E" w14:textId="6C3C5E83">
                      <w:pPr>
                        <w:pStyle w:val="NormalWeb"/>
                        <w:kinsoku w:val="0"/>
                        <w:overflowPunct w:val="0"/>
                        <w:spacing w:before="0" w:beforeAutospacing="0" w:after="0" w:afterAutospacing="0" w:line="216" w:lineRule="auto"/>
                        <w:jc w:val="center"/>
                        <w:textAlignment w:val="baseline"/>
                        <w:rPr>
                          <w:rFonts w:ascii="Candara" w:hAnsi="Candara"/>
                          <w:sz w:val="18"/>
                          <w:szCs w:val="18"/>
                        </w:rPr>
                      </w:pPr>
                      <w:drawing>
                        <wp:inline distT="0" distB="0" distL="0" distR="0">
                          <wp:extent cx="92870" cy="85725"/>
                          <wp:effectExtent l="19050" t="19050" r="2159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1131" name=""/>
                                  <pic:cNvPicPr/>
                                </pic:nvPicPr>
                                <pic:blipFill>
                                  <a:blip xmlns:r="http://schemas.openxmlformats.org/officeDocument/2006/relationships" r:embed="rId80">
                                    <a:duotone>
                                      <a:prstClr val="black"/>
                                      <a:schemeClr val="accent1">
                                        <a:tint val="45000"/>
                                        <a:satMod val="400000"/>
                                      </a:schemeClr>
                                    </a:duotone>
                                  </a:blip>
                                  <a:stretch>
                                    <a:fillRect/>
                                  </a:stretch>
                                </pic:blipFill>
                                <pic:spPr>
                                  <a:xfrm>
                                    <a:off x="0" y="0"/>
                                    <a:ext cx="97208" cy="89730"/>
                                  </a:xfrm>
                                  <a:prstGeom prst="rect">
                                    <a:avLst/>
                                  </a:prstGeom>
                                  <a:ln>
                                    <a:solidFill>
                                      <a:schemeClr val="bg2">
                                        <a:lumMod val="75000"/>
                                      </a:schemeClr>
                                    </a:solidFill>
                                  </a:ln>
                                </pic:spPr>
                              </pic:pic>
                            </a:graphicData>
                          </a:graphic>
                        </wp:inline>
                      </w:drawing>
                      <w:r>
                        <w:rPr>
                          <w:rFonts w:ascii="Candara" w:hAnsi="Candara"/>
                          <w:sz w:val="18"/>
                          <w:szCs w:val="18"/>
                        </w:rPr>
                        <w:t xml:space="preserve"> </w:t>
                      </w:r>
                      <w:r w:rsidRPr="00BD4C4B">
                        <w:rPr>
                          <w:rFonts w:ascii="Candara" w:hAnsi="Candara"/>
                          <w:sz w:val="18"/>
                          <w:szCs w:val="18"/>
                        </w:rPr>
                        <w:t>- programmas ieviešanas nosacījumi ir izstrādāti, pašlaik norisinās projektu atlase</w:t>
                      </w:r>
                      <w:r>
                        <w:rPr>
                          <w:rFonts w:ascii="Candara" w:hAnsi="Candara"/>
                          <w:sz w:val="18"/>
                          <w:szCs w:val="18"/>
                        </w:rPr>
                        <w:t>s/vērtēšanas process</w:t>
                      </w:r>
                      <w:r w:rsidRPr="00BD4C4B">
                        <w:rPr>
                          <w:rFonts w:ascii="Candara" w:hAnsi="Candara"/>
                          <w:sz w:val="18"/>
                          <w:szCs w:val="18"/>
                        </w:rPr>
                        <w:t>;</w:t>
                      </w:r>
                    </w:p>
                    <w:p w:rsidR="00B55C40" w:rsidRPr="00BD4C4B" w:rsidP="00BD4C4B" w14:paraId="02B7631F" w14:textId="09C5DEEC">
                      <w:pPr>
                        <w:pStyle w:val="NormalWeb"/>
                        <w:kinsoku w:val="0"/>
                        <w:overflowPunct w:val="0"/>
                        <w:spacing w:before="0" w:beforeAutospacing="0" w:after="0" w:afterAutospacing="0" w:line="216" w:lineRule="auto"/>
                        <w:jc w:val="center"/>
                        <w:textAlignment w:val="baseline"/>
                        <w:rPr>
                          <w:rFonts w:ascii="Candara" w:hAnsi="Candara"/>
                          <w:sz w:val="18"/>
                          <w:szCs w:val="18"/>
                        </w:rPr>
                      </w:pPr>
                      <w:drawing>
                        <wp:inline distT="0" distB="0" distL="0" distR="0">
                          <wp:extent cx="120015" cy="114300"/>
                          <wp:effectExtent l="19050" t="19050" r="13335" b="190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91231" name=""/>
                                  <pic:cNvPicPr/>
                                </pic:nvPicPr>
                                <pic:blipFill>
                                  <a:blip xmlns:r="http://schemas.openxmlformats.org/officeDocument/2006/relationships" r:embed="rId81"/>
                                  <a:stretch>
                                    <a:fillRect/>
                                  </a:stretch>
                                </pic:blipFill>
                                <pic:spPr>
                                  <a:xfrm>
                                    <a:off x="0" y="0"/>
                                    <a:ext cx="123884" cy="117985"/>
                                  </a:xfrm>
                                  <a:prstGeom prst="rect">
                                    <a:avLst/>
                                  </a:prstGeom>
                                  <a:ln>
                                    <a:solidFill>
                                      <a:schemeClr val="bg1">
                                        <a:lumMod val="75000"/>
                                      </a:schemeClr>
                                    </a:solidFill>
                                  </a:ln>
                                </pic:spPr>
                              </pic:pic>
                            </a:graphicData>
                          </a:graphic>
                        </wp:inline>
                      </w:drawing>
                      <w:r>
                        <w:rPr>
                          <w:rFonts w:ascii="Candara" w:hAnsi="Candara"/>
                          <w:sz w:val="18"/>
                          <w:szCs w:val="18"/>
                        </w:rPr>
                        <w:t xml:space="preserve"> </w:t>
                      </w:r>
                      <w:r w:rsidRPr="00BD4C4B">
                        <w:rPr>
                          <w:rFonts w:ascii="Candara" w:hAnsi="Candara"/>
                          <w:sz w:val="18"/>
                          <w:szCs w:val="18"/>
                        </w:rPr>
                        <w:t xml:space="preserve">- programmas ieviešanas nosacījumi </w:t>
                      </w:r>
                      <w:r>
                        <w:rPr>
                          <w:rFonts w:ascii="Candara" w:hAnsi="Candara"/>
                          <w:sz w:val="18"/>
                          <w:szCs w:val="18"/>
                        </w:rPr>
                        <w:t xml:space="preserve">izstrādi, norisinās </w:t>
                      </w:r>
                      <w:r w:rsidRPr="00BD4C4B">
                        <w:rPr>
                          <w:rFonts w:ascii="Candara" w:hAnsi="Candara"/>
                          <w:sz w:val="18"/>
                          <w:szCs w:val="18"/>
                        </w:rPr>
                        <w:t xml:space="preserve"> </w:t>
                      </w:r>
                      <w:r>
                        <w:rPr>
                          <w:rFonts w:ascii="Candara" w:hAnsi="Candara"/>
                          <w:sz w:val="18"/>
                          <w:szCs w:val="18"/>
                        </w:rPr>
                        <w:t>atlases dokumentācijas sagatavošana</w:t>
                      </w:r>
                    </w:p>
                  </w:txbxContent>
                </v:textbox>
              </v:roundrect>
            </w:pict>
          </mc:Fallback>
        </mc:AlternateContent>
      </w:r>
      <w:r w:rsidR="006A6349">
        <w:rPr>
          <w:rFonts w:ascii="Arial Narrow" w:eastAsia="Times New Roman" w:hAnsi="Arial Narrow" w:cs="Times New Roman"/>
          <w:spacing w:val="-6"/>
          <w:lang w:bidi="lo-LA"/>
        </w:rPr>
        <w:t>2016</w:t>
      </w:r>
    </w:p>
    <w:p w:rsidR="006A6349" w:rsidP="006A6349" w14:paraId="33FDA9E0" w14:textId="23ACFDD4">
      <w:pPr>
        <w:spacing w:after="0"/>
        <w:ind w:left="567"/>
        <w:rPr>
          <w:rFonts w:ascii="Arial Narrow" w:eastAsia="Times New Roman" w:hAnsi="Arial Narrow" w:cs="Times New Roman"/>
          <w:spacing w:val="-6"/>
          <w:lang w:bidi="lo-LA"/>
        </w:rPr>
      </w:pPr>
    </w:p>
    <w:p w:rsidR="006A6349" w:rsidP="006A6349" w14:paraId="256AC32E" w14:textId="79BED0D8">
      <w:pPr>
        <w:spacing w:after="0"/>
        <w:ind w:left="567"/>
        <w:rPr>
          <w:rFonts w:ascii="Arial Narrow" w:eastAsia="Times New Roman" w:hAnsi="Arial Narrow" w:cs="Times New Roman"/>
          <w:spacing w:val="-6"/>
          <w:lang w:bidi="lo-LA"/>
        </w:rPr>
      </w:pPr>
    </w:p>
    <w:p w:rsidR="006A6349" w:rsidP="006A6349" w14:paraId="0BCE7629" w14:textId="16B80CC9">
      <w:pPr>
        <w:spacing w:after="0"/>
        <w:ind w:left="567"/>
        <w:rPr>
          <w:rFonts w:ascii="Arial Narrow" w:eastAsia="Times New Roman" w:hAnsi="Arial Narrow" w:cs="Times New Roman"/>
          <w:spacing w:val="-6"/>
          <w:lang w:bidi="lo-LA"/>
        </w:rPr>
      </w:pPr>
    </w:p>
    <w:p w:rsidR="006A6349" w:rsidP="006A6349" w14:paraId="0A97AA16" w14:textId="403B4F7E">
      <w:pPr>
        <w:spacing w:after="0"/>
        <w:ind w:left="567"/>
        <w:rPr>
          <w:rFonts w:ascii="Arial Narrow" w:eastAsia="Times New Roman" w:hAnsi="Arial Narrow" w:cs="Times New Roman"/>
          <w:spacing w:val="-6"/>
          <w:lang w:bidi="lo-LA"/>
        </w:rPr>
      </w:pPr>
    </w:p>
    <w:p w:rsidR="006A6349" w:rsidP="006A6349" w14:paraId="7764C164" w14:textId="09DEAA4E">
      <w:pPr>
        <w:spacing w:after="0"/>
        <w:ind w:left="567"/>
        <w:rPr>
          <w:rFonts w:ascii="Arial Narrow" w:eastAsia="Times New Roman" w:hAnsi="Arial Narrow" w:cs="Times New Roman"/>
          <w:spacing w:val="-6"/>
          <w:lang w:bidi="lo-LA"/>
        </w:rPr>
      </w:pPr>
    </w:p>
    <w:p w:rsidR="006A6349" w:rsidP="006A6349" w14:paraId="6F5C0A64" w14:textId="36AE61E4">
      <w:pPr>
        <w:spacing w:after="0"/>
        <w:ind w:left="567"/>
        <w:rPr>
          <w:rFonts w:ascii="Arial Narrow" w:eastAsia="Times New Roman" w:hAnsi="Arial Narrow" w:cs="Times New Roman"/>
          <w:spacing w:val="-6"/>
          <w:lang w:bidi="lo-LA"/>
        </w:rPr>
      </w:pPr>
    </w:p>
    <w:p w:rsidR="00641B69" w:rsidP="006A6349" w14:paraId="3907A247" w14:textId="77777777">
      <w:pPr>
        <w:spacing w:after="0"/>
        <w:ind w:left="567"/>
        <w:rPr>
          <w:rFonts w:ascii="Arial Narrow" w:eastAsia="Times New Roman" w:hAnsi="Arial Narrow" w:cs="Times New Roman"/>
          <w:spacing w:val="-6"/>
          <w:lang w:bidi="lo-LA"/>
        </w:rPr>
      </w:pPr>
    </w:p>
    <w:p w:rsidR="006A6349" w:rsidP="006A6349" w14:paraId="74E952AF" w14:textId="77777777">
      <w:pPr>
        <w:spacing w:after="0"/>
        <w:ind w:left="567"/>
        <w:rPr>
          <w:rFonts w:ascii="Arial Narrow" w:eastAsia="Times New Roman" w:hAnsi="Arial Narrow" w:cs="Times New Roman"/>
          <w:spacing w:val="-6"/>
          <w:lang w:bidi="lo-LA"/>
        </w:rPr>
      </w:pPr>
    </w:p>
    <w:p w:rsidR="006A6349" w:rsidP="006A6349" w14:paraId="3615FC0F" w14:textId="1AC9F964">
      <w:pPr>
        <w:spacing w:after="0"/>
        <w:ind w:left="567"/>
        <w:rPr>
          <w:rFonts w:ascii="Arial Narrow" w:eastAsia="Times New Roman" w:hAnsi="Arial Narrow" w:cs="Times New Roman"/>
          <w:spacing w:val="-6"/>
          <w:lang w:bidi="lo-LA"/>
        </w:rPr>
      </w:pPr>
    </w:p>
    <w:p w:rsidR="00641B69" w:rsidP="006A6349" w14:paraId="0473A84A" w14:textId="77777777">
      <w:pPr>
        <w:spacing w:after="0"/>
        <w:ind w:left="2410"/>
        <w:rPr>
          <w:rFonts w:ascii="Arial Narrow" w:eastAsia="Times New Roman" w:hAnsi="Arial Narrow" w:cs="Times New Roman"/>
          <w:spacing w:val="-6"/>
          <w:lang w:bidi="lo-LA"/>
        </w:rPr>
      </w:pPr>
    </w:p>
    <w:p w:rsidR="006A6349" w:rsidP="00641B69" w14:paraId="640BD461" w14:textId="77777777">
      <w:pPr>
        <w:spacing w:after="0"/>
        <w:ind w:left="1985"/>
        <w:rPr>
          <w:rFonts w:ascii="Arial Narrow" w:eastAsia="Times New Roman" w:hAnsi="Arial Narrow" w:cs="Times New Roman"/>
          <w:spacing w:val="-6"/>
          <w:lang w:bidi="lo-LA"/>
        </w:rPr>
      </w:pPr>
      <w:r>
        <w:rPr>
          <w:rFonts w:ascii="Arial Narrow" w:eastAsia="Times New Roman" w:hAnsi="Arial Narrow" w:cs="Times New Roman"/>
          <w:spacing w:val="-6"/>
          <w:lang w:bidi="lo-LA"/>
        </w:rPr>
        <w:t>2015</w:t>
      </w:r>
    </w:p>
    <w:p w:rsidR="00BD4C4B" w:rsidP="006A6349" w14:paraId="34DF819A" w14:textId="77777777">
      <w:pPr>
        <w:spacing w:after="0"/>
        <w:ind w:left="567"/>
        <w:rPr>
          <w:rFonts w:ascii="Arial Narrow" w:eastAsia="Times New Roman" w:hAnsi="Arial Narrow" w:cs="Times New Roman"/>
          <w:spacing w:val="-6"/>
          <w:sz w:val="6"/>
          <w:lang w:bidi="lo-LA"/>
        </w:rPr>
      </w:pPr>
    </w:p>
    <w:p w:rsidR="00BD4C4B" w:rsidP="00BD4C4B" w14:paraId="7D7BCE27" w14:textId="77777777">
      <w:pPr>
        <w:rPr>
          <w:rFonts w:ascii="Arial Narrow" w:eastAsia="Times New Roman" w:hAnsi="Arial Narrow" w:cs="Times New Roman"/>
          <w:sz w:val="6"/>
          <w:lang w:bidi="lo-LA"/>
        </w:rPr>
      </w:pPr>
    </w:p>
    <w:p w:rsidR="00BD4C4B" w:rsidRPr="00BD4C4B" w:rsidP="00BD4C4B" w14:paraId="11A0ACE0" w14:textId="77777777">
      <w:pPr>
        <w:rPr>
          <w:rFonts w:ascii="Arial Narrow" w:eastAsia="Times New Roman" w:hAnsi="Arial Narrow" w:cs="Times New Roman"/>
          <w:sz w:val="6"/>
          <w:lang w:bidi="lo-LA"/>
        </w:rPr>
      </w:pPr>
    </w:p>
    <w:p w:rsidR="00BD4C4B" w:rsidP="00BD4C4B" w14:paraId="5C14C6D8" w14:textId="77777777">
      <w:pPr>
        <w:rPr>
          <w:rFonts w:ascii="Arial Narrow" w:eastAsia="Times New Roman" w:hAnsi="Arial Narrow" w:cs="Times New Roman"/>
          <w:sz w:val="6"/>
          <w:lang w:bidi="lo-LA"/>
        </w:rPr>
      </w:pPr>
    </w:p>
    <w:p w:rsidR="006A6349" w:rsidRPr="00BD4C4B" w:rsidP="00BD4C4B" w14:paraId="241D3286" w14:textId="77777777">
      <w:pPr>
        <w:rPr>
          <w:rFonts w:ascii="Arial Narrow" w:eastAsia="Times New Roman" w:hAnsi="Arial Narrow" w:cs="Times New Roman"/>
          <w:sz w:val="6"/>
          <w:lang w:bidi="lo-LA"/>
        </w:rPr>
        <w:sectPr w:rsidSect="00901832">
          <w:headerReference w:type="default" r:id="rId82"/>
          <w:footerReference w:type="even" r:id="rId83"/>
          <w:footerReference w:type="default" r:id="rId84"/>
          <w:footerReference w:type="first" r:id="rId85"/>
          <w:pgSz w:w="11906" w:h="16838"/>
          <w:pgMar w:top="1134" w:right="849" w:bottom="1134" w:left="1134" w:header="425" w:footer="193" w:gutter="0"/>
          <w:pgNumType w:start="21"/>
          <w:cols w:space="708"/>
          <w:titlePg/>
          <w:docGrid w:linePitch="360"/>
        </w:sectPr>
      </w:pPr>
    </w:p>
    <w:p w:rsidR="00707901" w:rsidRPr="00AD7866" w:rsidP="00707901" w14:paraId="0F28014B" w14:textId="77777777">
      <w:pPr>
        <w:snapToGrid w:val="0"/>
        <w:spacing w:after="120" w:line="240" w:lineRule="auto"/>
        <w:jc w:val="center"/>
        <w:rPr>
          <w:rFonts w:ascii="Candara" w:eastAsia="SimSun" w:hAnsi="Candara" w:cs="Times New Roman"/>
          <w:b/>
          <w:iCs/>
          <w:sz w:val="24"/>
          <w:szCs w:val="24"/>
          <w:lang w:eastAsia="zh-CN" w:bidi="lo-LA"/>
        </w:rPr>
      </w:pPr>
      <w:r>
        <w:rPr>
          <w:rFonts w:ascii="Candara" w:eastAsia="SimSun" w:hAnsi="Candara" w:cs="Times New Roman"/>
          <w:b/>
          <w:iCs/>
          <w:sz w:val="24"/>
          <w:szCs w:val="24"/>
          <w:lang w:eastAsia="zh-CN" w:bidi="lo-LA"/>
        </w:rPr>
        <w:t>3</w:t>
      </w:r>
      <w:r w:rsidR="00A65B70">
        <w:rPr>
          <w:rFonts w:ascii="Candara" w:eastAsia="SimSun" w:hAnsi="Candara" w:cs="Times New Roman"/>
          <w:b/>
          <w:iCs/>
          <w:sz w:val="24"/>
          <w:szCs w:val="24"/>
          <w:lang w:eastAsia="zh-CN" w:bidi="lo-LA"/>
        </w:rPr>
        <w:t>9</w:t>
      </w:r>
      <w:r w:rsidR="00E5585A">
        <w:rPr>
          <w:rFonts w:ascii="Candara" w:eastAsia="SimSun" w:hAnsi="Candara" w:cs="Times New Roman"/>
          <w:b/>
          <w:iCs/>
          <w:sz w:val="24"/>
          <w:szCs w:val="24"/>
          <w:lang w:eastAsia="zh-CN" w:bidi="lo-LA"/>
        </w:rPr>
        <w:t xml:space="preserve">.attēls. </w:t>
      </w:r>
      <w:r w:rsidRPr="00AD7866">
        <w:rPr>
          <w:rFonts w:ascii="Candara" w:eastAsia="SimSun" w:hAnsi="Candara" w:cs="Times New Roman"/>
          <w:b/>
          <w:iCs/>
          <w:sz w:val="24"/>
          <w:szCs w:val="24"/>
          <w:lang w:eastAsia="zh-CN" w:bidi="lo-LA"/>
        </w:rPr>
        <w:t>RIS3 mikro līmeņa rādītāji</w:t>
      </w:r>
    </w:p>
    <w:tbl>
      <w:tblPr>
        <w:tblW w:w="139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58"/>
        <w:gridCol w:w="946"/>
        <w:gridCol w:w="2384"/>
        <w:gridCol w:w="5700"/>
        <w:gridCol w:w="3060"/>
      </w:tblGrid>
      <w:tr w14:paraId="68537F57" w14:textId="77777777" w:rsidTr="008501CD">
        <w:tblPrEx>
          <w:tblW w:w="139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60"/>
        </w:trPr>
        <w:tc>
          <w:tcPr>
            <w:tcW w:w="1858" w:type="dxa"/>
            <w:vMerge w:val="restart"/>
            <w:shd w:val="clear" w:color="auto" w:fill="6D1D6B" w:themeFill="accent1" w:themeFillShade="BF"/>
            <w:vAlign w:val="center"/>
          </w:tcPr>
          <w:p w:rsidR="008501CD" w:rsidP="008501CD" w14:paraId="0CC66015" w14:textId="77777777">
            <w:pPr>
              <w:spacing w:after="0" w:line="240" w:lineRule="auto"/>
              <w:jc w:val="center"/>
              <w:rPr>
                <w:rFonts w:ascii="Candara" w:eastAsia="Candara" w:hAnsi="Candara" w:cs="Candara"/>
                <w:b/>
                <w:color w:val="FFFFFF"/>
                <w:sz w:val="20"/>
                <w:szCs w:val="20"/>
              </w:rPr>
            </w:pPr>
            <w:r>
              <w:rPr>
                <w:rFonts w:ascii="Candara" w:eastAsia="Candara" w:hAnsi="Candara" w:cs="Candara"/>
                <w:b/>
                <w:color w:val="FFFFFF"/>
                <w:sz w:val="20"/>
                <w:szCs w:val="20"/>
              </w:rPr>
              <w:t>RIS3 MIKRO LĪMEŅA RĀDĪTĀJI</w:t>
            </w:r>
          </w:p>
        </w:tc>
        <w:tc>
          <w:tcPr>
            <w:tcW w:w="12090" w:type="dxa"/>
            <w:gridSpan w:val="4"/>
            <w:shd w:val="clear" w:color="auto" w:fill="6D1D6B" w:themeFill="accent1" w:themeFillShade="BF"/>
            <w:vAlign w:val="center"/>
          </w:tcPr>
          <w:p w:rsidR="008501CD" w:rsidP="008501CD" w14:paraId="3160C432" w14:textId="77777777">
            <w:pPr>
              <w:spacing w:after="0" w:line="240" w:lineRule="auto"/>
              <w:jc w:val="center"/>
              <w:rPr>
                <w:rFonts w:ascii="Candara" w:eastAsia="Candara" w:hAnsi="Candara" w:cs="Candara"/>
                <w:b/>
                <w:color w:val="FFFFFF"/>
                <w:sz w:val="20"/>
                <w:szCs w:val="20"/>
              </w:rPr>
            </w:pPr>
            <w:r>
              <w:rPr>
                <w:rFonts w:ascii="Candara" w:eastAsia="Candara" w:hAnsi="Candara" w:cs="Candara"/>
                <w:b/>
                <w:color w:val="FFFFFF"/>
                <w:sz w:val="20"/>
                <w:szCs w:val="20"/>
              </w:rPr>
              <w:t>Programmas, kas sniedz ieguldījumu rādītāja sasniegšanā</w:t>
            </w:r>
          </w:p>
        </w:tc>
      </w:tr>
      <w:tr w14:paraId="058EAA3E" w14:textId="77777777" w:rsidTr="00324F94">
        <w:tblPrEx>
          <w:tblW w:w="13948" w:type="dxa"/>
          <w:tblInd w:w="-115" w:type="dxa"/>
          <w:tblLayout w:type="fixed"/>
          <w:tblLook w:val="0400"/>
        </w:tblPrEx>
        <w:trPr>
          <w:trHeight w:val="820"/>
        </w:trPr>
        <w:tc>
          <w:tcPr>
            <w:tcW w:w="1858" w:type="dxa"/>
            <w:vMerge/>
            <w:shd w:val="clear" w:color="auto" w:fill="6D1D6B" w:themeFill="accent1" w:themeFillShade="BF"/>
            <w:vAlign w:val="center"/>
          </w:tcPr>
          <w:p w:rsidR="008501CD" w:rsidP="008501CD" w14:paraId="664909E4" w14:textId="77777777">
            <w:pPr>
              <w:spacing w:after="0" w:line="240" w:lineRule="auto"/>
              <w:jc w:val="both"/>
              <w:rPr>
                <w:rFonts w:ascii="Candara" w:eastAsia="Candara" w:hAnsi="Candara" w:cs="Candara"/>
                <w:i/>
                <w:color w:val="FFFFFF"/>
                <w:sz w:val="20"/>
                <w:szCs w:val="20"/>
              </w:rPr>
            </w:pPr>
          </w:p>
        </w:tc>
        <w:tc>
          <w:tcPr>
            <w:tcW w:w="946" w:type="dxa"/>
            <w:shd w:val="clear" w:color="auto" w:fill="6D1D6B" w:themeFill="accent1" w:themeFillShade="BF"/>
            <w:vAlign w:val="center"/>
          </w:tcPr>
          <w:p w:rsidR="008501CD" w:rsidP="008501CD" w14:paraId="1B0D4F24" w14:textId="77777777">
            <w:pPr>
              <w:spacing w:after="0" w:line="240" w:lineRule="auto"/>
              <w:jc w:val="center"/>
              <w:rPr>
                <w:rFonts w:ascii="Candara" w:eastAsia="Candara" w:hAnsi="Candara" w:cs="Candara"/>
                <w:color w:val="FFFFFF"/>
                <w:sz w:val="20"/>
                <w:szCs w:val="20"/>
              </w:rPr>
            </w:pPr>
            <w:r>
              <w:rPr>
                <w:rFonts w:ascii="Candara" w:eastAsia="Candara" w:hAnsi="Candara" w:cs="Candara"/>
                <w:color w:val="FFFFFF"/>
                <w:sz w:val="20"/>
                <w:szCs w:val="20"/>
              </w:rPr>
              <w:t>Finansēšanas avots </w:t>
            </w:r>
          </w:p>
        </w:tc>
        <w:tc>
          <w:tcPr>
            <w:tcW w:w="2384" w:type="dxa"/>
            <w:shd w:val="clear" w:color="auto" w:fill="6D1D6B" w:themeFill="accent1" w:themeFillShade="BF"/>
            <w:vAlign w:val="center"/>
          </w:tcPr>
          <w:p w:rsidR="008501CD" w:rsidP="008501CD" w14:paraId="68A1CD5A" w14:textId="77777777">
            <w:pPr>
              <w:spacing w:after="0" w:line="240" w:lineRule="auto"/>
              <w:jc w:val="center"/>
              <w:rPr>
                <w:rFonts w:ascii="Candara" w:eastAsia="Candara" w:hAnsi="Candara" w:cs="Candara"/>
                <w:color w:val="FFFFFF"/>
                <w:sz w:val="20"/>
                <w:szCs w:val="20"/>
              </w:rPr>
            </w:pPr>
            <w:r>
              <w:rPr>
                <w:rFonts w:ascii="Candara" w:eastAsia="Candara" w:hAnsi="Candara" w:cs="Candara"/>
                <w:color w:val="FFFFFF"/>
                <w:sz w:val="20"/>
                <w:szCs w:val="20"/>
              </w:rPr>
              <w:t>RIS3 programma</w:t>
            </w:r>
          </w:p>
        </w:tc>
        <w:tc>
          <w:tcPr>
            <w:tcW w:w="5700" w:type="dxa"/>
            <w:shd w:val="clear" w:color="auto" w:fill="6D1D6B" w:themeFill="accent1" w:themeFillShade="BF"/>
            <w:vAlign w:val="center"/>
          </w:tcPr>
          <w:p w:rsidR="008501CD" w:rsidP="008501CD" w14:paraId="224FD528" w14:textId="77777777">
            <w:pPr>
              <w:spacing w:after="0" w:line="240" w:lineRule="auto"/>
              <w:jc w:val="center"/>
              <w:rPr>
                <w:rFonts w:ascii="Candara" w:eastAsia="Candara" w:hAnsi="Candara" w:cs="Candara"/>
                <w:color w:val="FFFFFF"/>
                <w:sz w:val="20"/>
                <w:szCs w:val="20"/>
              </w:rPr>
            </w:pPr>
            <w:r>
              <w:rPr>
                <w:rFonts w:ascii="Candara" w:eastAsia="Candara" w:hAnsi="Candara" w:cs="Candara"/>
                <w:color w:val="FFFFFF"/>
                <w:sz w:val="20"/>
                <w:szCs w:val="20"/>
              </w:rPr>
              <w:t>Programmas ieviešanas nosacījumos iestrādātie stimuli virzības uz rādītāja sasniegšanu sekmēšanai</w:t>
            </w:r>
          </w:p>
        </w:tc>
        <w:tc>
          <w:tcPr>
            <w:tcW w:w="3060" w:type="dxa"/>
            <w:shd w:val="clear" w:color="auto" w:fill="6D1D6B" w:themeFill="accent1" w:themeFillShade="BF"/>
            <w:vAlign w:val="center"/>
          </w:tcPr>
          <w:p w:rsidR="008501CD" w:rsidP="008501CD" w14:paraId="6BB122BD" w14:textId="77777777">
            <w:pPr>
              <w:spacing w:after="0" w:line="240" w:lineRule="auto"/>
              <w:jc w:val="center"/>
              <w:rPr>
                <w:rFonts w:ascii="Candara" w:eastAsia="Candara" w:hAnsi="Candara" w:cs="Candara"/>
                <w:color w:val="FFFFFF"/>
                <w:sz w:val="20"/>
                <w:szCs w:val="20"/>
              </w:rPr>
            </w:pPr>
            <w:r>
              <w:rPr>
                <w:rFonts w:ascii="Candara" w:eastAsia="Candara" w:hAnsi="Candara" w:cs="Candara"/>
                <w:color w:val="FFFFFF"/>
                <w:sz w:val="20"/>
                <w:szCs w:val="20"/>
              </w:rPr>
              <w:t>Sasniegtie rezultāti/ uzņemtās saistības</w:t>
            </w:r>
          </w:p>
        </w:tc>
      </w:tr>
      <w:tr w14:paraId="6AF7864F" w14:textId="77777777" w:rsidTr="00324F94">
        <w:tblPrEx>
          <w:tblW w:w="13948" w:type="dxa"/>
          <w:tblInd w:w="-115" w:type="dxa"/>
          <w:tblLayout w:type="fixed"/>
          <w:tblLook w:val="0400"/>
        </w:tblPrEx>
        <w:trPr>
          <w:trHeight w:val="1120"/>
        </w:trPr>
        <w:tc>
          <w:tcPr>
            <w:tcW w:w="1858" w:type="dxa"/>
            <w:vMerge w:val="restart"/>
            <w:shd w:val="clear" w:color="auto" w:fill="FFFFFF"/>
            <w:vAlign w:val="center"/>
          </w:tcPr>
          <w:p w:rsidR="00172CA8" w:rsidP="008501CD" w14:paraId="4D25D07C"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Zinātnisko institūciju licenču/ patentu ieņēmumi (EUR)</w:t>
            </w:r>
          </w:p>
        </w:tc>
        <w:tc>
          <w:tcPr>
            <w:tcW w:w="946" w:type="dxa"/>
            <w:vMerge w:val="restart"/>
            <w:shd w:val="clear" w:color="auto" w:fill="FFFFFF"/>
            <w:vAlign w:val="center"/>
          </w:tcPr>
          <w:p w:rsidR="00172CA8" w:rsidP="008501CD" w14:paraId="3EBBF538"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p w:rsidR="00172CA8" w:rsidP="008501CD" w14:paraId="4BBB4CD2" w14:textId="77777777">
            <w:pPr>
              <w:spacing w:after="0" w:line="240" w:lineRule="auto"/>
              <w:rPr>
                <w:rFonts w:ascii="Candara" w:eastAsia="Candara" w:hAnsi="Candara" w:cs="Candara"/>
                <w:sz w:val="18"/>
                <w:szCs w:val="18"/>
              </w:rPr>
            </w:pPr>
          </w:p>
          <w:p w:rsidR="00172CA8" w:rsidP="008501CD" w14:paraId="6B7EE835" w14:textId="77777777">
            <w:pPr>
              <w:spacing w:after="0" w:line="240" w:lineRule="auto"/>
              <w:rPr>
                <w:rFonts w:ascii="Candara" w:eastAsia="Candara" w:hAnsi="Candara" w:cs="Candara"/>
                <w:sz w:val="18"/>
                <w:szCs w:val="18"/>
              </w:rPr>
            </w:pPr>
          </w:p>
          <w:p w:rsidR="00172CA8" w:rsidP="008501CD" w14:paraId="7E9F23E0"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3A30347F" w14:textId="77777777">
            <w:pPr>
              <w:spacing w:after="0" w:line="240" w:lineRule="auto"/>
              <w:rPr>
                <w:rFonts w:ascii="Candara" w:eastAsia="Candara" w:hAnsi="Candara" w:cs="Candara"/>
                <w:sz w:val="18"/>
                <w:szCs w:val="18"/>
              </w:rPr>
            </w:pPr>
            <w:r>
              <w:rPr>
                <w:rFonts w:ascii="Candara" w:eastAsia="Candara" w:hAnsi="Candara" w:cs="Candara"/>
                <w:sz w:val="18"/>
                <w:szCs w:val="18"/>
              </w:rPr>
              <w:t>Praktiskie pētījumi (1111), Post-dok (1112); S</w:t>
            </w:r>
            <w:r w:rsidR="00E8014E">
              <w:rPr>
                <w:rFonts w:ascii="Candara" w:eastAsia="Candara" w:hAnsi="Candara" w:cs="Candara"/>
                <w:sz w:val="18"/>
                <w:szCs w:val="18"/>
              </w:rPr>
              <w:t>tarpt. sadarbība zinātnē (1115)</w:t>
            </w:r>
          </w:p>
        </w:tc>
        <w:tc>
          <w:tcPr>
            <w:tcW w:w="5700" w:type="dxa"/>
            <w:shd w:val="clear" w:color="auto" w:fill="FFFFFF"/>
            <w:vAlign w:val="center"/>
          </w:tcPr>
          <w:p w:rsidR="00172CA8" w:rsidP="00860A6B" w14:paraId="665ACA2B" w14:textId="77777777">
            <w:pPr>
              <w:spacing w:after="0" w:line="240" w:lineRule="auto"/>
              <w:rPr>
                <w:rFonts w:ascii="Candara" w:eastAsia="Candara" w:hAnsi="Candara" w:cs="Candara"/>
                <w:sz w:val="18"/>
                <w:szCs w:val="18"/>
              </w:rPr>
            </w:pPr>
            <w:r>
              <w:rPr>
                <w:rFonts w:ascii="Candara" w:eastAsia="Candara" w:hAnsi="Candara" w:cs="Candara"/>
                <w:sz w:val="18"/>
                <w:szCs w:val="18"/>
              </w:rPr>
              <w:t>- vērtēšanas nosacījumi paredz vērtēt pētījuma projekta ekonomisko un sociālo ietekmi, tai skaitā vērtējot pētījuma rezultātu zināšanu un tehnoloģiju pārnesi;</w:t>
            </w:r>
            <w:r>
              <w:rPr>
                <w:rFonts w:ascii="Candara" w:eastAsia="Candara" w:hAnsi="Candara" w:cs="Candara"/>
                <w:sz w:val="18"/>
                <w:szCs w:val="18"/>
              </w:rPr>
              <w:br/>
              <w:t>- programmu ieviešanas nosacījumi paredz atbalstu tehnoloģiju tiesību aizsardzībai.</w:t>
            </w:r>
          </w:p>
        </w:tc>
        <w:tc>
          <w:tcPr>
            <w:tcW w:w="3060" w:type="dxa"/>
            <w:shd w:val="clear" w:color="auto" w:fill="FFFFFF"/>
            <w:vAlign w:val="center"/>
          </w:tcPr>
          <w:p w:rsidR="00172CA8" w:rsidP="00860A6B" w14:paraId="440AD240" w14:textId="77777777">
            <w:pPr>
              <w:spacing w:after="0" w:line="240" w:lineRule="auto"/>
              <w:jc w:val="both"/>
              <w:rPr>
                <w:rFonts w:ascii="Candara" w:eastAsia="Candara" w:hAnsi="Candara" w:cs="Candara"/>
                <w:b/>
                <w:sz w:val="18"/>
                <w:szCs w:val="18"/>
              </w:rPr>
            </w:pPr>
            <w:r>
              <w:rPr>
                <w:rFonts w:ascii="Candara" w:eastAsia="Candara" w:hAnsi="Candara" w:cs="Candara"/>
                <w:b/>
                <w:sz w:val="18"/>
                <w:szCs w:val="18"/>
              </w:rPr>
              <w:t>Praktiskie pētījum</w:t>
            </w:r>
            <w:r>
              <w:rPr>
                <w:rFonts w:ascii="Candara" w:eastAsia="Candara" w:hAnsi="Candara" w:cs="Candara"/>
                <w:sz w:val="18"/>
                <w:szCs w:val="18"/>
              </w:rPr>
              <w:t xml:space="preserve">i (1111) </w:t>
            </w:r>
            <w:r>
              <w:rPr>
                <w:rFonts w:ascii="Candara" w:eastAsia="Candara" w:hAnsi="Candara" w:cs="Candara"/>
                <w:b/>
                <w:sz w:val="18"/>
                <w:szCs w:val="18"/>
              </w:rPr>
              <w:t xml:space="preserve">- </w:t>
            </w:r>
            <w:r w:rsidR="00827F74">
              <w:rPr>
                <w:rFonts w:ascii="Candara" w:eastAsia="Candara" w:hAnsi="Candara" w:cs="Candara"/>
                <w:b/>
                <w:sz w:val="18"/>
                <w:szCs w:val="18"/>
              </w:rPr>
              <w:t>160</w:t>
            </w:r>
          </w:p>
          <w:p w:rsidR="00172CA8" w:rsidP="00860A6B" w14:paraId="6E30BA0A" w14:textId="47258CF3">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2017.g. II ceturksnī noslēgti līgumi par </w:t>
            </w:r>
            <w:r w:rsidR="00BF4CEA">
              <w:rPr>
                <w:rFonts w:ascii="Candara" w:eastAsia="Candara" w:hAnsi="Candara" w:cs="Candara"/>
                <w:sz w:val="18"/>
                <w:szCs w:val="18"/>
              </w:rPr>
              <w:t xml:space="preserve">74 </w:t>
            </w:r>
            <w:r>
              <w:rPr>
                <w:rFonts w:ascii="Candara" w:eastAsia="Candara" w:hAnsi="Candara" w:cs="Candara"/>
                <w:sz w:val="18"/>
                <w:szCs w:val="18"/>
              </w:rPr>
              <w:t>pētniecības projektu īstenošan</w:t>
            </w:r>
            <w:r w:rsidR="00827F74">
              <w:rPr>
                <w:rFonts w:ascii="Candara" w:eastAsia="Candara" w:hAnsi="Candara" w:cs="Candara"/>
                <w:sz w:val="18"/>
                <w:szCs w:val="18"/>
              </w:rPr>
              <w:t>u (kopējais publiskais fin. 39,</w:t>
            </w:r>
            <w:r w:rsidR="00BF4CEA">
              <w:rPr>
                <w:rFonts w:ascii="Candara" w:eastAsia="Candara" w:hAnsi="Candara" w:cs="Candara"/>
                <w:sz w:val="18"/>
                <w:szCs w:val="18"/>
              </w:rPr>
              <w:t xml:space="preserve">77 </w:t>
            </w:r>
            <w:r>
              <w:rPr>
                <w:rFonts w:ascii="Candara" w:eastAsia="Candara" w:hAnsi="Candara" w:cs="Candara"/>
                <w:sz w:val="18"/>
                <w:szCs w:val="18"/>
              </w:rPr>
              <w:t xml:space="preserve">MEUR), kuru ietvaros plānots izstrādāt </w:t>
            </w:r>
            <w:r w:rsidR="00565822">
              <w:rPr>
                <w:rFonts w:ascii="Candara" w:eastAsia="Candara" w:hAnsi="Candara" w:cs="Candara"/>
                <w:b/>
                <w:sz w:val="18"/>
                <w:szCs w:val="18"/>
              </w:rPr>
              <w:t>35 </w:t>
            </w:r>
            <w:r>
              <w:rPr>
                <w:rFonts w:ascii="Candara" w:eastAsia="Candara" w:hAnsi="Candara" w:cs="Candara"/>
                <w:b/>
                <w:sz w:val="18"/>
                <w:szCs w:val="18"/>
              </w:rPr>
              <w:t>patentus</w:t>
            </w:r>
            <w:r w:rsidR="00827F74">
              <w:rPr>
                <w:rFonts w:ascii="Candara" w:eastAsia="Candara" w:hAnsi="Candara" w:cs="Candara"/>
                <w:sz w:val="18"/>
                <w:szCs w:val="18"/>
              </w:rPr>
              <w:t xml:space="preserve">, </w:t>
            </w:r>
            <w:r>
              <w:rPr>
                <w:rFonts w:ascii="Candara" w:eastAsia="Candara" w:hAnsi="Candara" w:cs="Candara"/>
                <w:sz w:val="18"/>
                <w:szCs w:val="18"/>
              </w:rPr>
              <w:t>kā arī 26 citus licencējamus nemateriālos aktīvus</w:t>
            </w:r>
            <w:r w:rsidR="006D1D87">
              <w:rPr>
                <w:rFonts w:ascii="Candara" w:eastAsia="Candara" w:hAnsi="Candara" w:cs="Candara"/>
                <w:sz w:val="18"/>
                <w:szCs w:val="18"/>
              </w:rPr>
              <w:t xml:space="preserve"> un </w:t>
            </w:r>
            <w:r w:rsidR="00827F74">
              <w:rPr>
                <w:rFonts w:ascii="Candara" w:eastAsia="Candara" w:hAnsi="Candara" w:cs="Candara"/>
                <w:sz w:val="18"/>
                <w:szCs w:val="18"/>
              </w:rPr>
              <w:t>99</w:t>
            </w:r>
            <w:r w:rsidR="006D1D87">
              <w:rPr>
                <w:rFonts w:ascii="Candara" w:eastAsia="Candara" w:hAnsi="Candara" w:cs="Candara"/>
                <w:sz w:val="18"/>
                <w:szCs w:val="18"/>
              </w:rPr>
              <w:t xml:space="preserve"> komercializējamus jaunu</w:t>
            </w:r>
            <w:r w:rsidR="00F21AD6">
              <w:rPr>
                <w:rFonts w:ascii="Candara" w:eastAsia="Candara" w:hAnsi="Candara" w:cs="Candara"/>
                <w:sz w:val="18"/>
                <w:szCs w:val="18"/>
              </w:rPr>
              <w:t>s</w:t>
            </w:r>
            <w:r w:rsidR="006D1D87">
              <w:rPr>
                <w:rFonts w:ascii="Candara" w:eastAsia="Candara" w:hAnsi="Candara" w:cs="Candara"/>
                <w:sz w:val="18"/>
                <w:szCs w:val="18"/>
              </w:rPr>
              <w:t xml:space="preserve"> produktu</w:t>
            </w:r>
            <w:r w:rsidR="00D9709D">
              <w:rPr>
                <w:rFonts w:ascii="Candara" w:eastAsia="Candara" w:hAnsi="Candara" w:cs="Candara"/>
                <w:sz w:val="18"/>
                <w:szCs w:val="18"/>
              </w:rPr>
              <w:t>s</w:t>
            </w:r>
            <w:r w:rsidR="006D1D87">
              <w:rPr>
                <w:rFonts w:ascii="Candara" w:eastAsia="Candara" w:hAnsi="Candara" w:cs="Candara"/>
                <w:sz w:val="18"/>
                <w:szCs w:val="18"/>
              </w:rPr>
              <w:t xml:space="preserve"> vai tehnoloģij</w:t>
            </w:r>
            <w:r w:rsidR="00D9709D">
              <w:rPr>
                <w:rFonts w:ascii="Candara" w:eastAsia="Candara" w:hAnsi="Candara" w:cs="Candara"/>
                <w:sz w:val="18"/>
                <w:szCs w:val="18"/>
              </w:rPr>
              <w:t>as</w:t>
            </w:r>
            <w:r>
              <w:rPr>
                <w:rFonts w:ascii="Candara" w:eastAsia="Candara" w:hAnsi="Candara" w:cs="Candara"/>
                <w:sz w:val="18"/>
                <w:szCs w:val="18"/>
              </w:rPr>
              <w:t>);</w:t>
            </w:r>
          </w:p>
          <w:p w:rsidR="00172CA8" w:rsidP="00860A6B" w14:paraId="5E5DF4D6" w14:textId="77777777">
            <w:pPr>
              <w:spacing w:after="0" w:line="240" w:lineRule="auto"/>
              <w:jc w:val="both"/>
              <w:rPr>
                <w:rFonts w:ascii="Candara" w:eastAsia="Candara" w:hAnsi="Candara" w:cs="Candara"/>
                <w:sz w:val="18"/>
                <w:szCs w:val="18"/>
              </w:rPr>
            </w:pPr>
          </w:p>
          <w:p w:rsidR="00172CA8" w:rsidP="00860A6B" w14:paraId="5586A276" w14:textId="04A2D282">
            <w:pPr>
              <w:spacing w:after="0" w:line="240" w:lineRule="auto"/>
              <w:jc w:val="both"/>
              <w:rPr>
                <w:rFonts w:ascii="Candara" w:eastAsia="Candara" w:hAnsi="Candara" w:cs="Candara"/>
                <w:b/>
                <w:sz w:val="18"/>
                <w:szCs w:val="18"/>
              </w:rPr>
            </w:pPr>
            <w:r>
              <w:rPr>
                <w:rFonts w:ascii="Candara" w:eastAsia="Candara" w:hAnsi="Candara" w:cs="Candara"/>
                <w:b/>
                <w:sz w:val="18"/>
                <w:szCs w:val="18"/>
              </w:rPr>
              <w:t xml:space="preserve">Post-dok (1112) - </w:t>
            </w:r>
            <w:r w:rsidR="00BC32B5">
              <w:rPr>
                <w:rFonts w:ascii="Candara" w:eastAsia="Candara" w:hAnsi="Candara" w:cs="Candara"/>
                <w:b/>
                <w:sz w:val="18"/>
                <w:szCs w:val="18"/>
              </w:rPr>
              <w:t>90</w:t>
            </w:r>
          </w:p>
          <w:p w:rsidR="00172CA8" w:rsidP="00F21AD6" w14:paraId="29137836" w14:textId="6B2A5656">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2017.g. IV ceturksnī noslēgti līgumi </w:t>
            </w:r>
            <w:r>
              <w:rPr>
                <w:rFonts w:ascii="Candara" w:eastAsia="Candara" w:hAnsi="Candara" w:cs="Candara"/>
                <w:sz w:val="18"/>
                <w:szCs w:val="18"/>
              </w:rPr>
              <w:t xml:space="preserve">par </w:t>
            </w:r>
            <w:r>
              <w:rPr>
                <w:rFonts w:ascii="Candara" w:eastAsia="Candara" w:hAnsi="Candara" w:cs="Candara"/>
                <w:sz w:val="18"/>
                <w:szCs w:val="18"/>
              </w:rPr>
              <w:t>124</w:t>
            </w:r>
            <w:r>
              <w:rPr>
                <w:rStyle w:val="FootnoteReference"/>
                <w:rFonts w:ascii="Candara" w:eastAsia="Candara" w:hAnsi="Candara" w:cs="Candara"/>
                <w:sz w:val="18"/>
                <w:szCs w:val="18"/>
              </w:rPr>
              <w:footnoteReference w:id="23"/>
            </w:r>
            <w:r w:rsidR="009C0F2D">
              <w:rPr>
                <w:rFonts w:ascii="Candara" w:eastAsia="Candara" w:hAnsi="Candara" w:cs="Candara"/>
                <w:sz w:val="18"/>
                <w:szCs w:val="18"/>
              </w:rPr>
              <w:t xml:space="preserve"> </w:t>
            </w:r>
            <w:r>
              <w:rPr>
                <w:rFonts w:ascii="Candara" w:eastAsia="Candara" w:hAnsi="Candara" w:cs="Candara"/>
                <w:sz w:val="18"/>
                <w:szCs w:val="18"/>
              </w:rPr>
              <w:t>pētniecības pieteikumu</w:t>
            </w:r>
            <w:r w:rsidR="009C0F2D">
              <w:rPr>
                <w:rFonts w:ascii="Candara" w:eastAsia="Candara" w:hAnsi="Candara" w:cs="Candara"/>
                <w:sz w:val="18"/>
                <w:szCs w:val="18"/>
              </w:rPr>
              <w:t xml:space="preserve"> </w:t>
            </w:r>
            <w:r>
              <w:rPr>
                <w:rFonts w:ascii="Candara" w:eastAsia="Candara" w:hAnsi="Candara" w:cs="Candara"/>
                <w:sz w:val="18"/>
                <w:szCs w:val="18"/>
              </w:rPr>
              <w:t>īstenošan</w:t>
            </w:r>
            <w:r>
              <w:rPr>
                <w:rFonts w:ascii="Candara" w:eastAsia="Candara" w:hAnsi="Candara" w:cs="Candara"/>
                <w:sz w:val="18"/>
                <w:szCs w:val="18"/>
              </w:rPr>
              <w:t>u</w:t>
            </w:r>
            <w:r>
              <w:rPr>
                <w:rFonts w:ascii="Candara" w:eastAsia="Candara" w:hAnsi="Candara" w:cs="Candara"/>
                <w:sz w:val="18"/>
                <w:szCs w:val="18"/>
              </w:rPr>
              <w:t xml:space="preserve"> (kopējais publiskais fin. </w:t>
            </w:r>
            <w:r>
              <w:rPr>
                <w:rFonts w:ascii="Candara" w:eastAsia="Candara" w:hAnsi="Candara" w:cs="Candara"/>
                <w:sz w:val="18"/>
                <w:szCs w:val="18"/>
              </w:rPr>
              <w:t>15,7</w:t>
            </w:r>
            <w:r w:rsidR="00827F74">
              <w:rPr>
                <w:rFonts w:ascii="Candara" w:eastAsia="Candara" w:hAnsi="Candara" w:cs="Candara"/>
                <w:sz w:val="18"/>
                <w:szCs w:val="18"/>
              </w:rPr>
              <w:t xml:space="preserve"> </w:t>
            </w:r>
            <w:r>
              <w:rPr>
                <w:rFonts w:ascii="Candara" w:eastAsia="Candara" w:hAnsi="Candara" w:cs="Candara"/>
                <w:sz w:val="18"/>
                <w:szCs w:val="18"/>
              </w:rPr>
              <w:t xml:space="preserve">MEUR), kuru ietvaros plānots izstrādāt </w:t>
            </w:r>
            <w:r w:rsidR="00565822">
              <w:rPr>
                <w:rFonts w:ascii="Candara" w:eastAsia="Candara" w:hAnsi="Candara" w:cs="Candara"/>
                <w:b/>
                <w:sz w:val="18"/>
                <w:szCs w:val="18"/>
              </w:rPr>
              <w:t>4 </w:t>
            </w:r>
            <w:r>
              <w:rPr>
                <w:rFonts w:ascii="Candara" w:eastAsia="Candara" w:hAnsi="Candara" w:cs="Candara"/>
                <w:b/>
                <w:sz w:val="18"/>
                <w:szCs w:val="18"/>
              </w:rPr>
              <w:t>patentus</w:t>
            </w:r>
            <w:r w:rsidR="00827F74">
              <w:rPr>
                <w:rFonts w:ascii="Candara" w:eastAsia="Candara" w:hAnsi="Candara" w:cs="Candara"/>
                <w:sz w:val="18"/>
                <w:szCs w:val="18"/>
              </w:rPr>
              <w:t xml:space="preserve">, </w:t>
            </w:r>
            <w:r w:rsidRPr="006D1D87" w:rsidR="006D1D87">
              <w:rPr>
                <w:rFonts w:ascii="Candara" w:eastAsia="Candara" w:hAnsi="Candara" w:cs="Candara"/>
                <w:sz w:val="18"/>
                <w:szCs w:val="18"/>
              </w:rPr>
              <w:t xml:space="preserve">kā arī </w:t>
            </w:r>
            <w:r w:rsidR="00BC32B5">
              <w:rPr>
                <w:rFonts w:ascii="Candara" w:eastAsia="Candara" w:hAnsi="Candara" w:cs="Candara"/>
                <w:sz w:val="18"/>
                <w:szCs w:val="18"/>
              </w:rPr>
              <w:t xml:space="preserve">90 </w:t>
            </w:r>
            <w:r w:rsidR="00827F74">
              <w:rPr>
                <w:rFonts w:ascii="Candara" w:eastAsia="Candara" w:hAnsi="Candara" w:cs="Candara"/>
                <w:sz w:val="18"/>
                <w:szCs w:val="18"/>
              </w:rPr>
              <w:t>komercializējamus jaunu produktu un tehnoloģiju prototipus</w:t>
            </w:r>
            <w:r w:rsidRPr="006D1D87">
              <w:rPr>
                <w:rFonts w:ascii="Candara" w:eastAsia="Candara" w:hAnsi="Candara" w:cs="Candara"/>
                <w:sz w:val="18"/>
                <w:szCs w:val="18"/>
              </w:rPr>
              <w:t>.</w:t>
            </w:r>
          </w:p>
        </w:tc>
      </w:tr>
      <w:tr w14:paraId="320FFE2F" w14:textId="77777777" w:rsidTr="00324F94">
        <w:tblPrEx>
          <w:tblW w:w="13948" w:type="dxa"/>
          <w:tblInd w:w="-115" w:type="dxa"/>
          <w:tblLayout w:type="fixed"/>
          <w:tblLook w:val="0400"/>
        </w:tblPrEx>
        <w:trPr>
          <w:trHeight w:val="1040"/>
        </w:trPr>
        <w:tc>
          <w:tcPr>
            <w:tcW w:w="1858" w:type="dxa"/>
            <w:vMerge/>
            <w:shd w:val="clear" w:color="auto" w:fill="FFFFFF"/>
            <w:vAlign w:val="center"/>
          </w:tcPr>
          <w:p w:rsidR="00172CA8" w:rsidP="008501CD" w14:paraId="34E8649C"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172CA8" w:rsidP="008501CD" w14:paraId="52687B54"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0D502A5F" w14:textId="77777777">
            <w:pPr>
              <w:spacing w:after="0" w:line="240" w:lineRule="auto"/>
              <w:rPr>
                <w:rFonts w:ascii="Candara" w:eastAsia="Candara" w:hAnsi="Candara" w:cs="Candara"/>
                <w:sz w:val="18"/>
                <w:szCs w:val="18"/>
              </w:rPr>
            </w:pPr>
            <w:r>
              <w:rPr>
                <w:rFonts w:ascii="Candara" w:eastAsia="Candara" w:hAnsi="Candara" w:cs="Candara"/>
                <w:sz w:val="18"/>
                <w:szCs w:val="18"/>
              </w:rPr>
              <w:t>P&amp;A infrastruktūra (1114)</w:t>
            </w:r>
          </w:p>
        </w:tc>
        <w:tc>
          <w:tcPr>
            <w:tcW w:w="5700" w:type="dxa"/>
            <w:shd w:val="clear" w:color="auto" w:fill="FFFFFF"/>
            <w:vAlign w:val="center"/>
          </w:tcPr>
          <w:p w:rsidR="00172CA8" w:rsidP="00860A6B" w14:paraId="577644B8" w14:textId="77777777">
            <w:pPr>
              <w:spacing w:after="0" w:line="240" w:lineRule="auto"/>
              <w:rPr>
                <w:rFonts w:ascii="Candara" w:eastAsia="Candara" w:hAnsi="Candara" w:cs="Candara"/>
                <w:sz w:val="18"/>
                <w:szCs w:val="18"/>
              </w:rPr>
            </w:pPr>
            <w:r>
              <w:rPr>
                <w:rFonts w:ascii="Candara" w:eastAsia="Candara" w:hAnsi="Candara" w:cs="Candara"/>
                <w:sz w:val="18"/>
                <w:szCs w:val="18"/>
              </w:rPr>
              <w:t>- ieviešanas nosacījumi paredz izstrādāt: (-) projekta iesniedzēja vidēja termiņa attīstības stratēģiju, cita starpā tajā ietverot zināšanu pārneses pilnveides plānu, sekmējot pētniecības rezultātu pārnesi tautsaimniecībā un komercializāciju; (-) projekta izmaksu un ieguvumu analīzi, tai skaitā pamatojot projekta sociālekonomisko atdevi</w:t>
            </w:r>
          </w:p>
        </w:tc>
        <w:tc>
          <w:tcPr>
            <w:tcW w:w="3060" w:type="dxa"/>
            <w:shd w:val="clear" w:color="auto" w:fill="FFFFFF"/>
            <w:vAlign w:val="center"/>
          </w:tcPr>
          <w:p w:rsidR="00172CA8" w:rsidP="00860A6B" w14:paraId="6F37283F"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Sasniegtos rezultātus un uzņemtās saistības vēl nav iespējams identificēt - projektu iesniegšana līdz 2017.g. jūnijam</w:t>
            </w:r>
            <w:r w:rsidR="005E46ED">
              <w:rPr>
                <w:rFonts w:ascii="Candara" w:eastAsia="Candara" w:hAnsi="Candara" w:cs="Candara"/>
                <w:sz w:val="18"/>
                <w:szCs w:val="18"/>
              </w:rPr>
              <w:t>, šobrīd norisinās projektu iesniegumu vērtēšana</w:t>
            </w:r>
          </w:p>
        </w:tc>
      </w:tr>
      <w:tr w14:paraId="32D4D0C5" w14:textId="77777777" w:rsidTr="00324F94">
        <w:tblPrEx>
          <w:tblW w:w="13948" w:type="dxa"/>
          <w:tblInd w:w="-115" w:type="dxa"/>
          <w:tblLayout w:type="fixed"/>
          <w:tblLook w:val="0400"/>
        </w:tblPrEx>
        <w:trPr>
          <w:trHeight w:val="553"/>
        </w:trPr>
        <w:tc>
          <w:tcPr>
            <w:tcW w:w="1858" w:type="dxa"/>
            <w:vMerge/>
            <w:shd w:val="clear" w:color="auto" w:fill="FFFFFF"/>
            <w:vAlign w:val="center"/>
          </w:tcPr>
          <w:p w:rsidR="00172CA8" w:rsidP="008501CD" w14:paraId="2A97304F" w14:textId="77777777">
            <w:pPr>
              <w:spacing w:after="0" w:line="276" w:lineRule="auto"/>
              <w:rPr>
                <w:rFonts w:ascii="Candara" w:eastAsia="Candara" w:hAnsi="Candara" w:cs="Candara"/>
                <w:b/>
                <w:sz w:val="18"/>
                <w:szCs w:val="18"/>
              </w:rPr>
            </w:pPr>
          </w:p>
        </w:tc>
        <w:tc>
          <w:tcPr>
            <w:tcW w:w="946" w:type="dxa"/>
            <w:vMerge/>
            <w:shd w:val="clear" w:color="auto" w:fill="FFFFFF"/>
            <w:vAlign w:val="center"/>
          </w:tcPr>
          <w:p w:rsidR="00172CA8" w:rsidP="008501CD" w14:paraId="05251B5F"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7B97C8BA" w14:textId="77777777">
            <w:pPr>
              <w:spacing w:after="0" w:line="240" w:lineRule="auto"/>
              <w:rPr>
                <w:rFonts w:ascii="Candara" w:eastAsia="Candara" w:hAnsi="Candara" w:cs="Candara"/>
                <w:sz w:val="18"/>
                <w:szCs w:val="18"/>
              </w:rPr>
            </w:pPr>
            <w:r>
              <w:rPr>
                <w:rFonts w:ascii="Candara" w:eastAsia="Candara" w:hAnsi="Candara" w:cs="Candara"/>
                <w:sz w:val="18"/>
                <w:szCs w:val="18"/>
              </w:rPr>
              <w:t>KC programma (1211); TPP (Tehnoloģiju pārnese, Inovāciju vaučeri, augstas kvalif. darbinieki) (1212), Finanšu instrumenti (312)</w:t>
            </w:r>
          </w:p>
        </w:tc>
        <w:tc>
          <w:tcPr>
            <w:tcW w:w="5700" w:type="dxa"/>
            <w:shd w:val="clear" w:color="auto" w:fill="FFFFFF"/>
            <w:vAlign w:val="center"/>
          </w:tcPr>
          <w:p w:rsidR="00172CA8" w:rsidP="00860A6B" w14:paraId="08FC70C6" w14:textId="77777777">
            <w:pPr>
              <w:spacing w:after="0" w:line="240" w:lineRule="auto"/>
              <w:rPr>
                <w:rFonts w:ascii="Candara" w:eastAsia="Candara" w:hAnsi="Candara" w:cs="Candara"/>
                <w:sz w:val="18"/>
                <w:szCs w:val="18"/>
              </w:rPr>
            </w:pPr>
            <w:r>
              <w:rPr>
                <w:rFonts w:ascii="Candara" w:eastAsia="Candara" w:hAnsi="Candara" w:cs="Candara"/>
                <w:b/>
                <w:sz w:val="18"/>
                <w:szCs w:val="18"/>
              </w:rPr>
              <w:t> </w:t>
            </w:r>
            <w:r>
              <w:rPr>
                <w:rFonts w:ascii="Candara" w:eastAsia="Candara" w:hAnsi="Candara" w:cs="Candara"/>
                <w:sz w:val="18"/>
                <w:szCs w:val="18"/>
              </w:rPr>
              <w:t>KC programma:</w:t>
            </w:r>
          </w:p>
          <w:p w:rsidR="00172CA8" w:rsidP="00860A6B" w14:paraId="577F104E" w14:textId="77777777">
            <w:pPr>
              <w:spacing w:after="0" w:line="240" w:lineRule="auto"/>
              <w:rPr>
                <w:rFonts w:ascii="Candara" w:eastAsia="Candara" w:hAnsi="Candara" w:cs="Candara"/>
                <w:sz w:val="18"/>
                <w:szCs w:val="18"/>
              </w:rPr>
            </w:pPr>
            <w:r>
              <w:rPr>
                <w:rFonts w:ascii="Candara" w:eastAsia="Candara" w:hAnsi="Candara" w:cs="Candara"/>
                <w:sz w:val="18"/>
                <w:szCs w:val="18"/>
              </w:rPr>
              <w:t>Seal of excellence kritērijs, izstrādāt jaunus produktus un attīstīt ražošanas tehnoloģijas ar mērķi tās komercializēt, komersantam ir tiesības uz jaunradīto intelektuālo īpašumu, kuru tas tālāk izmanto savā saimnieciskajā darbībā.</w:t>
            </w:r>
          </w:p>
          <w:p w:rsidR="00172CA8" w:rsidP="00860A6B" w14:paraId="40A158E7" w14:textId="77777777">
            <w:pPr>
              <w:spacing w:after="0" w:line="240" w:lineRule="auto"/>
              <w:rPr>
                <w:rFonts w:ascii="Candara" w:eastAsia="Candara" w:hAnsi="Candara" w:cs="Candara"/>
                <w:sz w:val="18"/>
                <w:szCs w:val="18"/>
              </w:rPr>
            </w:pPr>
          </w:p>
          <w:p w:rsidR="00172CA8" w:rsidP="00860A6B" w14:paraId="08DC6439" w14:textId="77777777">
            <w:pPr>
              <w:spacing w:after="0" w:line="240" w:lineRule="auto"/>
              <w:rPr>
                <w:rFonts w:ascii="Candara" w:eastAsia="Candara" w:hAnsi="Candara" w:cs="Candara"/>
                <w:sz w:val="18"/>
                <w:szCs w:val="18"/>
              </w:rPr>
            </w:pPr>
            <w:r>
              <w:rPr>
                <w:rFonts w:ascii="Candara" w:eastAsia="Candara" w:hAnsi="Candara" w:cs="Candara"/>
                <w:sz w:val="18"/>
                <w:szCs w:val="18"/>
              </w:rPr>
              <w:t>TP programma:</w:t>
            </w:r>
          </w:p>
          <w:p w:rsidR="00172CA8" w:rsidP="00860A6B" w14:paraId="09FD8B11" w14:textId="77777777">
            <w:pPr>
              <w:spacing w:after="0" w:line="240" w:lineRule="auto"/>
              <w:rPr>
                <w:rFonts w:ascii="Candara" w:eastAsia="Candara" w:hAnsi="Candara" w:cs="Candara"/>
                <w:b/>
                <w:sz w:val="18"/>
                <w:szCs w:val="18"/>
              </w:rPr>
            </w:pPr>
            <w:r>
              <w:rPr>
                <w:rFonts w:ascii="Candara" w:eastAsia="Candara" w:hAnsi="Candara" w:cs="Candara"/>
                <w:sz w:val="18"/>
                <w:szCs w:val="18"/>
              </w:rPr>
              <w:t>Komercializācijas un patentēšanas fonda ietvaros iespējams saņemt atbalstu rūpniecisko īpašumtiesību nostiprināšanai - izgudrojuma patentu pieteikumu sagatavošanai, reģistrācijai un uzturēšanai spēkā</w:t>
            </w:r>
          </w:p>
        </w:tc>
        <w:tc>
          <w:tcPr>
            <w:tcW w:w="3060" w:type="dxa"/>
            <w:shd w:val="clear" w:color="auto" w:fill="FFFFFF"/>
            <w:vAlign w:val="center"/>
          </w:tcPr>
          <w:p w:rsidR="00172CA8" w:rsidP="00860A6B" w14:paraId="5ECCD308" w14:textId="523F0C50">
            <w:pPr>
              <w:spacing w:after="0" w:line="240" w:lineRule="auto"/>
              <w:jc w:val="both"/>
              <w:rPr>
                <w:rFonts w:ascii="Candara" w:eastAsia="Candara" w:hAnsi="Candara" w:cs="Candara"/>
                <w:sz w:val="18"/>
                <w:szCs w:val="18"/>
              </w:rPr>
            </w:pPr>
            <w:r>
              <w:rPr>
                <w:rFonts w:ascii="Candara" w:eastAsia="Candara" w:hAnsi="Candara" w:cs="Candara"/>
                <w:sz w:val="18"/>
                <w:szCs w:val="18"/>
              </w:rPr>
              <w:t>Sasniegtos rezultātus un uzņemtās saistības vēl nav iespējams identificēt</w:t>
            </w:r>
          </w:p>
          <w:p w:rsidR="008B1733" w:rsidP="00860A6B" w14:paraId="72C8BB29" w14:textId="77777777">
            <w:pPr>
              <w:spacing w:after="0" w:line="240" w:lineRule="auto"/>
              <w:jc w:val="both"/>
              <w:rPr>
                <w:rFonts w:ascii="Candara" w:eastAsia="Candara" w:hAnsi="Candara" w:cs="Candara"/>
                <w:sz w:val="18"/>
                <w:szCs w:val="18"/>
              </w:rPr>
            </w:pPr>
          </w:p>
          <w:p w:rsidR="008B1733" w:rsidP="00860A6B" w14:paraId="19C10B42" w14:textId="77777777">
            <w:pPr>
              <w:spacing w:after="0" w:line="240" w:lineRule="auto"/>
              <w:jc w:val="both"/>
              <w:rPr>
                <w:rFonts w:ascii="Candara" w:eastAsia="Candara" w:hAnsi="Candara" w:cs="Candara"/>
                <w:sz w:val="18"/>
                <w:szCs w:val="18"/>
              </w:rPr>
            </w:pPr>
          </w:p>
          <w:p w:rsidR="008B1733" w:rsidP="00860A6B" w14:paraId="1DD9A417" w14:textId="77777777">
            <w:pPr>
              <w:spacing w:after="0" w:line="240" w:lineRule="auto"/>
              <w:jc w:val="both"/>
              <w:rPr>
                <w:rFonts w:ascii="Candara" w:eastAsia="Candara" w:hAnsi="Candara" w:cs="Candara"/>
                <w:sz w:val="18"/>
                <w:szCs w:val="18"/>
              </w:rPr>
            </w:pPr>
          </w:p>
          <w:p w:rsidR="008B1733" w:rsidP="00860A6B" w14:paraId="4178DA47" w14:textId="77777777">
            <w:pPr>
              <w:spacing w:after="0" w:line="240" w:lineRule="auto"/>
              <w:jc w:val="both"/>
              <w:rPr>
                <w:rFonts w:ascii="Candara" w:eastAsia="Candara" w:hAnsi="Candara" w:cs="Candara"/>
                <w:sz w:val="18"/>
                <w:szCs w:val="18"/>
              </w:rPr>
            </w:pPr>
          </w:p>
          <w:p w:rsidR="008B1733" w:rsidP="00860A6B" w14:paraId="545A9A0D" w14:textId="77777777">
            <w:pPr>
              <w:spacing w:after="0" w:line="240" w:lineRule="auto"/>
              <w:jc w:val="both"/>
              <w:rPr>
                <w:rFonts w:ascii="Candara" w:eastAsia="Candara" w:hAnsi="Candara" w:cs="Candara"/>
                <w:b/>
                <w:sz w:val="18"/>
                <w:szCs w:val="18"/>
              </w:rPr>
            </w:pPr>
            <w:r>
              <w:rPr>
                <w:rFonts w:ascii="Candara" w:eastAsia="Candara" w:hAnsi="Candara" w:cs="Candara"/>
                <w:sz w:val="18"/>
                <w:szCs w:val="18"/>
              </w:rPr>
              <w:t xml:space="preserve">TPP ietvaros līdz 2017.gada beigām apstiprināti 10 </w:t>
            </w:r>
            <w:r w:rsidRPr="008B1733">
              <w:rPr>
                <w:rFonts w:ascii="Candara" w:eastAsia="Candara" w:hAnsi="Candara" w:cs="Candara"/>
                <w:sz w:val="18"/>
                <w:szCs w:val="18"/>
              </w:rPr>
              <w:t>zinātnisko ideju komercializācijas projekti</w:t>
            </w:r>
            <w:r>
              <w:rPr>
                <w:rFonts w:ascii="Candara" w:eastAsia="Candara" w:hAnsi="Candara" w:cs="Candara"/>
                <w:sz w:val="18"/>
                <w:szCs w:val="18"/>
              </w:rPr>
              <w:t>.</w:t>
            </w:r>
          </w:p>
        </w:tc>
      </w:tr>
      <w:tr w14:paraId="3DD11012" w14:textId="77777777" w:rsidTr="00324F94">
        <w:tblPrEx>
          <w:tblW w:w="13948" w:type="dxa"/>
          <w:tblInd w:w="-115" w:type="dxa"/>
          <w:tblLayout w:type="fixed"/>
          <w:tblLook w:val="0400"/>
        </w:tblPrEx>
        <w:trPr>
          <w:trHeight w:val="1100"/>
        </w:trPr>
        <w:tc>
          <w:tcPr>
            <w:tcW w:w="1858" w:type="dxa"/>
            <w:vMerge/>
            <w:shd w:val="clear" w:color="auto" w:fill="FFFFFF"/>
            <w:vAlign w:val="center"/>
          </w:tcPr>
          <w:p w:rsidR="00172CA8" w:rsidP="008501CD" w14:paraId="2959EC8F" w14:textId="77777777">
            <w:pPr>
              <w:spacing w:after="0" w:line="240" w:lineRule="auto"/>
              <w:rPr>
                <w:rFonts w:ascii="Candara" w:eastAsia="Candara" w:hAnsi="Candara" w:cs="Candara"/>
                <w:sz w:val="18"/>
                <w:szCs w:val="18"/>
              </w:rPr>
            </w:pPr>
          </w:p>
        </w:tc>
        <w:tc>
          <w:tcPr>
            <w:tcW w:w="946" w:type="dxa"/>
            <w:vMerge w:val="restart"/>
            <w:shd w:val="clear" w:color="auto" w:fill="FFFFFF"/>
            <w:vAlign w:val="center"/>
          </w:tcPr>
          <w:p w:rsidR="00172CA8" w:rsidP="008501CD" w14:paraId="79D4FF5D"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767EBA" w:rsidP="008501CD" w14:paraId="7B5595AE"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(IZM)</w:t>
            </w:r>
          </w:p>
          <w:p w:rsidR="00172CA8" w:rsidP="008501CD" w14:paraId="1D5C4101" w14:textId="77777777">
            <w:pPr>
              <w:spacing w:after="0" w:line="240" w:lineRule="auto"/>
              <w:rPr>
                <w:rFonts w:ascii="Candara" w:eastAsia="Candara" w:hAnsi="Candara" w:cs="Candara"/>
                <w:sz w:val="18"/>
                <w:szCs w:val="18"/>
              </w:rPr>
            </w:pPr>
          </w:p>
          <w:p w:rsidR="00172CA8" w:rsidP="008501CD" w14:paraId="77368286" w14:textId="77777777">
            <w:pPr>
              <w:spacing w:after="0" w:line="240" w:lineRule="auto"/>
              <w:rPr>
                <w:rFonts w:ascii="Candara" w:eastAsia="Candara" w:hAnsi="Candara" w:cs="Candara"/>
                <w:sz w:val="18"/>
                <w:szCs w:val="18"/>
              </w:rPr>
            </w:pPr>
          </w:p>
          <w:p w:rsidR="00172CA8" w:rsidP="008501CD" w14:paraId="013A539B"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35A61DC7" w14:textId="77777777">
            <w:pPr>
              <w:spacing w:after="0" w:line="240" w:lineRule="auto"/>
              <w:rPr>
                <w:rFonts w:ascii="Candara" w:eastAsia="Candara" w:hAnsi="Candara" w:cs="Candara"/>
                <w:sz w:val="18"/>
                <w:szCs w:val="18"/>
              </w:rPr>
            </w:pPr>
            <w:r>
              <w:rPr>
                <w:rFonts w:ascii="Candara" w:eastAsia="Candara" w:hAnsi="Candara" w:cs="Candara"/>
                <w:sz w:val="18"/>
                <w:szCs w:val="18"/>
              </w:rPr>
              <w:t>Bāzes finansējums;</w:t>
            </w:r>
          </w:p>
        </w:tc>
        <w:tc>
          <w:tcPr>
            <w:tcW w:w="5700" w:type="dxa"/>
            <w:shd w:val="clear" w:color="auto" w:fill="FFFFFF"/>
            <w:vAlign w:val="center"/>
          </w:tcPr>
          <w:p w:rsidR="00172CA8" w:rsidP="00860A6B" w14:paraId="40D1252C" w14:textId="77777777">
            <w:pPr>
              <w:spacing w:after="0" w:line="240" w:lineRule="auto"/>
              <w:rPr>
                <w:rFonts w:ascii="Candara" w:eastAsia="Candara" w:hAnsi="Candara" w:cs="Candara"/>
                <w:sz w:val="18"/>
                <w:szCs w:val="18"/>
              </w:rPr>
            </w:pPr>
            <w:r>
              <w:rPr>
                <w:rFonts w:ascii="Candara" w:eastAsia="Candara" w:hAnsi="Candara" w:cs="Candara"/>
                <w:sz w:val="18"/>
                <w:szCs w:val="18"/>
              </w:rPr>
              <w:t>patentu ieņēmumi ir noteikti kā daļa no rādītāja zinātnes bāzes finansējuma aprēķināšanā</w:t>
            </w:r>
          </w:p>
        </w:tc>
        <w:tc>
          <w:tcPr>
            <w:tcW w:w="3060" w:type="dxa"/>
            <w:shd w:val="clear" w:color="auto" w:fill="FFFFFF"/>
            <w:vAlign w:val="center"/>
          </w:tcPr>
          <w:p w:rsidR="00172CA8" w:rsidP="00860A6B" w14:paraId="328BF209"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2015.gadā valsts ZI, kuri saņem bāzes finansējumu guva ieņēmumus no patentiem </w:t>
            </w:r>
            <w:r>
              <w:rPr>
                <w:rFonts w:ascii="Candara" w:eastAsia="Candara" w:hAnsi="Candara" w:cs="Candara"/>
                <w:b/>
                <w:sz w:val="18"/>
                <w:szCs w:val="18"/>
              </w:rPr>
              <w:t>0,36 MEUR</w:t>
            </w:r>
            <w:r>
              <w:rPr>
                <w:rFonts w:ascii="Candara" w:eastAsia="Candara" w:hAnsi="Candara" w:cs="Candara"/>
                <w:sz w:val="18"/>
                <w:szCs w:val="18"/>
              </w:rPr>
              <w:t xml:space="preserve"> apmērā</w:t>
            </w:r>
          </w:p>
        </w:tc>
      </w:tr>
      <w:tr w14:paraId="6459E4F9" w14:textId="77777777" w:rsidTr="00324F94">
        <w:tblPrEx>
          <w:tblW w:w="13948" w:type="dxa"/>
          <w:tblInd w:w="-115" w:type="dxa"/>
          <w:tblLayout w:type="fixed"/>
          <w:tblLook w:val="0400"/>
        </w:tblPrEx>
        <w:trPr>
          <w:trHeight w:val="520"/>
        </w:trPr>
        <w:tc>
          <w:tcPr>
            <w:tcW w:w="1858" w:type="dxa"/>
            <w:vMerge/>
            <w:shd w:val="clear" w:color="auto" w:fill="FFFFFF"/>
            <w:vAlign w:val="center"/>
          </w:tcPr>
          <w:p w:rsidR="00172CA8" w:rsidP="008501CD" w14:paraId="18626359"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172CA8" w:rsidP="008501CD" w14:paraId="118A1AE3"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7A3629DD" w14:textId="77777777">
            <w:pPr>
              <w:spacing w:after="0" w:line="240" w:lineRule="auto"/>
              <w:rPr>
                <w:rFonts w:ascii="Candara" w:eastAsia="Candara" w:hAnsi="Candara" w:cs="Candara"/>
                <w:sz w:val="18"/>
                <w:szCs w:val="18"/>
              </w:rPr>
            </w:pPr>
            <w:r>
              <w:rPr>
                <w:rFonts w:ascii="Candara" w:eastAsia="Candara" w:hAnsi="Candara" w:cs="Candara"/>
                <w:sz w:val="18"/>
                <w:szCs w:val="18"/>
              </w:rPr>
              <w:t>Valsts pētījumu programmas 2014-2017</w:t>
            </w:r>
          </w:p>
        </w:tc>
        <w:tc>
          <w:tcPr>
            <w:tcW w:w="5700" w:type="dxa"/>
            <w:shd w:val="clear" w:color="auto" w:fill="FFFFFF"/>
            <w:vAlign w:val="center"/>
          </w:tcPr>
          <w:p w:rsidR="00172CA8" w:rsidP="00860A6B" w14:paraId="0AF0F45B" w14:textId="77777777">
            <w:pPr>
              <w:spacing w:after="0" w:line="240" w:lineRule="auto"/>
              <w:rPr>
                <w:rFonts w:ascii="Candara" w:eastAsia="Candara" w:hAnsi="Candara" w:cs="Candara"/>
                <w:sz w:val="18"/>
                <w:szCs w:val="18"/>
              </w:rPr>
            </w:pPr>
            <w:r>
              <w:rPr>
                <w:rFonts w:ascii="Candara" w:eastAsia="Candara" w:hAnsi="Candara" w:cs="Candara"/>
                <w:sz w:val="18"/>
                <w:szCs w:val="18"/>
              </w:rPr>
              <w:t>ir normatīvajos aktos kā rezultāti noteikti programmas ietvaros uzturētie patenti vai augu šķirnes, bet ne ieņēmumi</w:t>
            </w:r>
          </w:p>
        </w:tc>
        <w:tc>
          <w:tcPr>
            <w:tcW w:w="3060" w:type="dxa"/>
            <w:shd w:val="clear" w:color="auto" w:fill="FFFFFF"/>
            <w:vAlign w:val="center"/>
          </w:tcPr>
          <w:p w:rsidR="00172CA8" w:rsidP="00860A6B" w14:paraId="58DAFE48"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Izstrādāti 5 patenti VPP projektu ietvaros starp 2014. - 2017.gadu.</w:t>
            </w:r>
          </w:p>
        </w:tc>
      </w:tr>
      <w:tr w14:paraId="15C6C7CD" w14:textId="77777777" w:rsidTr="00324F94">
        <w:tblPrEx>
          <w:tblW w:w="13948" w:type="dxa"/>
          <w:tblInd w:w="-115" w:type="dxa"/>
          <w:tblLayout w:type="fixed"/>
          <w:tblLook w:val="0400"/>
        </w:tblPrEx>
        <w:trPr>
          <w:trHeight w:val="520"/>
        </w:trPr>
        <w:tc>
          <w:tcPr>
            <w:tcW w:w="1858" w:type="dxa"/>
            <w:vMerge/>
            <w:shd w:val="clear" w:color="auto" w:fill="FFFFFF"/>
            <w:vAlign w:val="center"/>
          </w:tcPr>
          <w:p w:rsidR="00172CA8" w:rsidP="00172CA8" w14:paraId="67B215F9"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172CA8" w:rsidP="00172CA8" w14:paraId="3601D26A"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7EF207FE" w14:textId="77777777">
            <w:pPr>
              <w:spacing w:after="0" w:line="240" w:lineRule="auto"/>
              <w:rPr>
                <w:rFonts w:ascii="Candara" w:eastAsia="Candara" w:hAnsi="Candara" w:cs="Candara"/>
                <w:sz w:val="18"/>
                <w:szCs w:val="18"/>
              </w:rPr>
            </w:pPr>
            <w:r>
              <w:rPr>
                <w:rFonts w:ascii="Candara" w:eastAsia="Candara" w:hAnsi="Candara" w:cs="Candara"/>
                <w:sz w:val="18"/>
                <w:szCs w:val="18"/>
              </w:rPr>
              <w:t>FLPP</w:t>
            </w:r>
          </w:p>
        </w:tc>
        <w:tc>
          <w:tcPr>
            <w:tcW w:w="5700" w:type="dxa"/>
            <w:shd w:val="clear" w:color="auto" w:fill="FFFFFF"/>
            <w:vAlign w:val="center"/>
          </w:tcPr>
          <w:p w:rsidR="00172CA8" w:rsidP="00860A6B" w14:paraId="26299329"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projektu vērtēšanā ņem vērā jauno tehnoloģisko atziņu radīšanas un licenču/patentu ieņēmumu paredzēšana </w:t>
            </w:r>
          </w:p>
        </w:tc>
        <w:tc>
          <w:tcPr>
            <w:tcW w:w="3060" w:type="dxa"/>
            <w:shd w:val="clear" w:color="auto" w:fill="FFFFFF"/>
            <w:vAlign w:val="center"/>
          </w:tcPr>
          <w:p w:rsidR="00172CA8" w:rsidP="00860A6B" w14:paraId="23FF5759"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Izstrādāti 39 patenti FLPP projektu ietvaros starp 2014. - 2017.gadu.</w:t>
            </w:r>
          </w:p>
        </w:tc>
      </w:tr>
      <w:tr w14:paraId="4C86EF98" w14:textId="77777777" w:rsidTr="00324F94">
        <w:tblPrEx>
          <w:tblW w:w="13948" w:type="dxa"/>
          <w:tblInd w:w="-115" w:type="dxa"/>
          <w:tblLayout w:type="fixed"/>
          <w:tblLook w:val="0400"/>
        </w:tblPrEx>
        <w:trPr>
          <w:trHeight w:val="520"/>
        </w:trPr>
        <w:tc>
          <w:tcPr>
            <w:tcW w:w="1858" w:type="dxa"/>
            <w:vMerge/>
            <w:shd w:val="clear" w:color="auto" w:fill="FFFFFF"/>
            <w:vAlign w:val="center"/>
          </w:tcPr>
          <w:p w:rsidR="00172CA8" w:rsidP="00172CA8" w14:paraId="05EBCE7B"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172CA8" w:rsidP="00172CA8" w14:paraId="425CF157"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02A37A57" w14:textId="77777777">
            <w:pPr>
              <w:spacing w:after="0" w:line="240" w:lineRule="auto"/>
              <w:rPr>
                <w:rFonts w:ascii="Candara" w:eastAsia="Candara" w:hAnsi="Candara" w:cs="Candara"/>
                <w:sz w:val="18"/>
                <w:szCs w:val="18"/>
              </w:rPr>
            </w:pPr>
            <w:r>
              <w:rPr>
                <w:rFonts w:ascii="Candara" w:eastAsia="Candara" w:hAnsi="Candara" w:cs="Candara"/>
                <w:sz w:val="18"/>
                <w:szCs w:val="18"/>
              </w:rPr>
              <w:t>Starptautiskās sadarbības programmas</w:t>
            </w:r>
            <w:r w:rsidR="00826465">
              <w:rPr>
                <w:rFonts w:ascii="Candara" w:eastAsia="Candara" w:hAnsi="Candara" w:cs="Candara"/>
                <w:sz w:val="18"/>
                <w:szCs w:val="18"/>
              </w:rPr>
              <w:t xml:space="preserve"> zinātnē un tehnoloģiju attīstībā</w:t>
            </w:r>
            <w:r>
              <w:rPr>
                <w:rStyle w:val="FootnoteReference"/>
                <w:rFonts w:ascii="Candara" w:eastAsia="Candara" w:hAnsi="Candara" w:cs="Candara"/>
                <w:sz w:val="18"/>
                <w:szCs w:val="18"/>
              </w:rPr>
              <w:footnoteReference w:id="24"/>
            </w:r>
            <w:r>
              <w:rPr>
                <w:rFonts w:ascii="Candara" w:eastAsia="Candara" w:hAnsi="Candara" w:cs="Candara"/>
                <w:sz w:val="18"/>
                <w:szCs w:val="18"/>
              </w:rPr>
              <w:t xml:space="preserve"> </w:t>
            </w:r>
          </w:p>
        </w:tc>
        <w:tc>
          <w:tcPr>
            <w:tcW w:w="5700" w:type="dxa"/>
            <w:shd w:val="clear" w:color="auto" w:fill="FFFFFF"/>
            <w:vAlign w:val="center"/>
          </w:tcPr>
          <w:p w:rsidR="00172CA8" w:rsidP="00860A6B" w14:paraId="54990604" w14:textId="77777777">
            <w:pPr>
              <w:spacing w:after="0" w:line="240" w:lineRule="auto"/>
              <w:rPr>
                <w:rFonts w:ascii="Candara" w:eastAsia="Candara" w:hAnsi="Candara" w:cs="Candara"/>
                <w:sz w:val="18"/>
                <w:szCs w:val="18"/>
              </w:rPr>
            </w:pPr>
            <w:r>
              <w:rPr>
                <w:rFonts w:ascii="Candara" w:eastAsia="Candara" w:hAnsi="Candara" w:cs="Candara"/>
                <w:sz w:val="18"/>
                <w:szCs w:val="18"/>
              </w:rPr>
              <w:t>saskaņā ar katras programmas ieviešanas nosacījumiem</w:t>
            </w:r>
            <w:r>
              <w:rPr>
                <w:rStyle w:val="FootnoteReference"/>
                <w:rFonts w:ascii="Candara" w:eastAsia="Candara" w:hAnsi="Candara" w:cs="Candara"/>
                <w:sz w:val="18"/>
                <w:szCs w:val="18"/>
              </w:rPr>
              <w:footnoteReference w:id="25"/>
            </w:r>
          </w:p>
        </w:tc>
        <w:tc>
          <w:tcPr>
            <w:tcW w:w="3060" w:type="dxa"/>
            <w:shd w:val="clear" w:color="auto" w:fill="FFFFFF"/>
            <w:vAlign w:val="center"/>
          </w:tcPr>
          <w:p w:rsidR="00172CA8" w:rsidP="002231F4" w14:paraId="0D8899F4"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Laika posmā no 2014. līdz 2017. gadam noslēgti</w:t>
            </w:r>
            <w:r w:rsidR="003061DF">
              <w:rPr>
                <w:rFonts w:ascii="Candara" w:eastAsia="Candara" w:hAnsi="Candara" w:cs="Candara"/>
                <w:sz w:val="18"/>
                <w:szCs w:val="18"/>
              </w:rPr>
              <w:t xml:space="preserve"> </w:t>
            </w:r>
            <w:r w:rsidR="002231F4">
              <w:rPr>
                <w:rFonts w:ascii="Candara" w:eastAsia="Candara" w:hAnsi="Candara" w:cs="Candara"/>
                <w:sz w:val="18"/>
                <w:szCs w:val="18"/>
              </w:rPr>
              <w:t>104</w:t>
            </w:r>
            <w:r>
              <w:rPr>
                <w:rFonts w:ascii="Candara" w:eastAsia="Candara" w:hAnsi="Candara" w:cs="Candara"/>
                <w:sz w:val="18"/>
                <w:szCs w:val="18"/>
              </w:rPr>
              <w:t xml:space="preserve"> līgumi</w:t>
            </w:r>
            <w:r w:rsidR="003061DF">
              <w:rPr>
                <w:rFonts w:ascii="Candara" w:eastAsia="Candara" w:hAnsi="Candara" w:cs="Candara"/>
                <w:sz w:val="18"/>
                <w:szCs w:val="18"/>
              </w:rPr>
              <w:t xml:space="preserve"> </w:t>
            </w:r>
            <w:r w:rsidR="00A15392">
              <w:rPr>
                <w:rFonts w:ascii="Candara" w:eastAsia="Candara" w:hAnsi="Candara" w:cs="Candara"/>
                <w:sz w:val="18"/>
                <w:szCs w:val="18"/>
              </w:rPr>
              <w:t xml:space="preserve">par projektu īstenošanu </w:t>
            </w:r>
            <w:r w:rsidR="003061DF">
              <w:rPr>
                <w:rFonts w:ascii="Candara" w:eastAsia="Candara" w:hAnsi="Candara" w:cs="Candara"/>
                <w:sz w:val="18"/>
                <w:szCs w:val="18"/>
              </w:rPr>
              <w:t xml:space="preserve">ar kopējo valsts budžeta finansējuma apmēru – </w:t>
            </w:r>
            <w:r w:rsidR="002231F4">
              <w:rPr>
                <w:rFonts w:ascii="Candara" w:eastAsia="Candara" w:hAnsi="Candara" w:cs="Candara"/>
                <w:sz w:val="18"/>
                <w:szCs w:val="18"/>
              </w:rPr>
              <w:t>11,18</w:t>
            </w:r>
            <w:r w:rsidR="003061DF">
              <w:rPr>
                <w:rFonts w:ascii="Candara" w:eastAsia="Candara" w:hAnsi="Candara" w:cs="Candara"/>
                <w:sz w:val="18"/>
                <w:szCs w:val="18"/>
              </w:rPr>
              <w:t xml:space="preserve"> MEUR un to ietvaros</w:t>
            </w:r>
            <w:r>
              <w:rPr>
                <w:rFonts w:ascii="Candara" w:eastAsia="Candara" w:hAnsi="Candara" w:cs="Candara"/>
                <w:sz w:val="18"/>
                <w:szCs w:val="18"/>
              </w:rPr>
              <w:t xml:space="preserve"> </w:t>
            </w:r>
            <w:r w:rsidR="003061DF">
              <w:rPr>
                <w:rFonts w:ascii="Candara" w:eastAsia="Candara" w:hAnsi="Candara" w:cs="Candara"/>
                <w:sz w:val="18"/>
                <w:szCs w:val="18"/>
              </w:rPr>
              <w:t>izstrādāti 5</w:t>
            </w:r>
            <w:r>
              <w:rPr>
                <w:rFonts w:ascii="Candara" w:eastAsia="Candara" w:hAnsi="Candara" w:cs="Candara"/>
                <w:sz w:val="18"/>
                <w:szCs w:val="18"/>
              </w:rPr>
              <w:t xml:space="preserve"> patenti</w:t>
            </w:r>
            <w:r w:rsidR="0098551C">
              <w:rPr>
                <w:rFonts w:ascii="Candara" w:eastAsia="Candara" w:hAnsi="Candara" w:cs="Candara"/>
                <w:sz w:val="18"/>
                <w:szCs w:val="18"/>
              </w:rPr>
              <w:t>.</w:t>
            </w:r>
          </w:p>
        </w:tc>
      </w:tr>
      <w:tr w14:paraId="34F0CC4B" w14:textId="77777777" w:rsidTr="00324F94">
        <w:tblPrEx>
          <w:tblW w:w="13948" w:type="dxa"/>
          <w:tblInd w:w="-115" w:type="dxa"/>
          <w:tblLayout w:type="fixed"/>
          <w:tblLook w:val="0400"/>
        </w:tblPrEx>
        <w:trPr>
          <w:trHeight w:val="680"/>
        </w:trPr>
        <w:tc>
          <w:tcPr>
            <w:tcW w:w="1858" w:type="dxa"/>
            <w:vMerge w:val="restart"/>
            <w:shd w:val="clear" w:color="auto" w:fill="FFFFFF"/>
            <w:vAlign w:val="center"/>
          </w:tcPr>
          <w:p w:rsidR="00133ACC" w:rsidP="00172CA8" w14:paraId="6FA27EC5" w14:textId="77777777">
            <w:pPr>
              <w:spacing w:after="0" w:line="240" w:lineRule="auto"/>
              <w:jc w:val="both"/>
              <w:rPr>
                <w:rFonts w:ascii="Candara" w:eastAsia="Candara" w:hAnsi="Candara" w:cs="Candara"/>
                <w:sz w:val="18"/>
                <w:szCs w:val="18"/>
              </w:rPr>
            </w:pPr>
          </w:p>
          <w:p w:rsidR="00133ACC" w:rsidP="00172CA8" w14:paraId="47E642A1" w14:textId="77777777">
            <w:pPr>
              <w:spacing w:after="0" w:line="240" w:lineRule="auto"/>
              <w:jc w:val="both"/>
              <w:rPr>
                <w:rFonts w:ascii="Candara" w:eastAsia="Candara" w:hAnsi="Candara" w:cs="Candara"/>
                <w:sz w:val="18"/>
                <w:szCs w:val="18"/>
              </w:rPr>
            </w:pPr>
          </w:p>
          <w:p w:rsidR="00133ACC" w:rsidP="00172CA8" w14:paraId="6796E617" w14:textId="77777777">
            <w:pPr>
              <w:spacing w:after="0" w:line="240" w:lineRule="auto"/>
              <w:jc w:val="both"/>
              <w:rPr>
                <w:rFonts w:ascii="Candara" w:eastAsia="Candara" w:hAnsi="Candara" w:cs="Candara"/>
                <w:sz w:val="18"/>
                <w:szCs w:val="18"/>
              </w:rPr>
            </w:pPr>
          </w:p>
          <w:p w:rsidR="00133ACC" w:rsidP="00172CA8" w14:paraId="2305E4C3" w14:textId="77777777">
            <w:pPr>
              <w:spacing w:after="0" w:line="240" w:lineRule="auto"/>
              <w:jc w:val="both"/>
              <w:rPr>
                <w:rFonts w:ascii="Candara" w:eastAsia="Candara" w:hAnsi="Candara" w:cs="Candara"/>
                <w:sz w:val="18"/>
                <w:szCs w:val="18"/>
              </w:rPr>
            </w:pPr>
          </w:p>
          <w:p w:rsidR="00133ACC" w:rsidP="00172CA8" w14:paraId="3425CF9A" w14:textId="77777777">
            <w:pPr>
              <w:spacing w:after="0" w:line="240" w:lineRule="auto"/>
              <w:jc w:val="both"/>
              <w:rPr>
                <w:rFonts w:ascii="Candara" w:eastAsia="Candara" w:hAnsi="Candara" w:cs="Candara"/>
                <w:sz w:val="18"/>
                <w:szCs w:val="18"/>
              </w:rPr>
            </w:pPr>
          </w:p>
          <w:p w:rsidR="00826465" w:rsidP="00172CA8" w14:paraId="299A1AB8"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Uzņēmumu līdzfinansējums P&amp;A projektiem (EUR)</w:t>
            </w:r>
          </w:p>
        </w:tc>
        <w:tc>
          <w:tcPr>
            <w:tcW w:w="946" w:type="dxa"/>
            <w:vMerge w:val="restart"/>
            <w:shd w:val="clear" w:color="auto" w:fill="FFFFFF"/>
            <w:vAlign w:val="center"/>
          </w:tcPr>
          <w:p w:rsidR="00826465" w:rsidP="00172CA8" w14:paraId="17FFBB2B" w14:textId="77777777">
            <w:pPr>
              <w:spacing w:after="0" w:line="240" w:lineRule="auto"/>
              <w:jc w:val="center"/>
              <w:rPr>
                <w:rFonts w:ascii="Candara" w:eastAsia="Candara" w:hAnsi="Candara" w:cs="Candara"/>
                <w:sz w:val="18"/>
                <w:szCs w:val="18"/>
              </w:rPr>
            </w:pPr>
          </w:p>
          <w:p w:rsidR="00826465" w:rsidP="00172CA8" w14:paraId="48BC2E8C" w14:textId="77777777">
            <w:pPr>
              <w:spacing w:after="0" w:line="240" w:lineRule="auto"/>
              <w:jc w:val="center"/>
              <w:rPr>
                <w:rFonts w:ascii="Candara" w:eastAsia="Candara" w:hAnsi="Candara" w:cs="Candara"/>
                <w:sz w:val="18"/>
                <w:szCs w:val="18"/>
              </w:rPr>
            </w:pPr>
          </w:p>
          <w:p w:rsidR="00826465" w:rsidP="00172CA8" w14:paraId="76528719" w14:textId="77777777">
            <w:pPr>
              <w:spacing w:after="0" w:line="240" w:lineRule="auto"/>
              <w:jc w:val="center"/>
              <w:rPr>
                <w:rFonts w:ascii="Candara" w:eastAsia="Candara" w:hAnsi="Candara" w:cs="Candara"/>
                <w:sz w:val="18"/>
                <w:szCs w:val="18"/>
              </w:rPr>
            </w:pPr>
          </w:p>
          <w:p w:rsidR="00826465" w:rsidP="00172CA8" w14:paraId="5715CCE8" w14:textId="77777777">
            <w:pPr>
              <w:spacing w:after="0" w:line="240" w:lineRule="auto"/>
              <w:jc w:val="center"/>
              <w:rPr>
                <w:rFonts w:ascii="Candara" w:eastAsia="Candara" w:hAnsi="Candara" w:cs="Candara"/>
                <w:sz w:val="18"/>
                <w:szCs w:val="18"/>
              </w:rPr>
            </w:pPr>
          </w:p>
          <w:p w:rsidR="00826465" w:rsidP="00172CA8" w14:paraId="7A62BFD0" w14:textId="77777777">
            <w:pPr>
              <w:spacing w:after="0" w:line="240" w:lineRule="auto"/>
              <w:jc w:val="center"/>
              <w:rPr>
                <w:rFonts w:ascii="Candara" w:eastAsia="Candara" w:hAnsi="Candara" w:cs="Candara"/>
                <w:sz w:val="18"/>
                <w:szCs w:val="18"/>
              </w:rPr>
            </w:pPr>
          </w:p>
          <w:p w:rsidR="00826465" w:rsidP="00172CA8" w14:paraId="39657F1B" w14:textId="77777777">
            <w:pPr>
              <w:spacing w:after="0" w:line="240" w:lineRule="auto"/>
              <w:jc w:val="center"/>
              <w:rPr>
                <w:rFonts w:ascii="Candara" w:eastAsia="Candara" w:hAnsi="Candara" w:cs="Candara"/>
                <w:sz w:val="18"/>
                <w:szCs w:val="18"/>
              </w:rPr>
            </w:pPr>
          </w:p>
          <w:p w:rsidR="00826465" w:rsidP="00172CA8" w14:paraId="05CA020F" w14:textId="77777777">
            <w:pPr>
              <w:spacing w:after="0" w:line="240" w:lineRule="auto"/>
              <w:jc w:val="center"/>
              <w:rPr>
                <w:rFonts w:ascii="Candara" w:eastAsia="Candara" w:hAnsi="Candara" w:cs="Candara"/>
                <w:sz w:val="18"/>
                <w:szCs w:val="18"/>
              </w:rPr>
            </w:pPr>
          </w:p>
          <w:p w:rsidR="00826465" w:rsidP="00172CA8" w14:paraId="31BDA55C" w14:textId="77777777">
            <w:pPr>
              <w:spacing w:after="0" w:line="240" w:lineRule="auto"/>
              <w:jc w:val="center"/>
              <w:rPr>
                <w:rFonts w:ascii="Candara" w:eastAsia="Candara" w:hAnsi="Candara" w:cs="Candara"/>
                <w:sz w:val="18"/>
                <w:szCs w:val="18"/>
              </w:rPr>
            </w:pPr>
          </w:p>
          <w:p w:rsidR="00826465" w:rsidP="00172CA8" w14:paraId="537D7ED5" w14:textId="77777777">
            <w:pPr>
              <w:spacing w:after="0" w:line="240" w:lineRule="auto"/>
              <w:jc w:val="center"/>
              <w:rPr>
                <w:rFonts w:ascii="Candara" w:eastAsia="Candara" w:hAnsi="Candara" w:cs="Candara"/>
                <w:sz w:val="18"/>
                <w:szCs w:val="18"/>
              </w:rPr>
            </w:pPr>
          </w:p>
          <w:p w:rsidR="00826465" w:rsidP="00172CA8" w14:paraId="10778501" w14:textId="77777777">
            <w:pPr>
              <w:spacing w:after="0" w:line="240" w:lineRule="auto"/>
              <w:jc w:val="center"/>
              <w:rPr>
                <w:rFonts w:ascii="Candara" w:eastAsia="Candara" w:hAnsi="Candara" w:cs="Candara"/>
                <w:sz w:val="18"/>
                <w:szCs w:val="18"/>
              </w:rPr>
            </w:pPr>
          </w:p>
          <w:p w:rsidR="00826465" w:rsidP="00172CA8" w14:paraId="54361FC0" w14:textId="77777777">
            <w:pPr>
              <w:spacing w:after="0" w:line="240" w:lineRule="auto"/>
              <w:jc w:val="center"/>
              <w:rPr>
                <w:rFonts w:ascii="Candara" w:eastAsia="Candara" w:hAnsi="Candara" w:cs="Candara"/>
                <w:sz w:val="18"/>
                <w:szCs w:val="18"/>
              </w:rPr>
            </w:pPr>
          </w:p>
          <w:p w:rsidR="00826465" w:rsidP="00172CA8" w14:paraId="3B6CDEEB" w14:textId="77777777">
            <w:pPr>
              <w:spacing w:after="0" w:line="240" w:lineRule="auto"/>
              <w:jc w:val="center"/>
              <w:rPr>
                <w:rFonts w:ascii="Candara" w:eastAsia="Candara" w:hAnsi="Candara" w:cs="Candara"/>
                <w:sz w:val="18"/>
                <w:szCs w:val="18"/>
              </w:rPr>
            </w:pPr>
          </w:p>
          <w:p w:rsidR="00826465" w:rsidP="00172CA8" w14:paraId="5AB0B2DD" w14:textId="77777777">
            <w:pPr>
              <w:spacing w:after="0" w:line="240" w:lineRule="auto"/>
              <w:jc w:val="center"/>
              <w:rPr>
                <w:rFonts w:ascii="Candara" w:eastAsia="Candara" w:hAnsi="Candara" w:cs="Candara"/>
                <w:sz w:val="18"/>
                <w:szCs w:val="18"/>
              </w:rPr>
            </w:pPr>
          </w:p>
          <w:p w:rsidR="00826465" w:rsidP="00172CA8" w14:paraId="47CAABCA"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p w:rsidR="00826465" w:rsidP="00172CA8" w14:paraId="452D469D" w14:textId="77777777">
            <w:pPr>
              <w:spacing w:after="0" w:line="240" w:lineRule="auto"/>
              <w:rPr>
                <w:rFonts w:ascii="Candara" w:eastAsia="Candara" w:hAnsi="Candara" w:cs="Candara"/>
                <w:sz w:val="18"/>
                <w:szCs w:val="18"/>
              </w:rPr>
            </w:pPr>
          </w:p>
          <w:p w:rsidR="00826465" w:rsidP="00172CA8" w14:paraId="74FAD3E4" w14:textId="77777777">
            <w:pPr>
              <w:spacing w:after="0" w:line="240" w:lineRule="auto"/>
              <w:rPr>
                <w:rFonts w:ascii="Candara" w:eastAsia="Candara" w:hAnsi="Candara" w:cs="Candara"/>
                <w:sz w:val="18"/>
                <w:szCs w:val="18"/>
              </w:rPr>
            </w:pPr>
          </w:p>
          <w:p w:rsidR="00826465" w:rsidP="00172CA8" w14:paraId="559FD062" w14:textId="77777777">
            <w:pPr>
              <w:spacing w:after="0" w:line="240" w:lineRule="auto"/>
              <w:rPr>
                <w:rFonts w:ascii="Candara" w:eastAsia="Candara" w:hAnsi="Candara" w:cs="Candara"/>
                <w:sz w:val="18"/>
                <w:szCs w:val="18"/>
              </w:rPr>
            </w:pPr>
          </w:p>
          <w:p w:rsidR="00826465" w:rsidP="00172CA8" w14:paraId="6F0A117F" w14:textId="77777777">
            <w:pPr>
              <w:spacing w:after="0" w:line="240" w:lineRule="auto"/>
              <w:rPr>
                <w:rFonts w:ascii="Candara" w:eastAsia="Candara" w:hAnsi="Candara" w:cs="Candara"/>
                <w:sz w:val="18"/>
                <w:szCs w:val="18"/>
              </w:rPr>
            </w:pPr>
          </w:p>
        </w:tc>
        <w:tc>
          <w:tcPr>
            <w:tcW w:w="2384" w:type="dxa"/>
            <w:shd w:val="clear" w:color="auto" w:fill="FFFFFF"/>
            <w:vAlign w:val="center"/>
          </w:tcPr>
          <w:p w:rsidR="00826465" w:rsidP="00860A6B" w14:paraId="704E236E" w14:textId="77777777">
            <w:pPr>
              <w:spacing w:after="0" w:line="240" w:lineRule="auto"/>
              <w:rPr>
                <w:rFonts w:ascii="Candara" w:eastAsia="Candara" w:hAnsi="Candara" w:cs="Candara"/>
                <w:sz w:val="18"/>
                <w:szCs w:val="18"/>
              </w:rPr>
            </w:pPr>
            <w:r>
              <w:rPr>
                <w:rFonts w:ascii="Candara" w:eastAsia="Candara" w:hAnsi="Candara" w:cs="Candara"/>
                <w:sz w:val="18"/>
                <w:szCs w:val="18"/>
              </w:rPr>
              <w:t>Praktiskie pētījumi (1111), Post-dok (1112)</w:t>
            </w:r>
          </w:p>
        </w:tc>
        <w:tc>
          <w:tcPr>
            <w:tcW w:w="5700" w:type="dxa"/>
            <w:shd w:val="clear" w:color="auto" w:fill="FFFFFF"/>
            <w:vAlign w:val="center"/>
          </w:tcPr>
          <w:p w:rsidR="00826465" w:rsidP="00860A6B" w14:paraId="00B21B31"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 pētījuma projekta iesniegumam pievienojams nozares asociācijas atzinums par pētījuma nozīmību attiecīgās nozares vai komersanta attīstībai; </w:t>
            </w:r>
          </w:p>
          <w:p w:rsidR="00826465" w:rsidP="00860A6B" w14:paraId="4BC9CD63" w14:textId="77777777">
            <w:pPr>
              <w:spacing w:after="0" w:line="240" w:lineRule="auto"/>
              <w:rPr>
                <w:rFonts w:ascii="Candara" w:eastAsia="Candara" w:hAnsi="Candara" w:cs="Candara"/>
                <w:sz w:val="18"/>
                <w:szCs w:val="18"/>
              </w:rPr>
            </w:pPr>
            <w:r>
              <w:rPr>
                <w:rFonts w:ascii="Candara" w:eastAsia="Candara" w:hAnsi="Candara" w:cs="Candara"/>
                <w:sz w:val="18"/>
                <w:szCs w:val="18"/>
              </w:rPr>
              <w:t>- vērtēšanas nosacījumi paredz vienāda punktu skaita gadījumā priekšroku īstenošanai tam pētniecības projektam, kurš piesaista lielāku privātā līdzfinansējuma apmēru;</w:t>
            </w:r>
          </w:p>
          <w:p w:rsidR="00826465" w:rsidP="00860A6B" w14:paraId="17D93DB6" w14:textId="77777777">
            <w:pPr>
              <w:spacing w:after="0" w:line="240" w:lineRule="auto"/>
              <w:rPr>
                <w:rFonts w:ascii="Candara" w:eastAsia="Candara" w:hAnsi="Candara" w:cs="Candara"/>
                <w:sz w:val="18"/>
                <w:szCs w:val="18"/>
              </w:rPr>
            </w:pPr>
            <w:r>
              <w:rPr>
                <w:rFonts w:ascii="Candara" w:eastAsia="Candara" w:hAnsi="Candara" w:cs="Candara"/>
                <w:sz w:val="18"/>
                <w:szCs w:val="18"/>
              </w:rPr>
              <w:t>- kā viens no programmu iznākuma rādītājiem noteikts komersantu piesaistītais privātais līdzfinansējums pētniecības projektu īstenošanai</w:t>
            </w:r>
          </w:p>
        </w:tc>
        <w:tc>
          <w:tcPr>
            <w:tcW w:w="3060" w:type="dxa"/>
            <w:shd w:val="clear" w:color="auto" w:fill="FFFFFF"/>
            <w:vAlign w:val="center"/>
          </w:tcPr>
          <w:p w:rsidR="00826465" w:rsidP="00860A6B" w14:paraId="04213FE5" w14:textId="57C848A1">
            <w:pPr>
              <w:spacing w:after="0" w:line="240" w:lineRule="auto"/>
              <w:jc w:val="both"/>
              <w:rPr>
                <w:rFonts w:ascii="Candara" w:eastAsia="Candara" w:hAnsi="Candara" w:cs="Candara"/>
                <w:b/>
                <w:sz w:val="18"/>
                <w:szCs w:val="18"/>
              </w:rPr>
            </w:pPr>
            <w:r>
              <w:rPr>
                <w:rFonts w:ascii="Candara" w:eastAsia="Candara" w:hAnsi="Candara" w:cs="Candara"/>
                <w:b/>
                <w:sz w:val="18"/>
                <w:szCs w:val="18"/>
              </w:rPr>
              <w:t>Praktiskie pētījum</w:t>
            </w:r>
            <w:r>
              <w:rPr>
                <w:rFonts w:ascii="Candara" w:eastAsia="Candara" w:hAnsi="Candara" w:cs="Candara"/>
                <w:sz w:val="18"/>
                <w:szCs w:val="18"/>
              </w:rPr>
              <w:t xml:space="preserve">i (1111) </w:t>
            </w:r>
            <w:r w:rsidR="00B561B2">
              <w:rPr>
                <w:rFonts w:ascii="Candara" w:eastAsia="Candara" w:hAnsi="Candara" w:cs="Candara"/>
                <w:b/>
                <w:sz w:val="18"/>
                <w:szCs w:val="18"/>
              </w:rPr>
              <w:t>–</w:t>
            </w:r>
            <w:r>
              <w:rPr>
                <w:rFonts w:ascii="Candara" w:eastAsia="Candara" w:hAnsi="Candara" w:cs="Candara"/>
                <w:b/>
                <w:sz w:val="18"/>
                <w:szCs w:val="18"/>
              </w:rPr>
              <w:t xml:space="preserve"> </w:t>
            </w:r>
            <w:r w:rsidR="00B561B2">
              <w:rPr>
                <w:rFonts w:ascii="Candara" w:eastAsia="Candara" w:hAnsi="Candara" w:cs="Candara"/>
                <w:b/>
                <w:sz w:val="18"/>
                <w:szCs w:val="18"/>
              </w:rPr>
              <w:t>2,6</w:t>
            </w:r>
            <w:r w:rsidR="00F21AD6">
              <w:rPr>
                <w:rFonts w:ascii="Candara" w:eastAsia="Candara" w:hAnsi="Candara" w:cs="Candara"/>
                <w:b/>
                <w:sz w:val="18"/>
                <w:szCs w:val="18"/>
              </w:rPr>
              <w:t>9</w:t>
            </w:r>
            <w:r>
              <w:rPr>
                <w:rFonts w:ascii="Candara" w:eastAsia="Candara" w:hAnsi="Candara" w:cs="Candara"/>
                <w:b/>
                <w:sz w:val="18"/>
                <w:szCs w:val="18"/>
              </w:rPr>
              <w:t xml:space="preserve"> MEUR</w:t>
            </w:r>
          </w:p>
          <w:p w:rsidR="00826465" w:rsidP="00860A6B" w14:paraId="0A9CE054" w14:textId="39973416">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2017.g. II ceturksnī noslēgti līgumi par </w:t>
            </w:r>
            <w:r w:rsidR="00BF4CEA">
              <w:rPr>
                <w:rFonts w:ascii="Candara" w:eastAsia="Candara" w:hAnsi="Candara" w:cs="Candara"/>
                <w:sz w:val="18"/>
                <w:szCs w:val="18"/>
              </w:rPr>
              <w:t xml:space="preserve">74 </w:t>
            </w:r>
            <w:r>
              <w:rPr>
                <w:rFonts w:ascii="Candara" w:eastAsia="Candara" w:hAnsi="Candara" w:cs="Candara"/>
                <w:sz w:val="18"/>
                <w:szCs w:val="18"/>
              </w:rPr>
              <w:t>pētniecības projektu īstenošanu (kopējais publiskais fin. 39</w:t>
            </w:r>
            <w:r w:rsidR="00BF4CEA">
              <w:rPr>
                <w:rFonts w:ascii="Candara" w:eastAsia="Candara" w:hAnsi="Candara" w:cs="Candara"/>
                <w:sz w:val="18"/>
                <w:szCs w:val="18"/>
              </w:rPr>
              <w:t>,77</w:t>
            </w:r>
            <w:r>
              <w:rPr>
                <w:rFonts w:ascii="Candara" w:eastAsia="Candara" w:hAnsi="Candara" w:cs="Candara"/>
                <w:sz w:val="18"/>
                <w:szCs w:val="18"/>
              </w:rPr>
              <w:t xml:space="preserve"> MEUR), kuru īstenošanai </w:t>
            </w:r>
            <w:r w:rsidR="00B561B2">
              <w:rPr>
                <w:rFonts w:ascii="Candara" w:eastAsia="Candara" w:hAnsi="Candara" w:cs="Candara"/>
                <w:sz w:val="18"/>
                <w:szCs w:val="18"/>
              </w:rPr>
              <w:t xml:space="preserve">kopsummā </w:t>
            </w:r>
            <w:r>
              <w:rPr>
                <w:rFonts w:ascii="Candara" w:eastAsia="Candara" w:hAnsi="Candara" w:cs="Candara"/>
                <w:sz w:val="18"/>
                <w:szCs w:val="18"/>
              </w:rPr>
              <w:t xml:space="preserve">plānots piesaistīt </w:t>
            </w:r>
            <w:r w:rsidR="00B561B2">
              <w:rPr>
                <w:rFonts w:ascii="Candara" w:eastAsia="Candara" w:hAnsi="Candara" w:cs="Candara"/>
                <w:b/>
                <w:sz w:val="18"/>
                <w:szCs w:val="18"/>
              </w:rPr>
              <w:t>2,6</w:t>
            </w:r>
            <w:r w:rsidR="00F21AD6">
              <w:rPr>
                <w:rFonts w:ascii="Candara" w:eastAsia="Candara" w:hAnsi="Candara" w:cs="Candara"/>
                <w:b/>
                <w:sz w:val="18"/>
                <w:szCs w:val="18"/>
              </w:rPr>
              <w:t>9</w:t>
            </w:r>
            <w:r w:rsidR="005E46ED">
              <w:rPr>
                <w:rFonts w:ascii="Candara" w:eastAsia="Candara" w:hAnsi="Candara" w:cs="Candara"/>
                <w:b/>
                <w:sz w:val="18"/>
                <w:szCs w:val="18"/>
              </w:rPr>
              <w:t xml:space="preserve"> </w:t>
            </w:r>
            <w:r>
              <w:rPr>
                <w:rFonts w:ascii="Candara" w:eastAsia="Candara" w:hAnsi="Candara" w:cs="Candara"/>
                <w:b/>
                <w:sz w:val="18"/>
                <w:szCs w:val="18"/>
              </w:rPr>
              <w:t>MEUR</w:t>
            </w:r>
            <w:r>
              <w:rPr>
                <w:rFonts w:ascii="Candara" w:eastAsia="Candara" w:hAnsi="Candara" w:cs="Candara"/>
                <w:sz w:val="18"/>
                <w:szCs w:val="18"/>
              </w:rPr>
              <w:t xml:space="preserve"> </w:t>
            </w:r>
            <w:r w:rsidR="00B561B2">
              <w:rPr>
                <w:rFonts w:ascii="Candara" w:eastAsia="Candara" w:hAnsi="Candara" w:cs="Candara"/>
                <w:sz w:val="18"/>
                <w:szCs w:val="18"/>
              </w:rPr>
              <w:t xml:space="preserve">privātā </w:t>
            </w:r>
            <w:r>
              <w:rPr>
                <w:rFonts w:ascii="Candara" w:eastAsia="Candara" w:hAnsi="Candara" w:cs="Candara"/>
                <w:sz w:val="18"/>
                <w:szCs w:val="18"/>
              </w:rPr>
              <w:t>līdzfinansējuma</w:t>
            </w:r>
            <w:r w:rsidR="00424AFF">
              <w:rPr>
                <w:rFonts w:ascii="Candara" w:eastAsia="Candara" w:hAnsi="Candara" w:cs="Candara"/>
                <w:sz w:val="18"/>
                <w:szCs w:val="18"/>
              </w:rPr>
              <w:t xml:space="preserve"> (no kura komersantu līdzfinansējums: indikatīvi 1,</w:t>
            </w:r>
            <w:r w:rsidR="000E1F11">
              <w:rPr>
                <w:rFonts w:ascii="Candara" w:eastAsia="Candara" w:hAnsi="Candara" w:cs="Candara"/>
                <w:sz w:val="18"/>
                <w:szCs w:val="18"/>
              </w:rPr>
              <w:t>6 </w:t>
            </w:r>
            <w:r w:rsidR="00424AFF">
              <w:rPr>
                <w:rFonts w:ascii="Candara" w:eastAsia="Candara" w:hAnsi="Candara" w:cs="Candara"/>
                <w:sz w:val="18"/>
                <w:szCs w:val="18"/>
              </w:rPr>
              <w:t>MEUR)</w:t>
            </w:r>
            <w:r>
              <w:rPr>
                <w:rFonts w:ascii="Candara" w:eastAsia="Candara" w:hAnsi="Candara" w:cs="Candara"/>
                <w:sz w:val="18"/>
                <w:szCs w:val="18"/>
              </w:rPr>
              <w:t>;</w:t>
            </w:r>
          </w:p>
          <w:p w:rsidR="00826465" w:rsidP="00860A6B" w14:paraId="3F56A978" w14:textId="77777777">
            <w:pPr>
              <w:spacing w:after="0" w:line="240" w:lineRule="auto"/>
              <w:jc w:val="both"/>
              <w:rPr>
                <w:rFonts w:ascii="Candara" w:eastAsia="Candara" w:hAnsi="Candara" w:cs="Candara"/>
                <w:sz w:val="18"/>
                <w:szCs w:val="18"/>
              </w:rPr>
            </w:pPr>
          </w:p>
          <w:p w:rsidR="00826465" w:rsidP="00860A6B" w14:paraId="7AB027D9" w14:textId="78B60389">
            <w:pPr>
              <w:spacing w:after="0" w:line="240" w:lineRule="auto"/>
              <w:jc w:val="both"/>
              <w:rPr>
                <w:rFonts w:ascii="Candara" w:eastAsia="Candara" w:hAnsi="Candara" w:cs="Candara"/>
                <w:b/>
                <w:sz w:val="18"/>
                <w:szCs w:val="18"/>
              </w:rPr>
            </w:pPr>
            <w:r>
              <w:rPr>
                <w:rFonts w:ascii="Candara" w:eastAsia="Candara" w:hAnsi="Candara" w:cs="Candara"/>
                <w:b/>
                <w:sz w:val="18"/>
                <w:szCs w:val="18"/>
              </w:rPr>
              <w:t>Post-dok (1112) - 0,</w:t>
            </w:r>
            <w:r w:rsidR="00F21AD6">
              <w:rPr>
                <w:rFonts w:ascii="Candara" w:eastAsia="Candara" w:hAnsi="Candara" w:cs="Candara"/>
                <w:b/>
                <w:sz w:val="18"/>
                <w:szCs w:val="18"/>
              </w:rPr>
              <w:t xml:space="preserve">28 </w:t>
            </w:r>
            <w:r>
              <w:rPr>
                <w:rFonts w:ascii="Candara" w:eastAsia="Candara" w:hAnsi="Candara" w:cs="Candara"/>
                <w:b/>
                <w:sz w:val="18"/>
                <w:szCs w:val="18"/>
              </w:rPr>
              <w:t>MEUR</w:t>
            </w:r>
          </w:p>
          <w:p w:rsidR="00826465" w:rsidP="00F21AD6" w14:paraId="52F5A611" w14:textId="5EDFA956">
            <w:pPr>
              <w:spacing w:after="0" w:line="240" w:lineRule="auto"/>
              <w:jc w:val="both"/>
              <w:rPr>
                <w:rFonts w:ascii="Candara" w:eastAsia="Candara" w:hAnsi="Candara" w:cs="Candara"/>
                <w:sz w:val="18"/>
                <w:szCs w:val="18"/>
              </w:rPr>
            </w:pPr>
            <w:r>
              <w:rPr>
                <w:rFonts w:ascii="Candara" w:eastAsia="Candara" w:hAnsi="Candara" w:cs="Candara"/>
                <w:sz w:val="18"/>
                <w:szCs w:val="18"/>
              </w:rPr>
              <w:t>2017.g. IV ceturksnī noslēgti līgumi par 124 pētniecības pieteikumu īstenošanu (kopējais publiskais fin. 15,7 MEUR), kuru ietvaros plānots piesaistīti 0,28 MEUR privātā līdzfinansējuma</w:t>
            </w:r>
          </w:p>
        </w:tc>
      </w:tr>
      <w:tr w14:paraId="65EF0ED4" w14:textId="77777777" w:rsidTr="00324F94">
        <w:tblPrEx>
          <w:tblW w:w="13948" w:type="dxa"/>
          <w:tblInd w:w="-115" w:type="dxa"/>
          <w:tblLayout w:type="fixed"/>
          <w:tblLook w:val="0400"/>
        </w:tblPrEx>
        <w:trPr>
          <w:trHeight w:val="420"/>
        </w:trPr>
        <w:tc>
          <w:tcPr>
            <w:tcW w:w="1858" w:type="dxa"/>
            <w:vMerge/>
            <w:shd w:val="clear" w:color="auto" w:fill="FFFFFF"/>
            <w:vAlign w:val="center"/>
          </w:tcPr>
          <w:p w:rsidR="00826465" w:rsidP="00172CA8" w14:paraId="14DA253A"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826465" w:rsidP="00172CA8" w14:paraId="0FD2DC98" w14:textId="77777777">
            <w:pPr>
              <w:spacing w:after="0" w:line="240" w:lineRule="auto"/>
              <w:rPr>
                <w:rFonts w:ascii="Candara" w:eastAsia="Candara" w:hAnsi="Candara" w:cs="Candara"/>
                <w:sz w:val="18"/>
                <w:szCs w:val="18"/>
              </w:rPr>
            </w:pPr>
          </w:p>
        </w:tc>
        <w:tc>
          <w:tcPr>
            <w:tcW w:w="2384" w:type="dxa"/>
            <w:shd w:val="clear" w:color="auto" w:fill="FFFFFF"/>
            <w:vAlign w:val="center"/>
          </w:tcPr>
          <w:p w:rsidR="00826465" w:rsidP="00860A6B" w14:paraId="27656160" w14:textId="77777777">
            <w:pPr>
              <w:spacing w:after="0" w:line="240" w:lineRule="auto"/>
              <w:rPr>
                <w:rFonts w:ascii="Candara" w:eastAsia="Candara" w:hAnsi="Candara" w:cs="Candara"/>
                <w:sz w:val="18"/>
                <w:szCs w:val="18"/>
              </w:rPr>
            </w:pPr>
            <w:r>
              <w:rPr>
                <w:rFonts w:ascii="Candara" w:eastAsia="Candara" w:hAnsi="Candara" w:cs="Candara"/>
                <w:sz w:val="18"/>
                <w:szCs w:val="18"/>
              </w:rPr>
              <w:t>Inovācijas granti studentiem (1113)</w:t>
            </w:r>
          </w:p>
        </w:tc>
        <w:tc>
          <w:tcPr>
            <w:tcW w:w="5700" w:type="dxa"/>
            <w:shd w:val="clear" w:color="auto" w:fill="FFFFFF"/>
            <w:vAlign w:val="center"/>
          </w:tcPr>
          <w:p w:rsidR="00826465" w:rsidP="00411536" w14:paraId="7DE27B12" w14:textId="7C1FD70B">
            <w:pPr>
              <w:spacing w:after="0" w:line="240" w:lineRule="auto"/>
              <w:rPr>
                <w:rFonts w:ascii="Candara" w:eastAsia="Candara" w:hAnsi="Candara" w:cs="Candara"/>
                <w:sz w:val="18"/>
                <w:szCs w:val="18"/>
              </w:rPr>
            </w:pPr>
            <w:r>
              <w:rPr>
                <w:rFonts w:ascii="Candara" w:eastAsia="Candara" w:hAnsi="Candara" w:cs="Candara"/>
                <w:sz w:val="18"/>
                <w:szCs w:val="18"/>
              </w:rPr>
              <w:t xml:space="preserve">- </w:t>
            </w:r>
            <w:r w:rsidR="00411536">
              <w:rPr>
                <w:rFonts w:ascii="Candara" w:eastAsia="Candara" w:hAnsi="Candara" w:cs="Candara"/>
                <w:sz w:val="18"/>
                <w:szCs w:val="18"/>
              </w:rPr>
              <w:t>augstākās izglītības iestādes inovāciju grantu projektu īsteno sadarbībā ar vismaz vienu komersantu kā sadarbības partneri</w:t>
            </w:r>
          </w:p>
          <w:p w:rsidR="00411536" w:rsidRPr="005C41A3" w:rsidP="00411536" w14:paraId="1C7144D6" w14:textId="4CA947BC">
            <w:pPr>
              <w:spacing w:after="0" w:line="240" w:lineRule="auto"/>
              <w:rPr>
                <w:rFonts w:ascii="Candara" w:eastAsia="Candara" w:hAnsi="Candara" w:cs="Candara"/>
                <w:i/>
                <w:sz w:val="18"/>
                <w:szCs w:val="18"/>
              </w:rPr>
            </w:pPr>
            <w:r>
              <w:rPr>
                <w:rFonts w:ascii="Candara" w:eastAsia="Candara" w:hAnsi="Candara" w:cs="Candara"/>
                <w:sz w:val="18"/>
                <w:szCs w:val="18"/>
              </w:rPr>
              <w:t xml:space="preserve">- inovāciju granta projekta īstenošanā jāparedz privātais finansējums vismaz 25% apmērā no kopējām attiecināmajām izmaksām, t.sk. tas nevar būt mazāks kā 100 tk. </w:t>
            </w:r>
            <w:r>
              <w:rPr>
                <w:rFonts w:ascii="Candara" w:eastAsia="Candara" w:hAnsi="Candara" w:cs="Candara"/>
                <w:i/>
                <w:sz w:val="18"/>
                <w:szCs w:val="18"/>
              </w:rPr>
              <w:t>euro</w:t>
            </w:r>
          </w:p>
          <w:p w:rsidR="00411536" w:rsidP="00411536" w14:paraId="77557584" w14:textId="338484AC">
            <w:pPr>
              <w:spacing w:after="0" w:line="240" w:lineRule="auto"/>
              <w:rPr>
                <w:rFonts w:ascii="Candara" w:eastAsia="Candara" w:hAnsi="Candara" w:cs="Candara"/>
                <w:sz w:val="18"/>
                <w:szCs w:val="18"/>
              </w:rPr>
            </w:pPr>
          </w:p>
        </w:tc>
        <w:tc>
          <w:tcPr>
            <w:tcW w:w="3060" w:type="dxa"/>
            <w:shd w:val="clear" w:color="auto" w:fill="FFFFFF"/>
            <w:vAlign w:val="center"/>
          </w:tcPr>
          <w:p w:rsidR="00826465" w:rsidP="00665B3B" w14:paraId="248A3A66" w14:textId="7CD0E72B">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ievērojot, ka </w:t>
            </w:r>
            <w:r w:rsidR="00F21AD6">
              <w:rPr>
                <w:rFonts w:ascii="Candara" w:eastAsia="Candara" w:hAnsi="Candara" w:cs="Candara"/>
                <w:sz w:val="18"/>
                <w:szCs w:val="18"/>
              </w:rPr>
              <w:t xml:space="preserve">ieviešanas nosacījumi ir izstrādāti, bet </w:t>
            </w:r>
            <w:r w:rsidR="00665B3B">
              <w:rPr>
                <w:rFonts w:ascii="Candara" w:eastAsia="Candara" w:hAnsi="Candara" w:cs="Candara"/>
                <w:sz w:val="18"/>
                <w:szCs w:val="18"/>
              </w:rPr>
              <w:t>šobrīd norisinās atlases dokumentācijas izstrāde</w:t>
            </w:r>
            <w:r>
              <w:rPr>
                <w:rFonts w:ascii="Candara" w:eastAsia="Candara" w:hAnsi="Candara" w:cs="Candara"/>
                <w:sz w:val="18"/>
                <w:szCs w:val="18"/>
              </w:rPr>
              <w:t xml:space="preserve">, vēl nav </w:t>
            </w:r>
            <w:r>
              <w:rPr>
                <w:rFonts w:ascii="Candara" w:eastAsia="Candara" w:hAnsi="Candara" w:cs="Candara"/>
                <w:sz w:val="18"/>
                <w:szCs w:val="18"/>
              </w:rPr>
              <w:t xml:space="preserve">sasniegti </w:t>
            </w:r>
            <w:r w:rsidR="00665B3B">
              <w:rPr>
                <w:rFonts w:ascii="Candara" w:eastAsia="Candara" w:hAnsi="Candara" w:cs="Candara"/>
                <w:sz w:val="18"/>
                <w:szCs w:val="18"/>
              </w:rPr>
              <w:t xml:space="preserve">rezultāti </w:t>
            </w:r>
            <w:r>
              <w:rPr>
                <w:rFonts w:ascii="Candara" w:eastAsia="Candara" w:hAnsi="Candara" w:cs="Candara"/>
                <w:sz w:val="18"/>
                <w:szCs w:val="18"/>
              </w:rPr>
              <w:t>vai uzņemtas saistības</w:t>
            </w:r>
          </w:p>
        </w:tc>
      </w:tr>
      <w:tr w14:paraId="34F7D417" w14:textId="77777777" w:rsidTr="00324F94">
        <w:tblPrEx>
          <w:tblW w:w="13948" w:type="dxa"/>
          <w:tblInd w:w="-115" w:type="dxa"/>
          <w:tblLayout w:type="fixed"/>
          <w:tblLook w:val="0400"/>
        </w:tblPrEx>
        <w:trPr>
          <w:trHeight w:val="260"/>
        </w:trPr>
        <w:tc>
          <w:tcPr>
            <w:tcW w:w="1858" w:type="dxa"/>
            <w:vMerge/>
            <w:shd w:val="clear" w:color="auto" w:fill="FFFFFF"/>
            <w:vAlign w:val="center"/>
          </w:tcPr>
          <w:p w:rsidR="00826465" w:rsidP="00172CA8" w14:paraId="1F18C890" w14:textId="406A91DF">
            <w:pPr>
              <w:spacing w:after="0" w:line="276" w:lineRule="auto"/>
              <w:rPr>
                <w:rFonts w:ascii="Candara" w:eastAsia="Candara" w:hAnsi="Candara" w:cs="Candara"/>
                <w:sz w:val="18"/>
                <w:szCs w:val="18"/>
              </w:rPr>
            </w:pPr>
          </w:p>
        </w:tc>
        <w:tc>
          <w:tcPr>
            <w:tcW w:w="946" w:type="dxa"/>
            <w:vMerge/>
            <w:shd w:val="clear" w:color="auto" w:fill="FFFFFF"/>
            <w:vAlign w:val="center"/>
          </w:tcPr>
          <w:p w:rsidR="00826465" w:rsidP="00172CA8" w14:paraId="14D30538" w14:textId="77777777">
            <w:pPr>
              <w:spacing w:after="0" w:line="240" w:lineRule="auto"/>
              <w:rPr>
                <w:rFonts w:ascii="Candara" w:eastAsia="Candara" w:hAnsi="Candara" w:cs="Candara"/>
                <w:sz w:val="18"/>
                <w:szCs w:val="18"/>
              </w:rPr>
            </w:pPr>
          </w:p>
        </w:tc>
        <w:tc>
          <w:tcPr>
            <w:tcW w:w="2384" w:type="dxa"/>
            <w:shd w:val="clear" w:color="auto" w:fill="FFFFFF"/>
            <w:vAlign w:val="center"/>
          </w:tcPr>
          <w:p w:rsidR="00826465" w:rsidP="00860A6B" w14:paraId="7E7C0510"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Sadarbība (atbalsts EIP darba grupām; atbalsts jaunu produktu, metožu un tehnoloģiju izstrādei) (EFLA)  </w:t>
            </w:r>
          </w:p>
        </w:tc>
        <w:tc>
          <w:tcPr>
            <w:tcW w:w="5700" w:type="dxa"/>
            <w:shd w:val="clear" w:color="auto" w:fill="FFFFFF"/>
            <w:vAlign w:val="center"/>
          </w:tcPr>
          <w:p w:rsidR="00826465" w:rsidP="00860A6B" w14:paraId="76DB4134" w14:textId="77777777">
            <w:pPr>
              <w:spacing w:after="0" w:line="240" w:lineRule="auto"/>
              <w:rPr>
                <w:rFonts w:ascii="Candara" w:eastAsia="Candara" w:hAnsi="Candara" w:cs="Candara"/>
                <w:sz w:val="18"/>
                <w:szCs w:val="18"/>
              </w:rPr>
            </w:pPr>
            <w:r>
              <w:rPr>
                <w:rFonts w:ascii="Candara" w:eastAsia="Candara" w:hAnsi="Candara" w:cs="Candara"/>
                <w:sz w:val="18"/>
                <w:szCs w:val="18"/>
              </w:rPr>
              <w:t>- pasākuma ieviešanas nosacījumos noteikts, ka viena projekta maksimālā atbalsta intensitāte - 90% (atsevišķos gadījumos paaugstinot par 10%), paredzot finansējuma saņēmēja  līdzfinansējumu 10% apmērā</w:t>
            </w:r>
          </w:p>
        </w:tc>
        <w:tc>
          <w:tcPr>
            <w:tcW w:w="3060" w:type="dxa"/>
            <w:shd w:val="clear" w:color="auto" w:fill="FFFFFF"/>
            <w:vAlign w:val="center"/>
          </w:tcPr>
          <w:p w:rsidR="00826465" w:rsidP="00860A6B" w14:paraId="5461549C"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ievērojot, ka projektu īstenošana vēl nav uzsākta, vēl nav sasniegti rezultāti vai uzņemtas saistības</w:t>
            </w:r>
          </w:p>
        </w:tc>
      </w:tr>
      <w:tr w14:paraId="7216DA84" w14:textId="77777777" w:rsidTr="00324F94">
        <w:tblPrEx>
          <w:tblW w:w="13948" w:type="dxa"/>
          <w:tblInd w:w="-115" w:type="dxa"/>
          <w:tblLayout w:type="fixed"/>
          <w:tblLook w:val="0400"/>
        </w:tblPrEx>
        <w:trPr>
          <w:trHeight w:val="2100"/>
        </w:trPr>
        <w:tc>
          <w:tcPr>
            <w:tcW w:w="1858" w:type="dxa"/>
            <w:vMerge/>
            <w:shd w:val="clear" w:color="auto" w:fill="FFFFFF"/>
            <w:vAlign w:val="center"/>
          </w:tcPr>
          <w:p w:rsidR="00826465" w:rsidP="00172CA8" w14:paraId="22905405"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826465" w:rsidP="00172CA8" w14:paraId="15F3F93E" w14:textId="77777777">
            <w:pPr>
              <w:spacing w:after="0" w:line="240" w:lineRule="auto"/>
              <w:rPr>
                <w:rFonts w:ascii="Candara" w:eastAsia="Candara" w:hAnsi="Candara" w:cs="Candara"/>
                <w:sz w:val="18"/>
                <w:szCs w:val="18"/>
              </w:rPr>
            </w:pPr>
          </w:p>
        </w:tc>
        <w:tc>
          <w:tcPr>
            <w:tcW w:w="2384" w:type="dxa"/>
            <w:shd w:val="clear" w:color="auto" w:fill="FFFFFF"/>
            <w:vAlign w:val="center"/>
          </w:tcPr>
          <w:p w:rsidR="00826465" w:rsidP="00860A6B" w14:paraId="4BAD868E" w14:textId="77777777">
            <w:pPr>
              <w:spacing w:after="0" w:line="240" w:lineRule="auto"/>
              <w:rPr>
                <w:rFonts w:ascii="Candara" w:eastAsia="Candara" w:hAnsi="Candara" w:cs="Candara"/>
                <w:sz w:val="18"/>
                <w:szCs w:val="18"/>
              </w:rPr>
            </w:pPr>
            <w:r>
              <w:rPr>
                <w:rFonts w:ascii="Candara" w:eastAsia="Candara" w:hAnsi="Candara" w:cs="Candara"/>
                <w:sz w:val="18"/>
                <w:szCs w:val="18"/>
              </w:rPr>
              <w:t>KC programma (1211); TPP (Tehnoloģiju pārnese, Inovāciju vaučeri, augstas kvalif. darbinieki) (1212), Jaunu produktu ieviešana ražošanā (1214), Finanšu instrumenti (312), Sadarbība (EFLA)</w:t>
            </w:r>
          </w:p>
        </w:tc>
        <w:tc>
          <w:tcPr>
            <w:tcW w:w="5700" w:type="dxa"/>
            <w:shd w:val="clear" w:color="auto" w:fill="FFFFFF"/>
            <w:vAlign w:val="center"/>
          </w:tcPr>
          <w:p w:rsidR="00826465" w:rsidP="00860A6B" w14:paraId="5B0FD6EB" w14:textId="77777777">
            <w:pPr>
              <w:spacing w:after="0" w:line="240" w:lineRule="auto"/>
              <w:rPr>
                <w:rFonts w:ascii="Candara" w:eastAsia="Candara" w:hAnsi="Candara" w:cs="Candara"/>
                <w:sz w:val="18"/>
                <w:szCs w:val="18"/>
              </w:rPr>
            </w:pPr>
            <w:r>
              <w:rPr>
                <w:rFonts w:ascii="Candara" w:eastAsia="Candara" w:hAnsi="Candara" w:cs="Candara"/>
                <w:sz w:val="18"/>
                <w:szCs w:val="18"/>
              </w:rPr>
              <w:t> </w:t>
            </w:r>
            <w:r>
              <w:rPr>
                <w:rFonts w:ascii="Candara" w:eastAsia="Candara" w:hAnsi="Candara" w:cs="Candara"/>
                <w:b/>
                <w:sz w:val="18"/>
                <w:szCs w:val="18"/>
              </w:rPr>
              <w:t>KC programma</w:t>
            </w:r>
            <w:r>
              <w:rPr>
                <w:rFonts w:ascii="Candara" w:eastAsia="Candara" w:hAnsi="Candara" w:cs="Candara"/>
                <w:sz w:val="18"/>
                <w:szCs w:val="18"/>
              </w:rPr>
              <w:t>:</w:t>
            </w:r>
          </w:p>
          <w:p w:rsidR="00826465" w:rsidP="00860A6B" w14:paraId="09B4CD57" w14:textId="77777777">
            <w:pPr>
              <w:spacing w:after="0" w:line="240" w:lineRule="auto"/>
              <w:rPr>
                <w:rFonts w:ascii="Candara" w:eastAsia="Candara" w:hAnsi="Candara" w:cs="Candara"/>
                <w:sz w:val="18"/>
                <w:szCs w:val="18"/>
              </w:rPr>
            </w:pPr>
            <w:r>
              <w:rPr>
                <w:rFonts w:ascii="Candara" w:eastAsia="Candara" w:hAnsi="Candara" w:cs="Candara"/>
                <w:sz w:val="18"/>
                <w:szCs w:val="18"/>
              </w:rPr>
              <w:t>piešķirtās intensitātes apjoms  no projekta kopējām attiecināmajām izmaksām:</w:t>
            </w:r>
          </w:p>
          <w:p w:rsidR="00826465" w:rsidP="00860A6B" w14:paraId="78363F85" w14:textId="77777777">
            <w:pPr>
              <w:spacing w:after="0" w:line="240" w:lineRule="auto"/>
              <w:rPr>
                <w:rFonts w:ascii="Candara" w:eastAsia="Candara" w:hAnsi="Candara" w:cs="Candara"/>
                <w:sz w:val="18"/>
                <w:szCs w:val="18"/>
              </w:rPr>
            </w:pPr>
            <w:r>
              <w:rPr>
                <w:rFonts w:ascii="Candara" w:eastAsia="Candara" w:hAnsi="Candara" w:cs="Candara"/>
                <w:sz w:val="18"/>
                <w:szCs w:val="18"/>
              </w:rPr>
              <w:t>- rūpnieciskiem pētījumiem (50%-70%)</w:t>
            </w:r>
          </w:p>
          <w:p w:rsidR="00826465" w:rsidP="00860A6B" w14:paraId="542FC501" w14:textId="77777777">
            <w:pPr>
              <w:spacing w:after="0" w:line="240" w:lineRule="auto"/>
              <w:rPr>
                <w:rFonts w:ascii="Candara" w:eastAsia="Candara" w:hAnsi="Candara" w:cs="Candara"/>
                <w:sz w:val="18"/>
                <w:szCs w:val="18"/>
              </w:rPr>
            </w:pPr>
            <w:r>
              <w:rPr>
                <w:rFonts w:ascii="Candara" w:eastAsia="Candara" w:hAnsi="Candara" w:cs="Candara"/>
                <w:sz w:val="18"/>
                <w:szCs w:val="18"/>
              </w:rPr>
              <w:t>- eksperimentālām izstrādnēm (25%-45%)</w:t>
            </w:r>
          </w:p>
          <w:p w:rsidR="00826465" w:rsidP="00860A6B" w14:paraId="47A5A296" w14:textId="77777777">
            <w:pPr>
              <w:spacing w:after="0" w:line="240" w:lineRule="auto"/>
              <w:rPr>
                <w:rFonts w:ascii="Candara" w:eastAsia="Candara" w:hAnsi="Candara" w:cs="Candara"/>
                <w:sz w:val="18"/>
                <w:szCs w:val="18"/>
              </w:rPr>
            </w:pPr>
            <w:r>
              <w:rPr>
                <w:rFonts w:ascii="Candara" w:eastAsia="Candara" w:hAnsi="Candara" w:cs="Candara"/>
                <w:sz w:val="18"/>
                <w:szCs w:val="18"/>
              </w:rPr>
              <w:t>- tehniski ekonomiskajai priekšizpētei (50-70%)</w:t>
            </w:r>
          </w:p>
          <w:p w:rsidR="00826465" w:rsidP="00860A6B" w14:paraId="385B2B8F" w14:textId="77777777">
            <w:pPr>
              <w:spacing w:after="0" w:line="240" w:lineRule="auto"/>
              <w:rPr>
                <w:rFonts w:ascii="Candara" w:eastAsia="Candara" w:hAnsi="Candara" w:cs="Candara"/>
                <w:sz w:val="18"/>
                <w:szCs w:val="18"/>
              </w:rPr>
            </w:pPr>
            <w:r>
              <w:rPr>
                <w:rFonts w:ascii="Candara" w:eastAsia="Candara" w:hAnsi="Candara" w:cs="Candara"/>
                <w:sz w:val="18"/>
                <w:szCs w:val="18"/>
              </w:rPr>
              <w:t>Minēto finansējuma intensitāti var palielināt līdz 80% par efektīvu sadarbību un publicitāti.</w:t>
            </w:r>
          </w:p>
          <w:p w:rsidR="00826465" w:rsidP="00860A6B" w14:paraId="1CA2E957" w14:textId="77777777">
            <w:pPr>
              <w:spacing w:after="0" w:line="240" w:lineRule="auto"/>
              <w:rPr>
                <w:rFonts w:ascii="Candara" w:eastAsia="Candara" w:hAnsi="Candara" w:cs="Candara"/>
                <w:sz w:val="18"/>
                <w:szCs w:val="18"/>
              </w:rPr>
            </w:pPr>
          </w:p>
          <w:p w:rsidR="00826465" w:rsidP="00860A6B" w14:paraId="30DE60A9" w14:textId="77777777">
            <w:pPr>
              <w:spacing w:after="0" w:line="240" w:lineRule="auto"/>
              <w:rPr>
                <w:rFonts w:ascii="Candara" w:eastAsia="Candara" w:hAnsi="Candara" w:cs="Candara"/>
                <w:sz w:val="18"/>
                <w:szCs w:val="18"/>
              </w:rPr>
            </w:pPr>
            <w:r>
              <w:rPr>
                <w:rFonts w:ascii="Candara" w:eastAsia="Candara" w:hAnsi="Candara" w:cs="Candara"/>
                <w:b/>
                <w:sz w:val="18"/>
                <w:szCs w:val="18"/>
              </w:rPr>
              <w:t>Inovāciju vaučeris</w:t>
            </w:r>
            <w:r>
              <w:rPr>
                <w:rFonts w:ascii="Candara" w:eastAsia="Candara" w:hAnsi="Candara" w:cs="Candara"/>
                <w:sz w:val="18"/>
                <w:szCs w:val="18"/>
              </w:rPr>
              <w:t xml:space="preserve"> nodrošina, ka piešķirtās intensitātes apjoms no projekta kopējām attiecināmajām izmaksām ir 60% un finansējums tiek piešķirts P&amp;A projektu darbībām, kas veicina uzņēmuma līdzfinansējumu un darbību P&amp;A.</w:t>
            </w:r>
          </w:p>
          <w:p w:rsidR="00826465" w:rsidP="00860A6B" w14:paraId="5E2EF3C2" w14:textId="77777777">
            <w:pPr>
              <w:spacing w:after="0" w:line="240" w:lineRule="auto"/>
              <w:rPr>
                <w:rFonts w:ascii="Candara" w:eastAsia="Candara" w:hAnsi="Candara" w:cs="Candara"/>
                <w:sz w:val="18"/>
                <w:szCs w:val="18"/>
              </w:rPr>
            </w:pPr>
          </w:p>
          <w:p w:rsidR="00826465" w:rsidP="00860A6B" w14:paraId="4A4A3470" w14:textId="77777777">
            <w:pPr>
              <w:spacing w:after="0" w:line="240" w:lineRule="auto"/>
              <w:rPr>
                <w:rFonts w:ascii="Candara" w:eastAsia="Candara" w:hAnsi="Candara" w:cs="Candara"/>
                <w:b/>
                <w:sz w:val="18"/>
                <w:szCs w:val="18"/>
              </w:rPr>
            </w:pPr>
            <w:r>
              <w:rPr>
                <w:rFonts w:ascii="Candara" w:eastAsia="Candara" w:hAnsi="Candara" w:cs="Candara"/>
                <w:b/>
                <w:sz w:val="18"/>
                <w:szCs w:val="18"/>
              </w:rPr>
              <w:t>JPIR programma:</w:t>
            </w:r>
          </w:p>
          <w:p w:rsidR="00826465" w:rsidP="00860A6B" w14:paraId="1BCA9A29" w14:textId="77777777">
            <w:pPr>
              <w:spacing w:after="0" w:line="240" w:lineRule="auto"/>
              <w:rPr>
                <w:rFonts w:ascii="Candara" w:eastAsia="Candara" w:hAnsi="Candara" w:cs="Candara"/>
                <w:sz w:val="18"/>
                <w:szCs w:val="18"/>
              </w:rPr>
            </w:pPr>
            <w:r>
              <w:rPr>
                <w:rFonts w:ascii="Candara" w:eastAsia="Candara" w:hAnsi="Candara" w:cs="Candara"/>
                <w:sz w:val="18"/>
                <w:szCs w:val="18"/>
              </w:rPr>
              <w:t>Specifiskie atbilstības kritēriji paredz, ka vismaz 20% no projekta iesniegumā paredzētajām attiecināmajām izmaksām ir pētniecības un attīstības darbi</w:t>
            </w:r>
          </w:p>
        </w:tc>
        <w:tc>
          <w:tcPr>
            <w:tcW w:w="3060" w:type="dxa"/>
            <w:shd w:val="clear" w:color="auto" w:fill="FFFFFF"/>
            <w:vAlign w:val="center"/>
          </w:tcPr>
          <w:p w:rsidR="00826465" w:rsidP="00860A6B" w14:paraId="4688D8D5" w14:textId="77777777">
            <w:pPr>
              <w:spacing w:after="0" w:line="240" w:lineRule="auto"/>
              <w:jc w:val="both"/>
              <w:rPr>
                <w:rFonts w:ascii="Candara" w:eastAsia="Candara" w:hAnsi="Candara" w:cs="Candara"/>
                <w:sz w:val="18"/>
                <w:szCs w:val="18"/>
              </w:rPr>
            </w:pPr>
            <w:r>
              <w:rPr>
                <w:rFonts w:ascii="Candara" w:eastAsia="Candara" w:hAnsi="Candara" w:cs="Candara"/>
                <w:b/>
                <w:sz w:val="18"/>
                <w:szCs w:val="18"/>
              </w:rPr>
              <w:t> KC programm</w:t>
            </w:r>
            <w:r>
              <w:rPr>
                <w:rFonts w:ascii="Candara" w:eastAsia="Candara" w:hAnsi="Candara" w:cs="Candara"/>
                <w:sz w:val="18"/>
                <w:szCs w:val="18"/>
              </w:rPr>
              <w:t>a (1211):</w:t>
            </w:r>
          </w:p>
          <w:p w:rsidR="00826465" w:rsidP="00860A6B" w14:paraId="0AF3373A" w14:textId="081E157E">
            <w:pPr>
              <w:spacing w:after="0" w:line="240" w:lineRule="auto"/>
              <w:jc w:val="both"/>
              <w:rPr>
                <w:rFonts w:ascii="Candara" w:eastAsia="Candara" w:hAnsi="Candara" w:cs="Candara"/>
                <w:b/>
                <w:sz w:val="18"/>
                <w:szCs w:val="18"/>
              </w:rPr>
            </w:pPr>
            <w:r>
              <w:rPr>
                <w:rFonts w:ascii="Candara" w:eastAsia="Candara" w:hAnsi="Candara" w:cs="Candara"/>
                <w:sz w:val="18"/>
                <w:szCs w:val="18"/>
              </w:rPr>
              <w:t xml:space="preserve">Pasākuma ietvaros līdz 2017.g. </w:t>
            </w:r>
            <w:r w:rsidR="00F90959">
              <w:rPr>
                <w:rFonts w:ascii="Candara" w:eastAsia="Candara" w:hAnsi="Candara" w:cs="Candara"/>
                <w:sz w:val="18"/>
                <w:szCs w:val="18"/>
              </w:rPr>
              <w:t xml:space="preserve">beigām </w:t>
            </w:r>
            <w:r>
              <w:rPr>
                <w:rFonts w:ascii="Candara" w:eastAsia="Candara" w:hAnsi="Candara" w:cs="Candara"/>
                <w:sz w:val="18"/>
                <w:szCs w:val="18"/>
              </w:rPr>
              <w:t xml:space="preserve">uzņēmumu līdzfinansējums P&amp;A projektiem sastāda </w:t>
            </w:r>
            <w:r w:rsidR="00114F60">
              <w:rPr>
                <w:rFonts w:ascii="Candara" w:eastAsia="Candara" w:hAnsi="Candara" w:cs="Candara"/>
                <w:b/>
                <w:sz w:val="18"/>
                <w:szCs w:val="18"/>
              </w:rPr>
              <w:t>9</w:t>
            </w:r>
            <w:r w:rsidR="009F4306">
              <w:rPr>
                <w:rFonts w:ascii="Candara" w:eastAsia="Candara" w:hAnsi="Candara" w:cs="Candara"/>
                <w:b/>
                <w:sz w:val="18"/>
                <w:szCs w:val="18"/>
              </w:rPr>
              <w:t>,</w:t>
            </w:r>
            <w:r w:rsidR="00114F60">
              <w:rPr>
                <w:rFonts w:ascii="Candara" w:eastAsia="Candara" w:hAnsi="Candara" w:cs="Candara"/>
                <w:b/>
                <w:sz w:val="18"/>
                <w:szCs w:val="18"/>
              </w:rPr>
              <w:t>86</w:t>
            </w:r>
            <w:r w:rsidR="00D73C06">
              <w:rPr>
                <w:rFonts w:ascii="Candara" w:eastAsia="Candara" w:hAnsi="Candara" w:cs="Candara"/>
                <w:b/>
                <w:sz w:val="18"/>
                <w:szCs w:val="18"/>
              </w:rPr>
              <w:t xml:space="preserve"> M</w:t>
            </w:r>
            <w:r>
              <w:rPr>
                <w:rFonts w:ascii="Candara" w:eastAsia="Candara" w:hAnsi="Candara" w:cs="Candara"/>
                <w:b/>
                <w:sz w:val="18"/>
                <w:szCs w:val="18"/>
              </w:rPr>
              <w:t>EUR</w:t>
            </w:r>
          </w:p>
          <w:p w:rsidR="00826465" w:rsidP="00860A6B" w14:paraId="2F9A695D" w14:textId="77777777">
            <w:pPr>
              <w:spacing w:after="0" w:line="240" w:lineRule="auto"/>
              <w:jc w:val="both"/>
              <w:rPr>
                <w:rFonts w:ascii="Candara" w:eastAsia="Candara" w:hAnsi="Candara" w:cs="Candara"/>
                <w:sz w:val="18"/>
                <w:szCs w:val="18"/>
              </w:rPr>
            </w:pPr>
          </w:p>
          <w:p w:rsidR="00826465" w:rsidP="00860A6B" w14:paraId="51C8DE97" w14:textId="77777777">
            <w:pPr>
              <w:spacing w:after="0" w:line="240" w:lineRule="auto"/>
              <w:jc w:val="both"/>
              <w:rPr>
                <w:rFonts w:ascii="Candara" w:eastAsia="Candara" w:hAnsi="Candara" w:cs="Candara"/>
                <w:sz w:val="18"/>
                <w:szCs w:val="18"/>
              </w:rPr>
            </w:pPr>
          </w:p>
          <w:p w:rsidR="00826465" w:rsidP="00860A6B" w14:paraId="22101D7A" w14:textId="77777777">
            <w:pPr>
              <w:spacing w:after="0" w:line="240" w:lineRule="auto"/>
              <w:jc w:val="both"/>
              <w:rPr>
                <w:rFonts w:ascii="Candara" w:eastAsia="Candara" w:hAnsi="Candara" w:cs="Candara"/>
                <w:sz w:val="18"/>
                <w:szCs w:val="18"/>
              </w:rPr>
            </w:pPr>
          </w:p>
          <w:p w:rsidR="00826465" w:rsidP="00860A6B" w14:paraId="5F4783E5" w14:textId="77777777">
            <w:pPr>
              <w:spacing w:after="0" w:line="240" w:lineRule="auto"/>
              <w:jc w:val="both"/>
              <w:rPr>
                <w:rFonts w:ascii="Candara" w:eastAsia="Candara" w:hAnsi="Candara" w:cs="Candara"/>
                <w:sz w:val="18"/>
                <w:szCs w:val="18"/>
              </w:rPr>
            </w:pPr>
          </w:p>
          <w:p w:rsidR="00826465" w:rsidP="00860A6B" w14:paraId="559BD955" w14:textId="77777777">
            <w:pPr>
              <w:spacing w:after="0" w:line="240" w:lineRule="auto"/>
              <w:jc w:val="both"/>
              <w:rPr>
                <w:rFonts w:ascii="Candara" w:eastAsia="Candara" w:hAnsi="Candara" w:cs="Candara"/>
                <w:sz w:val="18"/>
                <w:szCs w:val="18"/>
              </w:rPr>
            </w:pPr>
            <w:r>
              <w:rPr>
                <w:rFonts w:ascii="Candara" w:eastAsia="Candara" w:hAnsi="Candara" w:cs="Candara"/>
                <w:b/>
                <w:sz w:val="18"/>
                <w:szCs w:val="18"/>
              </w:rPr>
              <w:t>Inovāciju vaučeri (1212)</w:t>
            </w:r>
            <w:r>
              <w:rPr>
                <w:rFonts w:ascii="Candara" w:eastAsia="Candara" w:hAnsi="Candara" w:cs="Candara"/>
                <w:sz w:val="18"/>
                <w:szCs w:val="18"/>
              </w:rPr>
              <w:t>:</w:t>
            </w:r>
          </w:p>
          <w:p w:rsidR="00826465" w:rsidP="00860A6B" w14:paraId="56ED765B" w14:textId="647CB60D">
            <w:pPr>
              <w:spacing w:after="0" w:line="240" w:lineRule="auto"/>
              <w:jc w:val="both"/>
              <w:rPr>
                <w:rFonts w:ascii="Candara" w:eastAsia="Candara" w:hAnsi="Candara" w:cs="Candara"/>
                <w:b/>
                <w:sz w:val="18"/>
                <w:szCs w:val="18"/>
              </w:rPr>
            </w:pPr>
            <w:r>
              <w:rPr>
                <w:rFonts w:ascii="Candara" w:eastAsia="Candara" w:hAnsi="Candara" w:cs="Candara"/>
                <w:sz w:val="18"/>
                <w:szCs w:val="18"/>
              </w:rPr>
              <w:t xml:space="preserve">Pasākuma ietvaros </w:t>
            </w:r>
            <w:r w:rsidR="00F90959">
              <w:rPr>
                <w:rFonts w:ascii="Candara" w:eastAsia="Candara" w:hAnsi="Candara" w:cs="Candara"/>
                <w:sz w:val="18"/>
                <w:szCs w:val="18"/>
              </w:rPr>
              <w:t xml:space="preserve">apstiprināti </w:t>
            </w:r>
            <w:r w:rsidR="00F90959">
              <w:rPr>
                <w:rFonts w:ascii="Candara" w:eastAsia="Candara" w:hAnsi="Candara" w:cs="Candara"/>
                <w:b/>
                <w:sz w:val="18"/>
                <w:szCs w:val="18"/>
              </w:rPr>
              <w:t>7</w:t>
            </w:r>
            <w:r>
              <w:rPr>
                <w:rFonts w:ascii="Candara" w:eastAsia="Candara" w:hAnsi="Candara" w:cs="Candara"/>
                <w:b/>
                <w:sz w:val="18"/>
                <w:szCs w:val="18"/>
              </w:rPr>
              <w:t xml:space="preserve"> projekti</w:t>
            </w:r>
          </w:p>
          <w:p w:rsidR="00826465" w:rsidP="00860A6B" w14:paraId="6EE27126" w14:textId="77777777">
            <w:pPr>
              <w:spacing w:after="0" w:line="240" w:lineRule="auto"/>
              <w:jc w:val="both"/>
              <w:rPr>
                <w:rFonts w:ascii="Candara" w:eastAsia="Candara" w:hAnsi="Candara" w:cs="Candara"/>
                <w:sz w:val="18"/>
                <w:szCs w:val="18"/>
              </w:rPr>
            </w:pPr>
          </w:p>
          <w:p w:rsidR="00826465" w:rsidP="00860A6B" w14:paraId="001BB4D2" w14:textId="77777777">
            <w:pPr>
              <w:spacing w:after="0" w:line="240" w:lineRule="auto"/>
              <w:jc w:val="both"/>
              <w:rPr>
                <w:rFonts w:ascii="Candara" w:eastAsia="Candara" w:hAnsi="Candara" w:cs="Candara"/>
                <w:sz w:val="18"/>
                <w:szCs w:val="18"/>
              </w:rPr>
            </w:pPr>
          </w:p>
          <w:p w:rsidR="00826465" w:rsidP="00860A6B" w14:paraId="41F49310" w14:textId="77777777">
            <w:pPr>
              <w:spacing w:after="0" w:line="240" w:lineRule="auto"/>
              <w:jc w:val="both"/>
              <w:rPr>
                <w:rFonts w:ascii="Candara" w:eastAsia="Candara" w:hAnsi="Candara" w:cs="Candara"/>
                <w:sz w:val="18"/>
                <w:szCs w:val="18"/>
              </w:rPr>
            </w:pPr>
          </w:p>
          <w:p w:rsidR="00826465" w:rsidP="00860A6B" w14:paraId="5EBA9E2F" w14:textId="77777777">
            <w:pPr>
              <w:spacing w:after="0" w:line="240" w:lineRule="auto"/>
              <w:jc w:val="both"/>
              <w:rPr>
                <w:rFonts w:ascii="Candara" w:eastAsia="Candara" w:hAnsi="Candara" w:cs="Candara"/>
                <w:sz w:val="18"/>
                <w:szCs w:val="18"/>
              </w:rPr>
            </w:pPr>
            <w:r>
              <w:rPr>
                <w:rFonts w:ascii="Candara" w:eastAsia="Candara" w:hAnsi="Candara" w:cs="Candara"/>
                <w:b/>
                <w:sz w:val="18"/>
                <w:szCs w:val="18"/>
              </w:rPr>
              <w:t>JPIR programma (1214)</w:t>
            </w:r>
            <w:r>
              <w:rPr>
                <w:rFonts w:ascii="Candara" w:eastAsia="Candara" w:hAnsi="Candara" w:cs="Candara"/>
                <w:sz w:val="18"/>
                <w:szCs w:val="18"/>
              </w:rPr>
              <w:t>:</w:t>
            </w:r>
          </w:p>
          <w:p w:rsidR="00826465" w:rsidP="00D73C06" w14:paraId="38536357" w14:textId="2E0F58A7">
            <w:pPr>
              <w:spacing w:after="0" w:line="240" w:lineRule="auto"/>
              <w:jc w:val="both"/>
              <w:rPr>
                <w:rFonts w:ascii="Candara" w:eastAsia="Candara" w:hAnsi="Candara" w:cs="Candara"/>
                <w:sz w:val="18"/>
                <w:szCs w:val="18"/>
              </w:rPr>
            </w:pPr>
            <w:r>
              <w:rPr>
                <w:rFonts w:ascii="Candara" w:eastAsia="Candara" w:hAnsi="Candara" w:cs="Candara"/>
                <w:sz w:val="18"/>
                <w:szCs w:val="18"/>
              </w:rPr>
              <w:t>2017. gad</w:t>
            </w:r>
            <w:r w:rsidR="009D6A4D">
              <w:rPr>
                <w:rFonts w:ascii="Candara" w:eastAsia="Candara" w:hAnsi="Candara" w:cs="Candara"/>
                <w:sz w:val="18"/>
                <w:szCs w:val="18"/>
              </w:rPr>
              <w:t>ā</w:t>
            </w:r>
            <w:r>
              <w:rPr>
                <w:rFonts w:ascii="Candara" w:eastAsia="Candara" w:hAnsi="Candara" w:cs="Candara"/>
                <w:sz w:val="18"/>
                <w:szCs w:val="18"/>
              </w:rPr>
              <w:t xml:space="preserve"> apstiprināti 1</w:t>
            </w:r>
            <w:r w:rsidR="00F90959">
              <w:rPr>
                <w:rFonts w:ascii="Candara" w:eastAsia="Candara" w:hAnsi="Candara" w:cs="Candara"/>
                <w:sz w:val="18"/>
                <w:szCs w:val="18"/>
              </w:rPr>
              <w:t>7</w:t>
            </w:r>
            <w:r>
              <w:rPr>
                <w:rFonts w:ascii="Candara" w:eastAsia="Candara" w:hAnsi="Candara" w:cs="Candara"/>
                <w:sz w:val="18"/>
                <w:szCs w:val="18"/>
              </w:rPr>
              <w:t xml:space="preserve"> projekti, kas piesaistī</w:t>
            </w:r>
            <w:r w:rsidR="00796200">
              <w:rPr>
                <w:rFonts w:ascii="Candara" w:eastAsia="Candara" w:hAnsi="Candara" w:cs="Candara"/>
                <w:sz w:val="18"/>
                <w:szCs w:val="18"/>
              </w:rPr>
              <w:t>s</w:t>
            </w:r>
            <w:r>
              <w:rPr>
                <w:rFonts w:ascii="Candara" w:eastAsia="Candara" w:hAnsi="Candara" w:cs="Candara"/>
                <w:sz w:val="18"/>
                <w:szCs w:val="18"/>
              </w:rPr>
              <w:t xml:space="preserve"> </w:t>
            </w:r>
            <w:r w:rsidR="00D73C06">
              <w:rPr>
                <w:rFonts w:ascii="Candara" w:eastAsia="Candara" w:hAnsi="Candara" w:cs="Candara"/>
                <w:b/>
                <w:sz w:val="18"/>
                <w:szCs w:val="18"/>
              </w:rPr>
              <w:t>4</w:t>
            </w:r>
            <w:r w:rsidR="00B21977">
              <w:rPr>
                <w:rFonts w:ascii="Candara" w:eastAsia="Candara" w:hAnsi="Candara" w:cs="Candara"/>
                <w:b/>
                <w:sz w:val="18"/>
                <w:szCs w:val="18"/>
              </w:rPr>
              <w:t>7</w:t>
            </w:r>
            <w:r w:rsidR="00D73C06">
              <w:rPr>
                <w:rFonts w:ascii="Candara" w:eastAsia="Candara" w:hAnsi="Candara" w:cs="Candara"/>
                <w:b/>
                <w:sz w:val="18"/>
                <w:szCs w:val="18"/>
              </w:rPr>
              <w:t>,</w:t>
            </w:r>
            <w:r w:rsidR="00B21977">
              <w:rPr>
                <w:rFonts w:ascii="Candara" w:eastAsia="Candara" w:hAnsi="Candara" w:cs="Candara"/>
                <w:b/>
                <w:sz w:val="18"/>
                <w:szCs w:val="18"/>
              </w:rPr>
              <w:t>12</w:t>
            </w:r>
            <w:r w:rsidR="00D73C06">
              <w:rPr>
                <w:rFonts w:ascii="Candara" w:eastAsia="Candara" w:hAnsi="Candara" w:cs="Candara"/>
                <w:b/>
                <w:sz w:val="18"/>
                <w:szCs w:val="18"/>
              </w:rPr>
              <w:t xml:space="preserve"> M</w:t>
            </w:r>
            <w:r>
              <w:rPr>
                <w:rFonts w:ascii="Candara" w:eastAsia="Candara" w:hAnsi="Candara" w:cs="Candara"/>
                <w:b/>
                <w:sz w:val="18"/>
                <w:szCs w:val="18"/>
              </w:rPr>
              <w:t>EUR</w:t>
            </w:r>
            <w:r>
              <w:rPr>
                <w:rFonts w:ascii="Candara" w:eastAsia="Candara" w:hAnsi="Candara" w:cs="Candara"/>
                <w:sz w:val="18"/>
                <w:szCs w:val="18"/>
              </w:rPr>
              <w:t xml:space="preserve"> privātās investīcijas</w:t>
            </w:r>
          </w:p>
        </w:tc>
      </w:tr>
      <w:tr w14:paraId="10C1C57B" w14:textId="77777777" w:rsidTr="00324F94">
        <w:tblPrEx>
          <w:tblW w:w="13948" w:type="dxa"/>
          <w:tblInd w:w="-115" w:type="dxa"/>
          <w:tblLayout w:type="fixed"/>
          <w:tblLook w:val="0400"/>
        </w:tblPrEx>
        <w:trPr>
          <w:trHeight w:val="720"/>
        </w:trPr>
        <w:tc>
          <w:tcPr>
            <w:tcW w:w="1858" w:type="dxa"/>
            <w:vMerge/>
            <w:shd w:val="clear" w:color="auto" w:fill="FFFFFF"/>
            <w:vAlign w:val="center"/>
          </w:tcPr>
          <w:p w:rsidR="00172CA8" w:rsidP="00172CA8" w14:paraId="71C9F8F4" w14:textId="77777777">
            <w:pPr>
              <w:spacing w:after="0" w:line="240" w:lineRule="auto"/>
              <w:rPr>
                <w:rFonts w:ascii="Candara" w:eastAsia="Candara" w:hAnsi="Candara" w:cs="Candara"/>
                <w:sz w:val="18"/>
                <w:szCs w:val="18"/>
              </w:rPr>
            </w:pPr>
          </w:p>
        </w:tc>
        <w:tc>
          <w:tcPr>
            <w:tcW w:w="946" w:type="dxa"/>
            <w:vMerge w:val="restart"/>
            <w:shd w:val="clear" w:color="auto" w:fill="FFFFFF"/>
            <w:vAlign w:val="center"/>
          </w:tcPr>
          <w:p w:rsidR="00172CA8" w:rsidP="00172CA8" w14:paraId="6C60A458"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767EBA" w:rsidP="00172CA8" w14:paraId="528DBFF9"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(IZM)</w:t>
            </w:r>
          </w:p>
          <w:p w:rsidR="00172CA8" w:rsidP="00172CA8" w14:paraId="230AA4FA" w14:textId="77777777">
            <w:pPr>
              <w:spacing w:after="0" w:line="240" w:lineRule="auto"/>
              <w:rPr>
                <w:rFonts w:ascii="Candara" w:eastAsia="Candara" w:hAnsi="Candara" w:cs="Candara"/>
                <w:sz w:val="18"/>
                <w:szCs w:val="18"/>
              </w:rPr>
            </w:pPr>
          </w:p>
          <w:p w:rsidR="00172CA8" w:rsidP="00172CA8" w14:paraId="6A67C569" w14:textId="77777777">
            <w:pPr>
              <w:spacing w:after="0" w:line="240" w:lineRule="auto"/>
              <w:rPr>
                <w:rFonts w:ascii="Candara" w:eastAsia="Candara" w:hAnsi="Candara" w:cs="Candara"/>
                <w:sz w:val="18"/>
                <w:szCs w:val="18"/>
              </w:rPr>
            </w:pPr>
          </w:p>
          <w:p w:rsidR="00172CA8" w:rsidP="00172CA8" w14:paraId="2A0D4EFF"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5B9C5E28" w14:textId="77777777">
            <w:pPr>
              <w:spacing w:after="0" w:line="240" w:lineRule="auto"/>
              <w:rPr>
                <w:rFonts w:ascii="Candara" w:eastAsia="Candara" w:hAnsi="Candara" w:cs="Candara"/>
                <w:sz w:val="18"/>
                <w:szCs w:val="18"/>
              </w:rPr>
            </w:pPr>
            <w:r>
              <w:rPr>
                <w:rFonts w:ascii="Candara" w:eastAsia="Candara" w:hAnsi="Candara" w:cs="Candara"/>
                <w:sz w:val="18"/>
                <w:szCs w:val="18"/>
              </w:rPr>
              <w:t>Bāzes finansējums</w:t>
            </w:r>
          </w:p>
        </w:tc>
        <w:tc>
          <w:tcPr>
            <w:tcW w:w="5700" w:type="dxa"/>
            <w:shd w:val="clear" w:color="auto" w:fill="FFFFFF"/>
            <w:vAlign w:val="center"/>
          </w:tcPr>
          <w:p w:rsidR="00172CA8" w:rsidP="00860A6B" w14:paraId="18D5165A" w14:textId="77777777">
            <w:pPr>
              <w:spacing w:after="0" w:line="240" w:lineRule="auto"/>
              <w:rPr>
                <w:rFonts w:ascii="Candara" w:eastAsia="Candara" w:hAnsi="Candara" w:cs="Candara"/>
                <w:sz w:val="18"/>
                <w:szCs w:val="18"/>
              </w:rPr>
            </w:pPr>
            <w:r>
              <w:rPr>
                <w:rFonts w:ascii="Candara" w:eastAsia="Candara" w:hAnsi="Candara" w:cs="Candara"/>
                <w:sz w:val="18"/>
                <w:szCs w:val="18"/>
              </w:rPr>
              <w:t>Uzņēmumu līdzfinansējums zinātnes bāzes finansējuma aprēķināšanā tiek ņemts vērā kā daļa no rādītājiem, kuri attiecas uz P&amp;A finansējumu</w:t>
            </w:r>
          </w:p>
        </w:tc>
        <w:tc>
          <w:tcPr>
            <w:tcW w:w="3060" w:type="dxa"/>
            <w:shd w:val="clear" w:color="auto" w:fill="FFFFFF"/>
            <w:vAlign w:val="center"/>
          </w:tcPr>
          <w:p w:rsidR="00172CA8" w:rsidP="00860A6B" w14:paraId="41C72ACD"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Nav iegūstams šāds rādītājs no institūciju sniegtās informācijas</w:t>
            </w:r>
          </w:p>
        </w:tc>
      </w:tr>
      <w:tr w14:paraId="2A1175AE" w14:textId="77777777" w:rsidTr="00324F94">
        <w:tblPrEx>
          <w:tblW w:w="13948" w:type="dxa"/>
          <w:tblInd w:w="-115" w:type="dxa"/>
          <w:tblLayout w:type="fixed"/>
          <w:tblLook w:val="0400"/>
        </w:tblPrEx>
        <w:trPr>
          <w:trHeight w:val="640"/>
        </w:trPr>
        <w:tc>
          <w:tcPr>
            <w:tcW w:w="1858" w:type="dxa"/>
            <w:vMerge/>
            <w:shd w:val="clear" w:color="auto" w:fill="FFFFFF"/>
            <w:vAlign w:val="center"/>
          </w:tcPr>
          <w:p w:rsidR="00172CA8" w:rsidP="00172CA8" w14:paraId="74C1AC57"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172CA8" w:rsidP="00172CA8" w14:paraId="44FD6956" w14:textId="77777777">
            <w:pPr>
              <w:spacing w:after="0" w:line="240" w:lineRule="auto"/>
              <w:rPr>
                <w:rFonts w:ascii="Candara" w:eastAsia="Candara" w:hAnsi="Candara" w:cs="Candara"/>
                <w:sz w:val="18"/>
                <w:szCs w:val="18"/>
              </w:rPr>
            </w:pPr>
          </w:p>
        </w:tc>
        <w:tc>
          <w:tcPr>
            <w:tcW w:w="2384" w:type="dxa"/>
            <w:shd w:val="clear" w:color="auto" w:fill="FFFFFF"/>
            <w:vAlign w:val="center"/>
          </w:tcPr>
          <w:p w:rsidR="00172CA8" w:rsidP="00860A6B" w14:paraId="48BED917"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Valsts pētījumu programmas 2014-2017; </w:t>
            </w:r>
          </w:p>
        </w:tc>
        <w:tc>
          <w:tcPr>
            <w:tcW w:w="5700" w:type="dxa"/>
            <w:shd w:val="clear" w:color="auto" w:fill="FFFFFF"/>
            <w:vAlign w:val="center"/>
          </w:tcPr>
          <w:p w:rsidR="00172CA8" w:rsidP="00860A6B" w14:paraId="5C9B20D2" w14:textId="77777777">
            <w:pPr>
              <w:spacing w:after="0" w:line="240" w:lineRule="auto"/>
              <w:rPr>
                <w:rFonts w:ascii="Candara" w:eastAsia="Candara" w:hAnsi="Candara" w:cs="Candara"/>
                <w:sz w:val="18"/>
                <w:szCs w:val="18"/>
              </w:rPr>
            </w:pPr>
            <w:r>
              <w:rPr>
                <w:rFonts w:ascii="Candara" w:eastAsia="Candara" w:hAnsi="Candara" w:cs="Candara"/>
                <w:sz w:val="18"/>
                <w:szCs w:val="18"/>
              </w:rPr>
              <w:t>VPP noteikumos ir kā rādītājs noteikts privātā sektora līdzfinansējums programmā iekļauto projektu īstenošanai</w:t>
            </w:r>
          </w:p>
        </w:tc>
        <w:tc>
          <w:tcPr>
            <w:tcW w:w="3060" w:type="dxa"/>
            <w:shd w:val="clear" w:color="auto" w:fill="FFFFFF"/>
            <w:vAlign w:val="center"/>
          </w:tcPr>
          <w:p w:rsidR="00172CA8" w:rsidP="00860A6B" w14:paraId="4646ED7C"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Nav iegūti rezultāti šajā rādītājā</w:t>
            </w:r>
          </w:p>
        </w:tc>
      </w:tr>
      <w:tr w14:paraId="230D6254" w14:textId="77777777" w:rsidTr="00324F94">
        <w:tblPrEx>
          <w:tblW w:w="13948" w:type="dxa"/>
          <w:tblInd w:w="-115" w:type="dxa"/>
          <w:tblLayout w:type="fixed"/>
          <w:tblLook w:val="0400"/>
        </w:tblPrEx>
        <w:trPr>
          <w:trHeight w:val="640"/>
        </w:trPr>
        <w:tc>
          <w:tcPr>
            <w:tcW w:w="1858" w:type="dxa"/>
            <w:vMerge/>
            <w:shd w:val="clear" w:color="auto" w:fill="FFFFFF"/>
            <w:vAlign w:val="center"/>
          </w:tcPr>
          <w:p w:rsidR="003F6159" w:rsidP="003F6159" w14:paraId="7ADC608F"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3F6159" w:rsidP="003F6159" w14:paraId="737151AC"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F6159" w:rsidP="00860A6B" w14:paraId="5D5719E9" w14:textId="77777777">
            <w:pPr>
              <w:spacing w:after="0" w:line="240" w:lineRule="auto"/>
              <w:rPr>
                <w:rFonts w:ascii="Candara" w:eastAsia="Candara" w:hAnsi="Candara" w:cs="Candara"/>
                <w:sz w:val="18"/>
                <w:szCs w:val="18"/>
              </w:rPr>
            </w:pPr>
            <w:r>
              <w:rPr>
                <w:rFonts w:ascii="Candara" w:eastAsia="Candara" w:hAnsi="Candara" w:cs="Candara"/>
                <w:sz w:val="18"/>
                <w:szCs w:val="18"/>
              </w:rPr>
              <w:t>Starptautiskās sadarbības programmas zinātnē un tehnoloģiju attīstībā</w:t>
            </w:r>
          </w:p>
        </w:tc>
        <w:tc>
          <w:tcPr>
            <w:tcW w:w="5700" w:type="dxa"/>
            <w:shd w:val="clear" w:color="auto" w:fill="FFFFFF"/>
            <w:vAlign w:val="center"/>
          </w:tcPr>
          <w:p w:rsidR="003F6159" w:rsidP="00860A6B" w14:paraId="7189E52B" w14:textId="77777777">
            <w:pPr>
              <w:spacing w:after="0" w:line="240" w:lineRule="auto"/>
              <w:rPr>
                <w:rFonts w:ascii="Candara" w:eastAsia="Candara" w:hAnsi="Candara" w:cs="Candara"/>
                <w:sz w:val="18"/>
                <w:szCs w:val="18"/>
              </w:rPr>
            </w:pPr>
            <w:r>
              <w:rPr>
                <w:rFonts w:ascii="Candara" w:eastAsia="Candara" w:hAnsi="Candara" w:cs="Candara"/>
                <w:sz w:val="18"/>
                <w:szCs w:val="18"/>
              </w:rPr>
              <w:t>saskaņā ar katras programmas ieviešanas nosacījumiem</w:t>
            </w:r>
          </w:p>
        </w:tc>
        <w:tc>
          <w:tcPr>
            <w:tcW w:w="3060" w:type="dxa"/>
            <w:shd w:val="clear" w:color="auto" w:fill="FFFFFF"/>
            <w:vAlign w:val="center"/>
          </w:tcPr>
          <w:p w:rsidR="003F6159" w:rsidRPr="003F6159" w:rsidP="002231F4" w14:paraId="5229A78B"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Laika posmā </w:t>
            </w:r>
            <w:r w:rsidR="00A15392">
              <w:rPr>
                <w:rFonts w:ascii="Candara" w:eastAsia="Candara" w:hAnsi="Candara" w:cs="Candara"/>
                <w:sz w:val="18"/>
                <w:szCs w:val="18"/>
              </w:rPr>
              <w:t xml:space="preserve">par projektu īstenošanu </w:t>
            </w:r>
            <w:r>
              <w:rPr>
                <w:rFonts w:ascii="Candara" w:eastAsia="Candara" w:hAnsi="Candara" w:cs="Candara"/>
                <w:sz w:val="18"/>
                <w:szCs w:val="18"/>
              </w:rPr>
              <w:t xml:space="preserve">no 2014. līdz 2017. gadam noslēgti </w:t>
            </w:r>
            <w:r w:rsidR="002231F4">
              <w:rPr>
                <w:rFonts w:ascii="Candara" w:eastAsia="Candara" w:hAnsi="Candara" w:cs="Candara"/>
                <w:sz w:val="18"/>
                <w:szCs w:val="18"/>
              </w:rPr>
              <w:t>104</w:t>
            </w:r>
            <w:r>
              <w:rPr>
                <w:rFonts w:ascii="Candara" w:eastAsia="Candara" w:hAnsi="Candara" w:cs="Candara"/>
                <w:sz w:val="18"/>
                <w:szCs w:val="18"/>
              </w:rPr>
              <w:t xml:space="preserve"> līgumi ar kopējo valsts budžeta finansējuma apmēru – </w:t>
            </w:r>
            <w:r w:rsidR="002231F4">
              <w:rPr>
                <w:rFonts w:ascii="Candara" w:eastAsia="Candara" w:hAnsi="Candara" w:cs="Candara"/>
                <w:sz w:val="18"/>
                <w:szCs w:val="18"/>
              </w:rPr>
              <w:t>11,18</w:t>
            </w:r>
            <w:r>
              <w:rPr>
                <w:rFonts w:ascii="Candara" w:eastAsia="Candara" w:hAnsi="Candara" w:cs="Candara"/>
                <w:sz w:val="18"/>
                <w:szCs w:val="18"/>
              </w:rPr>
              <w:t xml:space="preserve"> MEUR un to īstenošanai </w:t>
            </w:r>
            <w:r w:rsidR="002231F4">
              <w:rPr>
                <w:rFonts w:ascii="Candara" w:eastAsia="Candara" w:hAnsi="Candara" w:cs="Candara"/>
                <w:sz w:val="18"/>
                <w:szCs w:val="18"/>
              </w:rPr>
              <w:t xml:space="preserve">kopumā tiks </w:t>
            </w:r>
            <w:r>
              <w:rPr>
                <w:rFonts w:ascii="Candara" w:eastAsia="Candara" w:hAnsi="Candara" w:cs="Candara"/>
                <w:sz w:val="18"/>
                <w:szCs w:val="18"/>
              </w:rPr>
              <w:t>p</w:t>
            </w:r>
            <w:r>
              <w:rPr>
                <w:rFonts w:ascii="Candara" w:eastAsia="Candara" w:hAnsi="Candara" w:cs="Candara"/>
                <w:sz w:val="18"/>
                <w:szCs w:val="18"/>
              </w:rPr>
              <w:t xml:space="preserve">iesaistīts privātais līdzfinansējums projektu īstenošanai </w:t>
            </w:r>
            <w:r w:rsidRPr="003F6159">
              <w:rPr>
                <w:rFonts w:ascii="Candara" w:eastAsia="Candara" w:hAnsi="Candara" w:cs="Candara"/>
                <w:b/>
                <w:sz w:val="18"/>
                <w:szCs w:val="18"/>
              </w:rPr>
              <w:t>0,</w:t>
            </w:r>
            <w:r w:rsidR="002231F4">
              <w:rPr>
                <w:rFonts w:ascii="Candara" w:eastAsia="Candara" w:hAnsi="Candara" w:cs="Candara"/>
                <w:b/>
                <w:sz w:val="18"/>
                <w:szCs w:val="18"/>
              </w:rPr>
              <w:t>61</w:t>
            </w:r>
            <w:r w:rsidRPr="003F6159">
              <w:rPr>
                <w:rFonts w:ascii="Candara" w:eastAsia="Candara" w:hAnsi="Candara" w:cs="Candara"/>
                <w:b/>
                <w:sz w:val="18"/>
                <w:szCs w:val="18"/>
              </w:rPr>
              <w:t xml:space="preserve"> MEUR</w:t>
            </w:r>
            <w:r>
              <w:rPr>
                <w:rFonts w:ascii="Candara" w:eastAsia="Candara" w:hAnsi="Candara" w:cs="Candara"/>
                <w:b/>
                <w:sz w:val="18"/>
                <w:szCs w:val="18"/>
              </w:rPr>
              <w:t xml:space="preserve"> </w:t>
            </w:r>
            <w:r w:rsidR="002231F4">
              <w:rPr>
                <w:rFonts w:ascii="Candara" w:eastAsia="Candara" w:hAnsi="Candara" w:cs="Candara"/>
                <w:sz w:val="18"/>
                <w:szCs w:val="18"/>
              </w:rPr>
              <w:t>apmērā</w:t>
            </w:r>
          </w:p>
        </w:tc>
      </w:tr>
      <w:tr w14:paraId="141EB42F" w14:textId="77777777" w:rsidTr="00324F94">
        <w:tblPrEx>
          <w:tblW w:w="13948" w:type="dxa"/>
          <w:tblInd w:w="-115" w:type="dxa"/>
          <w:tblLayout w:type="fixed"/>
          <w:tblLook w:val="0400"/>
        </w:tblPrEx>
        <w:trPr>
          <w:trHeight w:val="355"/>
        </w:trPr>
        <w:tc>
          <w:tcPr>
            <w:tcW w:w="1858" w:type="dxa"/>
            <w:vMerge/>
            <w:shd w:val="clear" w:color="auto" w:fill="FFFFFF"/>
            <w:vAlign w:val="center"/>
          </w:tcPr>
          <w:p w:rsidR="003F6159" w:rsidP="003F6159" w14:paraId="5381FA65"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3F6159" w:rsidP="003F6159" w14:paraId="3C6FD247"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F6159" w:rsidP="00860A6B" w14:paraId="28E2C29D" w14:textId="77777777">
            <w:pPr>
              <w:spacing w:after="0" w:line="240" w:lineRule="auto"/>
              <w:rPr>
                <w:rFonts w:ascii="Candara" w:eastAsia="Candara" w:hAnsi="Candara" w:cs="Candara"/>
                <w:sz w:val="18"/>
                <w:szCs w:val="18"/>
              </w:rPr>
            </w:pPr>
            <w:r>
              <w:rPr>
                <w:rFonts w:ascii="Candara" w:eastAsia="Candara" w:hAnsi="Candara" w:cs="Candara"/>
                <w:sz w:val="18"/>
                <w:szCs w:val="18"/>
              </w:rPr>
              <w:t>FLPP</w:t>
            </w:r>
          </w:p>
        </w:tc>
        <w:tc>
          <w:tcPr>
            <w:tcW w:w="5700" w:type="dxa"/>
            <w:shd w:val="clear" w:color="auto" w:fill="FFFFFF"/>
            <w:vAlign w:val="center"/>
          </w:tcPr>
          <w:p w:rsidR="003F6159" w:rsidP="00860A6B" w14:paraId="1E50CC31" w14:textId="77777777">
            <w:pPr>
              <w:spacing w:after="0" w:line="240" w:lineRule="auto"/>
              <w:rPr>
                <w:rFonts w:ascii="Candara" w:eastAsia="Candara" w:hAnsi="Candara" w:cs="Candara"/>
                <w:sz w:val="18"/>
                <w:szCs w:val="18"/>
              </w:rPr>
            </w:pPr>
            <w:r>
              <w:rPr>
                <w:rFonts w:ascii="Candara" w:eastAsia="Candara" w:hAnsi="Candara" w:cs="Candara"/>
                <w:sz w:val="18"/>
                <w:szCs w:val="18"/>
              </w:rPr>
              <w:t>Nav noteikti stimuli šim rādītājam</w:t>
            </w:r>
          </w:p>
        </w:tc>
        <w:tc>
          <w:tcPr>
            <w:tcW w:w="3060" w:type="dxa"/>
            <w:shd w:val="clear" w:color="auto" w:fill="FFFFFF"/>
            <w:vAlign w:val="center"/>
          </w:tcPr>
          <w:p w:rsidR="003F6159" w:rsidP="00860A6B" w14:paraId="1CB62E66"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Nav iegūti rezultāti šajā rādītājā</w:t>
            </w:r>
          </w:p>
        </w:tc>
      </w:tr>
      <w:tr w14:paraId="3854BB0C" w14:textId="77777777" w:rsidTr="00324F94">
        <w:tblPrEx>
          <w:tblW w:w="13948" w:type="dxa"/>
          <w:tblInd w:w="-115" w:type="dxa"/>
          <w:tblLayout w:type="fixed"/>
          <w:tblLook w:val="0400"/>
        </w:tblPrEx>
        <w:trPr>
          <w:trHeight w:val="837"/>
        </w:trPr>
        <w:tc>
          <w:tcPr>
            <w:tcW w:w="1858" w:type="dxa"/>
            <w:vMerge w:val="restart"/>
            <w:shd w:val="clear" w:color="auto" w:fill="FFFFFF"/>
            <w:vAlign w:val="center"/>
          </w:tcPr>
          <w:p w:rsidR="003F6159" w:rsidP="003F6159" w14:paraId="78F31A3B" w14:textId="77777777">
            <w:pPr>
              <w:spacing w:after="0" w:line="240" w:lineRule="auto"/>
              <w:jc w:val="both"/>
              <w:rPr>
                <w:rFonts w:ascii="Candara" w:eastAsia="Candara" w:hAnsi="Candara" w:cs="Candara"/>
                <w:sz w:val="18"/>
                <w:szCs w:val="18"/>
              </w:rPr>
            </w:pPr>
          </w:p>
          <w:p w:rsidR="003F6159" w:rsidP="003F6159" w14:paraId="21423B40" w14:textId="77777777">
            <w:pPr>
              <w:spacing w:after="0" w:line="240" w:lineRule="auto"/>
              <w:jc w:val="both"/>
              <w:rPr>
                <w:rFonts w:ascii="Candara" w:eastAsia="Candara" w:hAnsi="Candara" w:cs="Candara"/>
                <w:sz w:val="18"/>
                <w:szCs w:val="18"/>
              </w:rPr>
            </w:pPr>
          </w:p>
          <w:p w:rsidR="003F6159" w:rsidP="003F6159" w14:paraId="04E7DCCC" w14:textId="77777777">
            <w:pPr>
              <w:spacing w:after="0" w:line="240" w:lineRule="auto"/>
              <w:jc w:val="both"/>
              <w:rPr>
                <w:rFonts w:ascii="Candara" w:eastAsia="Candara" w:hAnsi="Candara" w:cs="Candara"/>
                <w:sz w:val="18"/>
                <w:szCs w:val="18"/>
              </w:rPr>
            </w:pPr>
          </w:p>
          <w:p w:rsidR="003F6159" w:rsidP="003F6159" w14:paraId="4E0E29B8" w14:textId="77777777">
            <w:pPr>
              <w:spacing w:after="0" w:line="240" w:lineRule="auto"/>
              <w:jc w:val="both"/>
              <w:rPr>
                <w:rFonts w:ascii="Candara" w:eastAsia="Candara" w:hAnsi="Candara" w:cs="Candara"/>
                <w:sz w:val="18"/>
                <w:szCs w:val="18"/>
              </w:rPr>
            </w:pPr>
          </w:p>
          <w:p w:rsidR="003F6159" w:rsidP="003F6159" w14:paraId="106346BF" w14:textId="77777777">
            <w:pPr>
              <w:spacing w:after="0" w:line="240" w:lineRule="auto"/>
              <w:jc w:val="both"/>
              <w:rPr>
                <w:rFonts w:ascii="Candara" w:eastAsia="Candara" w:hAnsi="Candara" w:cs="Candara"/>
                <w:sz w:val="18"/>
                <w:szCs w:val="18"/>
              </w:rPr>
            </w:pPr>
          </w:p>
          <w:p w:rsidR="003F6159" w:rsidP="003F6159" w14:paraId="4B9DCB21" w14:textId="77777777">
            <w:pPr>
              <w:spacing w:after="0" w:line="240" w:lineRule="auto"/>
              <w:jc w:val="both"/>
              <w:rPr>
                <w:rFonts w:ascii="Candara" w:eastAsia="Candara" w:hAnsi="Candara" w:cs="Candara"/>
                <w:sz w:val="18"/>
                <w:szCs w:val="18"/>
              </w:rPr>
            </w:pPr>
          </w:p>
          <w:p w:rsidR="003F6159" w:rsidP="003F6159" w14:paraId="7F867E3C" w14:textId="77777777">
            <w:pPr>
              <w:spacing w:after="0" w:line="240" w:lineRule="auto"/>
              <w:jc w:val="both"/>
              <w:rPr>
                <w:rFonts w:ascii="Candara" w:eastAsia="Candara" w:hAnsi="Candara" w:cs="Candara"/>
                <w:sz w:val="18"/>
                <w:szCs w:val="18"/>
              </w:rPr>
            </w:pPr>
          </w:p>
          <w:p w:rsidR="003F6159" w:rsidP="003F6159" w14:paraId="65A5CE6A" w14:textId="77777777">
            <w:pPr>
              <w:spacing w:after="0" w:line="240" w:lineRule="auto"/>
              <w:jc w:val="both"/>
              <w:rPr>
                <w:rFonts w:ascii="Candara" w:eastAsia="Candara" w:hAnsi="Candara" w:cs="Candara"/>
                <w:sz w:val="18"/>
                <w:szCs w:val="18"/>
              </w:rPr>
            </w:pPr>
          </w:p>
          <w:p w:rsidR="003F6159" w:rsidP="003F6159" w14:paraId="24EC93D9" w14:textId="77777777">
            <w:pPr>
              <w:spacing w:after="0" w:line="240" w:lineRule="auto"/>
              <w:jc w:val="both"/>
              <w:rPr>
                <w:rFonts w:ascii="Candara" w:eastAsia="Candara" w:hAnsi="Candara" w:cs="Candara"/>
                <w:sz w:val="18"/>
                <w:szCs w:val="18"/>
              </w:rPr>
            </w:pPr>
          </w:p>
          <w:p w:rsidR="003F6159" w:rsidP="003F6159" w14:paraId="22F0AF6B" w14:textId="77777777">
            <w:pPr>
              <w:spacing w:after="0" w:line="240" w:lineRule="auto"/>
              <w:jc w:val="both"/>
              <w:rPr>
                <w:rFonts w:ascii="Candara" w:eastAsia="Candara" w:hAnsi="Candara" w:cs="Candara"/>
                <w:sz w:val="18"/>
                <w:szCs w:val="18"/>
              </w:rPr>
            </w:pPr>
          </w:p>
          <w:p w:rsidR="003F6159" w:rsidP="003F6159" w14:paraId="06866F92" w14:textId="77777777">
            <w:pPr>
              <w:spacing w:after="0" w:line="240" w:lineRule="auto"/>
              <w:jc w:val="both"/>
              <w:rPr>
                <w:rFonts w:ascii="Candara" w:eastAsia="Candara" w:hAnsi="Candara" w:cs="Candara"/>
                <w:sz w:val="18"/>
                <w:szCs w:val="18"/>
              </w:rPr>
            </w:pPr>
          </w:p>
          <w:p w:rsidR="003F6159" w:rsidP="003F6159" w14:paraId="6E72E364" w14:textId="77777777">
            <w:pPr>
              <w:spacing w:after="0" w:line="240" w:lineRule="auto"/>
              <w:jc w:val="both"/>
              <w:rPr>
                <w:rFonts w:ascii="Candara" w:eastAsia="Candara" w:hAnsi="Candara" w:cs="Candara"/>
                <w:sz w:val="18"/>
                <w:szCs w:val="18"/>
              </w:rPr>
            </w:pPr>
          </w:p>
          <w:p w:rsidR="003F6159" w:rsidP="003F6159" w14:paraId="488A6BBD" w14:textId="77777777">
            <w:pPr>
              <w:spacing w:after="0" w:line="240" w:lineRule="auto"/>
              <w:jc w:val="both"/>
              <w:rPr>
                <w:rFonts w:ascii="Candara" w:eastAsia="Candara" w:hAnsi="Candara" w:cs="Candara"/>
                <w:sz w:val="18"/>
                <w:szCs w:val="18"/>
              </w:rPr>
            </w:pPr>
          </w:p>
          <w:p w:rsidR="003F6159" w:rsidP="003F6159" w14:paraId="0154079B" w14:textId="77777777">
            <w:pPr>
              <w:spacing w:after="0" w:line="240" w:lineRule="auto"/>
              <w:jc w:val="both"/>
              <w:rPr>
                <w:rFonts w:ascii="Candara" w:eastAsia="Candara" w:hAnsi="Candara" w:cs="Candara"/>
                <w:sz w:val="18"/>
                <w:szCs w:val="18"/>
              </w:rPr>
            </w:pPr>
          </w:p>
          <w:p w:rsidR="003F6159" w:rsidP="003F6159" w14:paraId="0FB485E6" w14:textId="77777777">
            <w:pPr>
              <w:spacing w:after="0" w:line="240" w:lineRule="auto"/>
              <w:jc w:val="both"/>
              <w:rPr>
                <w:rFonts w:ascii="Candara" w:eastAsia="Candara" w:hAnsi="Candara" w:cs="Candara"/>
                <w:sz w:val="18"/>
                <w:szCs w:val="18"/>
              </w:rPr>
            </w:pPr>
          </w:p>
          <w:p w:rsidR="003F6159" w:rsidP="003F6159" w14:paraId="1B819210" w14:textId="77777777">
            <w:pPr>
              <w:spacing w:after="0" w:line="240" w:lineRule="auto"/>
              <w:jc w:val="both"/>
              <w:rPr>
                <w:rFonts w:ascii="Candara" w:eastAsia="Candara" w:hAnsi="Candara" w:cs="Candara"/>
                <w:sz w:val="18"/>
                <w:szCs w:val="18"/>
              </w:rPr>
            </w:pPr>
          </w:p>
          <w:p w:rsidR="003F6159" w:rsidP="003F6159" w14:paraId="54CD360F" w14:textId="77777777">
            <w:pPr>
              <w:spacing w:after="0" w:line="240" w:lineRule="auto"/>
              <w:jc w:val="both"/>
              <w:rPr>
                <w:rFonts w:ascii="Candara" w:eastAsia="Candara" w:hAnsi="Candara" w:cs="Candara"/>
                <w:sz w:val="18"/>
                <w:szCs w:val="18"/>
              </w:rPr>
            </w:pPr>
          </w:p>
          <w:p w:rsidR="003F6159" w:rsidP="003F6159" w14:paraId="5F9FAF28"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Uzņēmumu skaits, kas saņēmuši atbalstu, lai ieviestu jaunus produktus vai tehnoloģijas</w:t>
            </w:r>
          </w:p>
        </w:tc>
        <w:tc>
          <w:tcPr>
            <w:tcW w:w="946" w:type="dxa"/>
            <w:shd w:val="clear" w:color="auto" w:fill="FFFFFF"/>
            <w:vAlign w:val="center"/>
          </w:tcPr>
          <w:p w:rsidR="003F6159" w:rsidP="003F6159" w14:paraId="0C0F81A1"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tc>
        <w:tc>
          <w:tcPr>
            <w:tcW w:w="2384" w:type="dxa"/>
            <w:shd w:val="clear" w:color="auto" w:fill="FFFFFF"/>
            <w:vAlign w:val="center"/>
          </w:tcPr>
          <w:p w:rsidR="003F6159" w:rsidP="00860A6B" w14:paraId="49ECA6C6" w14:textId="77777777">
            <w:pPr>
              <w:spacing w:after="0" w:line="240" w:lineRule="auto"/>
              <w:rPr>
                <w:rFonts w:ascii="Candara" w:eastAsia="Candara" w:hAnsi="Candara" w:cs="Candara"/>
                <w:sz w:val="18"/>
                <w:szCs w:val="18"/>
              </w:rPr>
            </w:pPr>
            <w:r>
              <w:rPr>
                <w:rFonts w:ascii="Candara" w:eastAsia="Candara" w:hAnsi="Candara" w:cs="Candara"/>
                <w:sz w:val="18"/>
                <w:szCs w:val="18"/>
              </w:rPr>
              <w:t>Praktiskie pētījumi (1111), Post-dok (1112)</w:t>
            </w:r>
          </w:p>
        </w:tc>
        <w:tc>
          <w:tcPr>
            <w:tcW w:w="5700" w:type="dxa"/>
            <w:shd w:val="clear" w:color="auto" w:fill="FFFFFF"/>
            <w:vAlign w:val="center"/>
          </w:tcPr>
          <w:p w:rsidR="003F6159" w:rsidP="00860A6B" w14:paraId="16C6D6FE"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 vērtēšanas nosacījumi paredz vienāda punktu skaita gadījumā priekšroku īstenošanai tam pētniecības projektam, kuru sadarbībā īsteno zinātniskā institūcija un komersants (vērtējot piesaistītā privātā līdzfinansējuma apmēru); </w:t>
            </w:r>
          </w:p>
          <w:p w:rsidR="003F6159" w:rsidP="00860A6B" w14:paraId="653298AD"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 pētījuma projekta iesniegumam pievienojams nozares asociācijas atzinums par pētījuma nozīmību attiecīgās nozares vai komersanta attīstībai (sekmē komersantu piesaisti);  </w:t>
            </w:r>
          </w:p>
          <w:p w:rsidR="003F6159" w:rsidP="00860A6B" w14:paraId="61180CD9" w14:textId="77777777">
            <w:pPr>
              <w:spacing w:after="0" w:line="240" w:lineRule="auto"/>
              <w:rPr>
                <w:rFonts w:ascii="Candara" w:eastAsia="Candara" w:hAnsi="Candara" w:cs="Candara"/>
                <w:sz w:val="18"/>
                <w:szCs w:val="18"/>
              </w:rPr>
            </w:pPr>
            <w:r>
              <w:rPr>
                <w:rFonts w:ascii="Candara" w:eastAsia="Candara" w:hAnsi="Candara" w:cs="Candara"/>
                <w:sz w:val="18"/>
                <w:szCs w:val="18"/>
              </w:rPr>
              <w:t>- kā viens no programmu iznākuma rādītājiem noteikts atbalstu saņēmušo komersantu skaits</w:t>
            </w:r>
          </w:p>
          <w:p w:rsidR="003F6159" w:rsidP="00860A6B" w14:paraId="72B1BF2A" w14:textId="77777777">
            <w:pPr>
              <w:spacing w:after="0" w:line="240" w:lineRule="auto"/>
              <w:rPr>
                <w:rFonts w:ascii="Candara" w:eastAsia="Candara" w:hAnsi="Candara" w:cs="Candara"/>
                <w:b/>
                <w:sz w:val="18"/>
                <w:szCs w:val="18"/>
              </w:rPr>
            </w:pPr>
          </w:p>
        </w:tc>
        <w:tc>
          <w:tcPr>
            <w:tcW w:w="3060" w:type="dxa"/>
            <w:shd w:val="clear" w:color="auto" w:fill="FFFFFF"/>
            <w:vAlign w:val="center"/>
          </w:tcPr>
          <w:p w:rsidR="003F6159" w:rsidP="00860A6B" w14:paraId="27FFA266" w14:textId="77777777">
            <w:pPr>
              <w:spacing w:after="0" w:line="240" w:lineRule="auto"/>
              <w:jc w:val="both"/>
              <w:rPr>
                <w:rFonts w:ascii="Candara" w:eastAsia="Candara" w:hAnsi="Candara" w:cs="Candara"/>
                <w:b/>
                <w:sz w:val="18"/>
                <w:szCs w:val="18"/>
              </w:rPr>
            </w:pPr>
            <w:r>
              <w:rPr>
                <w:rFonts w:ascii="Candara" w:eastAsia="Candara" w:hAnsi="Candara" w:cs="Candara"/>
                <w:b/>
                <w:sz w:val="18"/>
                <w:szCs w:val="18"/>
              </w:rPr>
              <w:t>Praktiskie pētījum</w:t>
            </w:r>
            <w:r>
              <w:rPr>
                <w:rFonts w:ascii="Candara" w:eastAsia="Candara" w:hAnsi="Candara" w:cs="Candara"/>
                <w:sz w:val="18"/>
                <w:szCs w:val="18"/>
              </w:rPr>
              <w:t xml:space="preserve">i (1111) </w:t>
            </w:r>
            <w:r>
              <w:rPr>
                <w:rFonts w:ascii="Candara" w:eastAsia="Candara" w:hAnsi="Candara" w:cs="Candara"/>
                <w:b/>
                <w:sz w:val="18"/>
                <w:szCs w:val="18"/>
              </w:rPr>
              <w:t xml:space="preserve">- </w:t>
            </w:r>
            <w:r w:rsidR="00A43037">
              <w:rPr>
                <w:rFonts w:ascii="Candara" w:eastAsia="Candara" w:hAnsi="Candara" w:cs="Candara"/>
                <w:b/>
                <w:sz w:val="18"/>
                <w:szCs w:val="18"/>
              </w:rPr>
              <w:t>18</w:t>
            </w:r>
          </w:p>
          <w:p w:rsidR="003F6159" w:rsidP="00860A6B" w14:paraId="1505EB83"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2017.g. II ceturksnī noslēgti līgumi par </w:t>
            </w:r>
            <w:r w:rsidR="00BF4CEA">
              <w:rPr>
                <w:rFonts w:ascii="Candara" w:eastAsia="Candara" w:hAnsi="Candara" w:cs="Candara"/>
                <w:sz w:val="18"/>
                <w:szCs w:val="18"/>
              </w:rPr>
              <w:t xml:space="preserve">74 </w:t>
            </w:r>
            <w:r>
              <w:rPr>
                <w:rFonts w:ascii="Candara" w:eastAsia="Candara" w:hAnsi="Candara" w:cs="Candara"/>
                <w:sz w:val="18"/>
                <w:szCs w:val="18"/>
              </w:rPr>
              <w:t>pētniecības projektu īstenošanu (kopējais publiskais fin. 39</w:t>
            </w:r>
            <w:r w:rsidR="00BF4CEA">
              <w:rPr>
                <w:rFonts w:ascii="Candara" w:eastAsia="Candara" w:hAnsi="Candara" w:cs="Candara"/>
                <w:sz w:val="18"/>
                <w:szCs w:val="18"/>
              </w:rPr>
              <w:t>,77</w:t>
            </w:r>
            <w:r>
              <w:rPr>
                <w:rFonts w:ascii="Candara" w:eastAsia="Candara" w:hAnsi="Candara" w:cs="Candara"/>
                <w:sz w:val="18"/>
                <w:szCs w:val="18"/>
              </w:rPr>
              <w:t xml:space="preserve"> MEUR), kuru īstenošanā jaunu produktu un tehnoloģiju atbalstu izstrādei saņems </w:t>
            </w:r>
            <w:r w:rsidR="00A43037">
              <w:rPr>
                <w:rFonts w:ascii="Candara" w:eastAsia="Candara" w:hAnsi="Candara" w:cs="Candara"/>
                <w:b/>
                <w:sz w:val="18"/>
                <w:szCs w:val="18"/>
              </w:rPr>
              <w:t xml:space="preserve">18 </w:t>
            </w:r>
            <w:r>
              <w:rPr>
                <w:rFonts w:ascii="Candara" w:eastAsia="Candara" w:hAnsi="Candara" w:cs="Candara"/>
                <w:b/>
                <w:sz w:val="18"/>
                <w:szCs w:val="18"/>
              </w:rPr>
              <w:t>uzņēmum</w:t>
            </w:r>
            <w:r>
              <w:rPr>
                <w:rFonts w:ascii="Candara" w:eastAsia="Candara" w:hAnsi="Candara" w:cs="Candara"/>
                <w:sz w:val="18"/>
                <w:szCs w:val="18"/>
              </w:rPr>
              <w:t>i;</w:t>
            </w:r>
          </w:p>
          <w:p w:rsidR="003F6159" w:rsidP="00860A6B" w14:paraId="1F28CCDF" w14:textId="77777777">
            <w:pPr>
              <w:spacing w:after="0" w:line="240" w:lineRule="auto"/>
              <w:jc w:val="both"/>
              <w:rPr>
                <w:rFonts w:ascii="Candara" w:eastAsia="Candara" w:hAnsi="Candara" w:cs="Candara"/>
                <w:sz w:val="18"/>
                <w:szCs w:val="18"/>
              </w:rPr>
            </w:pPr>
          </w:p>
          <w:p w:rsidR="003F6159" w:rsidP="00860A6B" w14:paraId="7B48370A" w14:textId="1DC8DC55">
            <w:pPr>
              <w:spacing w:after="0" w:line="240" w:lineRule="auto"/>
              <w:jc w:val="both"/>
              <w:rPr>
                <w:rFonts w:ascii="Candara" w:eastAsia="Candara" w:hAnsi="Candara" w:cs="Candara"/>
                <w:b/>
                <w:sz w:val="18"/>
                <w:szCs w:val="18"/>
              </w:rPr>
            </w:pPr>
            <w:r>
              <w:rPr>
                <w:rFonts w:ascii="Candara" w:eastAsia="Candara" w:hAnsi="Candara" w:cs="Candara"/>
                <w:b/>
                <w:sz w:val="18"/>
                <w:szCs w:val="18"/>
              </w:rPr>
              <w:t xml:space="preserve">Post-dok (1112) - </w:t>
            </w:r>
            <w:r w:rsidR="00665B3B">
              <w:rPr>
                <w:rFonts w:ascii="Candara" w:eastAsia="Candara" w:hAnsi="Candara" w:cs="Candara"/>
                <w:b/>
                <w:sz w:val="18"/>
                <w:szCs w:val="18"/>
              </w:rPr>
              <w:t>18</w:t>
            </w:r>
          </w:p>
          <w:p w:rsidR="003F6159" w:rsidP="00665B3B" w14:paraId="1C746509" w14:textId="7E967730">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2017.g. IV ceturksnī noslēgti līgumi par 124 pētniecības pieteikumu īstenošanu (kopējais publiskais fin. 15,7 MEUR), kuru īstenošanā jaunu produktu un tehnoloģiju atbalstu izstrādei saņems </w:t>
            </w:r>
            <w:r>
              <w:rPr>
                <w:rFonts w:ascii="Candara" w:eastAsia="Candara" w:hAnsi="Candara" w:cs="Candara"/>
                <w:b/>
                <w:sz w:val="18"/>
                <w:szCs w:val="18"/>
              </w:rPr>
              <w:t>18 uzņēmum</w:t>
            </w:r>
            <w:r>
              <w:rPr>
                <w:rFonts w:ascii="Candara" w:eastAsia="Candara" w:hAnsi="Candara" w:cs="Candara"/>
                <w:sz w:val="18"/>
                <w:szCs w:val="18"/>
              </w:rPr>
              <w:t>i</w:t>
            </w:r>
            <w:r w:rsidRPr="006D1D87">
              <w:rPr>
                <w:rFonts w:ascii="Candara" w:eastAsia="Candara" w:hAnsi="Candara" w:cs="Candara"/>
                <w:sz w:val="18"/>
                <w:szCs w:val="18"/>
              </w:rPr>
              <w:t>.</w:t>
            </w:r>
          </w:p>
        </w:tc>
      </w:tr>
      <w:tr w14:paraId="38E68558" w14:textId="77777777" w:rsidTr="00324F94">
        <w:tblPrEx>
          <w:tblW w:w="13948" w:type="dxa"/>
          <w:tblInd w:w="-115" w:type="dxa"/>
          <w:tblLayout w:type="fixed"/>
          <w:tblLook w:val="0400"/>
        </w:tblPrEx>
        <w:trPr>
          <w:trHeight w:val="680"/>
        </w:trPr>
        <w:tc>
          <w:tcPr>
            <w:tcW w:w="1858" w:type="dxa"/>
            <w:vMerge/>
            <w:shd w:val="clear" w:color="auto" w:fill="FFFFFF"/>
            <w:vAlign w:val="center"/>
          </w:tcPr>
          <w:p w:rsidR="003F6159" w:rsidP="003F6159" w14:paraId="25989EB7" w14:textId="77777777">
            <w:pPr>
              <w:spacing w:after="0" w:line="276" w:lineRule="auto"/>
              <w:rPr>
                <w:rFonts w:ascii="Candara" w:eastAsia="Candara" w:hAnsi="Candara" w:cs="Candara"/>
                <w:sz w:val="18"/>
                <w:szCs w:val="18"/>
              </w:rPr>
            </w:pPr>
          </w:p>
        </w:tc>
        <w:tc>
          <w:tcPr>
            <w:tcW w:w="946" w:type="dxa"/>
            <w:shd w:val="clear" w:color="auto" w:fill="FFFFFF"/>
            <w:vAlign w:val="center"/>
          </w:tcPr>
          <w:p w:rsidR="003F6159" w:rsidP="00A43037" w14:paraId="6B0DA6C6"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p w:rsidR="003F6159" w:rsidP="003F6159" w14:paraId="05C3E109"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F6159" w:rsidP="00860A6B" w14:paraId="469CC759" w14:textId="77777777">
            <w:pPr>
              <w:spacing w:after="0" w:line="240" w:lineRule="auto"/>
              <w:rPr>
                <w:rFonts w:ascii="Candara" w:eastAsia="Candara" w:hAnsi="Candara" w:cs="Candara"/>
                <w:sz w:val="18"/>
                <w:szCs w:val="18"/>
              </w:rPr>
            </w:pPr>
            <w:r>
              <w:rPr>
                <w:rFonts w:ascii="Candara" w:eastAsia="Candara" w:hAnsi="Candara" w:cs="Candara"/>
                <w:sz w:val="18"/>
                <w:szCs w:val="18"/>
              </w:rPr>
              <w:t>KC programma (1211); TPP (Tehnoloģiju pārnese, Inovāciju vaučeri, augstas kvalif. darbinieki) (1212), Biznesa inkubatori (3116), Jaunu produktu ieviešana ražošanā (1214), Finanšu instrumenti (312), Sadarbība (EFLA)</w:t>
            </w:r>
          </w:p>
        </w:tc>
        <w:tc>
          <w:tcPr>
            <w:tcW w:w="5700" w:type="dxa"/>
            <w:shd w:val="clear" w:color="auto" w:fill="FFFFFF"/>
            <w:vAlign w:val="center"/>
          </w:tcPr>
          <w:p w:rsidR="003F6159" w:rsidP="00860A6B" w14:paraId="07987A33" w14:textId="77777777">
            <w:pPr>
              <w:spacing w:after="0" w:line="240" w:lineRule="auto"/>
              <w:rPr>
                <w:rFonts w:ascii="Candara" w:eastAsia="Candara" w:hAnsi="Candara" w:cs="Candara"/>
                <w:b/>
                <w:sz w:val="18"/>
                <w:szCs w:val="18"/>
              </w:rPr>
            </w:pPr>
            <w:r>
              <w:rPr>
                <w:rFonts w:ascii="Candara" w:eastAsia="Candara" w:hAnsi="Candara" w:cs="Candara"/>
                <w:b/>
                <w:sz w:val="18"/>
                <w:szCs w:val="18"/>
              </w:rPr>
              <w:t> Inovāciju vaučeris:</w:t>
            </w:r>
          </w:p>
          <w:p w:rsidR="003F6159" w:rsidP="00860A6B" w14:paraId="7F94BA55" w14:textId="77777777">
            <w:pPr>
              <w:spacing w:after="0" w:line="240" w:lineRule="auto"/>
              <w:rPr>
                <w:rFonts w:ascii="Candara" w:eastAsia="Candara" w:hAnsi="Candara" w:cs="Candara"/>
                <w:sz w:val="18"/>
                <w:szCs w:val="18"/>
              </w:rPr>
            </w:pPr>
            <w:r>
              <w:rPr>
                <w:rFonts w:ascii="Candara" w:eastAsia="Candara" w:hAnsi="Candara" w:cs="Candara"/>
                <w:sz w:val="18"/>
                <w:szCs w:val="18"/>
              </w:rPr>
              <w:t>1) Atbalsta intensitāte programmas ietvaros noteikta 60%</w:t>
            </w:r>
          </w:p>
          <w:p w:rsidR="003F6159" w:rsidP="00860A6B" w14:paraId="07BD5DD9" w14:textId="77777777">
            <w:pPr>
              <w:spacing w:after="0" w:line="240" w:lineRule="auto"/>
              <w:rPr>
                <w:rFonts w:ascii="Candara" w:eastAsia="Candara" w:hAnsi="Candara" w:cs="Candara"/>
                <w:sz w:val="18"/>
                <w:szCs w:val="18"/>
              </w:rPr>
            </w:pPr>
            <w:r>
              <w:rPr>
                <w:rFonts w:ascii="Candara" w:eastAsia="Candara" w:hAnsi="Candara" w:cs="Candara"/>
                <w:sz w:val="18"/>
                <w:szCs w:val="18"/>
              </w:rPr>
              <w:t>2) Programmas kvalitātes kritērijos papildus punktus iespējams saņemt, ja projekts iepriekš H2020 programmas ietavros ticis novērtēts virs kvalitātes sliekšņa  un saņēmis Seal of excellence apliecinājumu</w:t>
            </w:r>
          </w:p>
          <w:p w:rsidR="003F6159" w:rsidP="00860A6B" w14:paraId="06C5F0D4" w14:textId="77777777">
            <w:pPr>
              <w:spacing w:after="0" w:line="240" w:lineRule="auto"/>
              <w:rPr>
                <w:rFonts w:ascii="Candara" w:eastAsia="Candara" w:hAnsi="Candara" w:cs="Candara"/>
                <w:sz w:val="18"/>
                <w:szCs w:val="18"/>
              </w:rPr>
            </w:pPr>
            <w:r>
              <w:rPr>
                <w:rFonts w:ascii="Candara" w:eastAsia="Candara" w:hAnsi="Candara" w:cs="Candara"/>
                <w:sz w:val="18"/>
                <w:szCs w:val="18"/>
              </w:rPr>
              <w:t>3) Maksimālais projekta apjoms palielināts līdz 25 000 EUR</w:t>
            </w:r>
          </w:p>
          <w:p w:rsidR="003F6159" w:rsidP="00860A6B" w14:paraId="72B4A1D2" w14:textId="77777777">
            <w:pPr>
              <w:spacing w:after="0" w:line="240" w:lineRule="auto"/>
              <w:rPr>
                <w:rFonts w:ascii="Candara" w:eastAsia="Candara" w:hAnsi="Candara" w:cs="Candara"/>
                <w:sz w:val="18"/>
                <w:szCs w:val="18"/>
              </w:rPr>
            </w:pPr>
          </w:p>
          <w:p w:rsidR="003F6159" w:rsidP="00860A6B" w14:paraId="16B0E6F5" w14:textId="77777777">
            <w:pPr>
              <w:spacing w:after="0" w:line="240" w:lineRule="auto"/>
              <w:rPr>
                <w:rFonts w:ascii="Candara" w:eastAsia="Candara" w:hAnsi="Candara" w:cs="Candara"/>
                <w:b/>
                <w:sz w:val="18"/>
                <w:szCs w:val="18"/>
              </w:rPr>
            </w:pPr>
            <w:r>
              <w:rPr>
                <w:rFonts w:ascii="Candara" w:eastAsia="Candara" w:hAnsi="Candara" w:cs="Candara"/>
                <w:b/>
                <w:sz w:val="18"/>
                <w:szCs w:val="18"/>
              </w:rPr>
              <w:t>BI programma:</w:t>
            </w:r>
          </w:p>
          <w:p w:rsidR="003F6159" w:rsidP="00860A6B" w14:paraId="1B990D9D"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1) programma ir izstrādāta, lai atbalstītu jaunu dzīvotspējīgu un konkurētspējīgu komersantu izveidi un attīstību Latvijas reģionos, </w:t>
            </w:r>
          </w:p>
          <w:p w:rsidR="003F6159" w:rsidP="00860A6B" w14:paraId="59ABF3E2" w14:textId="77777777">
            <w:pPr>
              <w:spacing w:after="0" w:line="240" w:lineRule="auto"/>
              <w:rPr>
                <w:rFonts w:ascii="Candara" w:eastAsia="Candara" w:hAnsi="Candara" w:cs="Candara"/>
                <w:sz w:val="18"/>
                <w:szCs w:val="18"/>
              </w:rPr>
            </w:pPr>
            <w:r>
              <w:rPr>
                <w:rFonts w:ascii="Candara" w:eastAsia="Candara" w:hAnsi="Candara" w:cs="Candara"/>
                <w:sz w:val="18"/>
                <w:szCs w:val="18"/>
              </w:rPr>
              <w:t>2) pasākuma ietvaros atbalstu sniedz pirmsinkubācijas un inkubācijas atbalsta veidā</w:t>
            </w:r>
          </w:p>
          <w:p w:rsidR="003F6159" w:rsidP="00860A6B" w14:paraId="34B8199E" w14:textId="77777777">
            <w:pPr>
              <w:spacing w:after="0" w:line="240" w:lineRule="auto"/>
              <w:rPr>
                <w:rFonts w:ascii="Candara" w:eastAsia="Candara" w:hAnsi="Candara" w:cs="Candara"/>
                <w:sz w:val="18"/>
                <w:szCs w:val="18"/>
              </w:rPr>
            </w:pPr>
            <w:r>
              <w:rPr>
                <w:rFonts w:ascii="Candara" w:eastAsia="Candara" w:hAnsi="Candara" w:cs="Candara"/>
                <w:sz w:val="18"/>
                <w:szCs w:val="18"/>
              </w:rPr>
              <w:t>3) inkubācijā iespējams saņemt atbalstu aprīkojuma (t.sk. iekārtu, materiālu, izejvielu) iegādes izmaksām- 50%.</w:t>
            </w:r>
          </w:p>
          <w:p w:rsidR="003F6159" w:rsidP="00860A6B" w14:paraId="15BB872F" w14:textId="77777777">
            <w:pPr>
              <w:spacing w:after="0" w:line="240" w:lineRule="auto"/>
              <w:rPr>
                <w:rFonts w:ascii="Candara" w:eastAsia="Candara" w:hAnsi="Candara" w:cs="Candara"/>
                <w:sz w:val="18"/>
                <w:szCs w:val="18"/>
              </w:rPr>
            </w:pPr>
          </w:p>
          <w:p w:rsidR="003F6159" w:rsidP="00860A6B" w14:paraId="563DE62C" w14:textId="77777777">
            <w:pPr>
              <w:spacing w:after="0" w:line="240" w:lineRule="auto"/>
              <w:rPr>
                <w:rFonts w:ascii="Candara" w:eastAsia="Candara" w:hAnsi="Candara" w:cs="Candara"/>
                <w:b/>
                <w:sz w:val="18"/>
                <w:szCs w:val="18"/>
              </w:rPr>
            </w:pPr>
            <w:r>
              <w:rPr>
                <w:rFonts w:ascii="Candara" w:eastAsia="Candara" w:hAnsi="Candara" w:cs="Candara"/>
                <w:b/>
                <w:sz w:val="18"/>
                <w:szCs w:val="18"/>
              </w:rPr>
              <w:t>KC programma:</w:t>
            </w:r>
          </w:p>
          <w:p w:rsidR="003F6159" w:rsidP="00860A6B" w14:paraId="1FB4067F" w14:textId="77777777">
            <w:pPr>
              <w:spacing w:after="0" w:line="240" w:lineRule="auto"/>
              <w:rPr>
                <w:rFonts w:ascii="Candara" w:eastAsia="Candara" w:hAnsi="Candara" w:cs="Candara"/>
                <w:sz w:val="18"/>
                <w:szCs w:val="18"/>
              </w:rPr>
            </w:pPr>
            <w:r>
              <w:rPr>
                <w:rFonts w:ascii="Candara" w:eastAsia="Candara" w:hAnsi="Candara" w:cs="Candara"/>
                <w:sz w:val="18"/>
                <w:szCs w:val="18"/>
              </w:rPr>
              <w:t>1) Pasākuma mērķis ir komersantu konkurētspējas paaugstināšana, veicinot pētniecības un rūpniecības sektora sadarbību, īstenojot projektus, kas attīsta jaunus produktus un tehnoloģijas un ievieš tās ražošanā.</w:t>
            </w:r>
          </w:p>
          <w:p w:rsidR="003F6159" w:rsidP="00860A6B" w14:paraId="5869E7D0" w14:textId="77777777">
            <w:pPr>
              <w:spacing w:after="0" w:line="240" w:lineRule="auto"/>
              <w:rPr>
                <w:rFonts w:ascii="Candara" w:eastAsia="Candara" w:hAnsi="Candara" w:cs="Candara"/>
                <w:sz w:val="18"/>
                <w:szCs w:val="18"/>
              </w:rPr>
            </w:pPr>
            <w:r>
              <w:rPr>
                <w:rFonts w:ascii="Candara" w:eastAsia="Candara" w:hAnsi="Candara" w:cs="Candara"/>
                <w:sz w:val="18"/>
                <w:szCs w:val="18"/>
              </w:rPr>
              <w:t>2) Projekts saskaņā ar MK noteikumiem Nr.2 tiek īstenots atbalstāmajā nozarē kādā no Latvijas Viedās specializācijas jomām.</w:t>
            </w:r>
          </w:p>
          <w:p w:rsidR="003F6159" w:rsidP="00860A6B" w14:paraId="71EF00CF" w14:textId="77777777">
            <w:pPr>
              <w:spacing w:after="0" w:line="240" w:lineRule="auto"/>
              <w:rPr>
                <w:rFonts w:ascii="Candara" w:eastAsia="Candara" w:hAnsi="Candara" w:cs="Candara"/>
                <w:sz w:val="18"/>
                <w:szCs w:val="18"/>
              </w:rPr>
            </w:pPr>
            <w:r>
              <w:rPr>
                <w:rFonts w:ascii="Candara" w:eastAsia="Candara" w:hAnsi="Candara" w:cs="Candara"/>
                <w:sz w:val="18"/>
                <w:szCs w:val="18"/>
              </w:rPr>
              <w:t>3) Jaunā produkta vai tehnoloģijas komerciālais potenciāls - tiek veidots jauns produkts vai tehnoloģija vai būtiski uzlabots esošais produkts vai tehnoloģija un ir iesniegts pamatots jaunā produkta vai tehnoloģijas komercializācijas plāns</w:t>
            </w:r>
          </w:p>
          <w:p w:rsidR="003F6159" w:rsidP="00860A6B" w14:paraId="78FEF4C4" w14:textId="77777777">
            <w:pPr>
              <w:spacing w:after="0" w:line="240" w:lineRule="auto"/>
              <w:rPr>
                <w:rFonts w:ascii="Candara" w:eastAsia="Candara" w:hAnsi="Candara" w:cs="Candara"/>
                <w:sz w:val="18"/>
                <w:szCs w:val="18"/>
              </w:rPr>
            </w:pPr>
            <w:r>
              <w:rPr>
                <w:rFonts w:ascii="Candara" w:eastAsia="Candara" w:hAnsi="Candara" w:cs="Candara"/>
                <w:sz w:val="18"/>
                <w:szCs w:val="18"/>
              </w:rPr>
              <w:t>4) Uzņēmuma projektu komercializācijas apjoma palielināšana</w:t>
            </w:r>
          </w:p>
          <w:p w:rsidR="003F6159" w:rsidP="00860A6B" w14:paraId="6800EEDF" w14:textId="77777777">
            <w:pPr>
              <w:spacing w:after="0" w:line="240" w:lineRule="auto"/>
              <w:rPr>
                <w:rFonts w:ascii="Candara" w:eastAsia="Candara" w:hAnsi="Candara" w:cs="Candara"/>
                <w:sz w:val="18"/>
                <w:szCs w:val="18"/>
              </w:rPr>
            </w:pPr>
          </w:p>
          <w:p w:rsidR="003F6159" w:rsidP="00860A6B" w14:paraId="06D8E1F8" w14:textId="77777777">
            <w:pPr>
              <w:spacing w:after="0" w:line="240" w:lineRule="auto"/>
              <w:rPr>
                <w:rFonts w:ascii="Candara" w:eastAsia="Candara" w:hAnsi="Candara" w:cs="Candara"/>
                <w:b/>
                <w:sz w:val="18"/>
                <w:szCs w:val="18"/>
              </w:rPr>
            </w:pPr>
            <w:r>
              <w:rPr>
                <w:rFonts w:ascii="Candara" w:eastAsia="Candara" w:hAnsi="Candara" w:cs="Candara"/>
                <w:b/>
                <w:sz w:val="18"/>
                <w:szCs w:val="18"/>
              </w:rPr>
              <w:t>JPIR programma:</w:t>
            </w:r>
          </w:p>
          <w:p w:rsidR="003F6159" w:rsidP="00860A6B" w14:paraId="49618B5C" w14:textId="77777777">
            <w:pPr>
              <w:spacing w:after="0" w:line="240" w:lineRule="auto"/>
              <w:rPr>
                <w:rFonts w:ascii="Candara" w:eastAsia="Candara" w:hAnsi="Candara" w:cs="Candara"/>
                <w:sz w:val="18"/>
                <w:szCs w:val="18"/>
              </w:rPr>
            </w:pPr>
            <w:r>
              <w:rPr>
                <w:rFonts w:ascii="Candara" w:eastAsia="Candara" w:hAnsi="Candara" w:cs="Candara"/>
                <w:sz w:val="18"/>
                <w:szCs w:val="18"/>
              </w:rPr>
              <w:t>Specifiskie atbilstības kritēriji paredz, ka projekta iesniegumā ir apliecināts, ka projekta īstenošanas laikā vai projekta uzraudzības periodā projekta iesniedzējs radīs vismaz vienu jaunu produktu un to ieviesīs ražošanā</w:t>
            </w:r>
          </w:p>
        </w:tc>
        <w:tc>
          <w:tcPr>
            <w:tcW w:w="3060" w:type="dxa"/>
            <w:shd w:val="clear" w:color="auto" w:fill="FFFFFF"/>
          </w:tcPr>
          <w:p w:rsidR="003F6159" w:rsidP="00860A6B" w14:paraId="3E2C1EF7" w14:textId="77777777">
            <w:pPr>
              <w:spacing w:after="0" w:line="240" w:lineRule="auto"/>
              <w:jc w:val="both"/>
              <w:rPr>
                <w:rFonts w:ascii="Candara" w:eastAsia="Candara" w:hAnsi="Candara" w:cs="Candara"/>
                <w:b/>
                <w:sz w:val="18"/>
                <w:szCs w:val="18"/>
              </w:rPr>
            </w:pPr>
            <w:r>
              <w:rPr>
                <w:rFonts w:ascii="Candara" w:eastAsia="Candara" w:hAnsi="Candara" w:cs="Candara"/>
                <w:b/>
                <w:sz w:val="18"/>
                <w:szCs w:val="18"/>
              </w:rPr>
              <w:t>Inovācijas vaučeri (1212):</w:t>
            </w:r>
          </w:p>
          <w:p w:rsidR="003F6159" w:rsidP="00860A6B" w14:paraId="3DACBBB4" w14:textId="334CA680">
            <w:pPr>
              <w:spacing w:after="0" w:line="240" w:lineRule="auto"/>
              <w:jc w:val="both"/>
              <w:rPr>
                <w:rFonts w:ascii="Candara" w:eastAsia="Candara" w:hAnsi="Candara" w:cs="Candara"/>
                <w:b/>
                <w:sz w:val="18"/>
                <w:szCs w:val="18"/>
              </w:rPr>
            </w:pPr>
            <w:r>
              <w:rPr>
                <w:rFonts w:ascii="Candara" w:eastAsia="Candara" w:hAnsi="Candara" w:cs="Candara"/>
                <w:sz w:val="18"/>
                <w:szCs w:val="18"/>
              </w:rPr>
              <w:t xml:space="preserve">Pasākuma ietvaros </w:t>
            </w:r>
            <w:r w:rsidR="00796200">
              <w:rPr>
                <w:rFonts w:ascii="Candara" w:eastAsia="Candara" w:hAnsi="Candara" w:cs="Candara"/>
                <w:sz w:val="18"/>
                <w:szCs w:val="18"/>
              </w:rPr>
              <w:t xml:space="preserve">atbalstīti </w:t>
            </w:r>
            <w:r w:rsidR="00796200">
              <w:rPr>
                <w:rFonts w:ascii="Candara" w:eastAsia="Candara" w:hAnsi="Candara" w:cs="Candara"/>
                <w:b/>
                <w:sz w:val="18"/>
                <w:szCs w:val="18"/>
              </w:rPr>
              <w:t>7</w:t>
            </w:r>
            <w:r>
              <w:rPr>
                <w:rFonts w:ascii="Candara" w:eastAsia="Candara" w:hAnsi="Candara" w:cs="Candara"/>
                <w:b/>
                <w:sz w:val="18"/>
                <w:szCs w:val="18"/>
              </w:rPr>
              <w:t xml:space="preserve"> projekti</w:t>
            </w:r>
          </w:p>
          <w:p w:rsidR="003F6159" w:rsidP="00860A6B" w14:paraId="26A9B74B" w14:textId="77777777">
            <w:pPr>
              <w:spacing w:after="0" w:line="240" w:lineRule="auto"/>
              <w:jc w:val="both"/>
              <w:rPr>
                <w:rFonts w:ascii="Candara" w:eastAsia="Candara" w:hAnsi="Candara" w:cs="Candara"/>
                <w:sz w:val="18"/>
                <w:szCs w:val="18"/>
              </w:rPr>
            </w:pPr>
          </w:p>
          <w:p w:rsidR="003F6159" w:rsidP="00860A6B" w14:paraId="57E975FC" w14:textId="77777777">
            <w:pPr>
              <w:spacing w:after="0" w:line="240" w:lineRule="auto"/>
              <w:jc w:val="both"/>
              <w:rPr>
                <w:rFonts w:ascii="Candara" w:eastAsia="Candara" w:hAnsi="Candara" w:cs="Candara"/>
                <w:sz w:val="18"/>
                <w:szCs w:val="18"/>
              </w:rPr>
            </w:pPr>
          </w:p>
          <w:p w:rsidR="003F6159" w:rsidP="00860A6B" w14:paraId="3260382A" w14:textId="77777777">
            <w:pPr>
              <w:spacing w:after="0" w:line="240" w:lineRule="auto"/>
              <w:jc w:val="both"/>
              <w:rPr>
                <w:rFonts w:ascii="Candara" w:eastAsia="Candara" w:hAnsi="Candara" w:cs="Candara"/>
                <w:sz w:val="18"/>
                <w:szCs w:val="18"/>
              </w:rPr>
            </w:pPr>
          </w:p>
          <w:p w:rsidR="00860A6B" w:rsidP="00860A6B" w14:paraId="30576126" w14:textId="77777777">
            <w:pPr>
              <w:spacing w:after="0" w:line="240" w:lineRule="auto"/>
              <w:jc w:val="both"/>
              <w:rPr>
                <w:rFonts w:ascii="Candara" w:eastAsia="Candara" w:hAnsi="Candara" w:cs="Candara"/>
                <w:sz w:val="18"/>
                <w:szCs w:val="18"/>
              </w:rPr>
            </w:pPr>
          </w:p>
          <w:p w:rsidR="003F6159" w:rsidP="00860A6B" w14:paraId="2336C9FF" w14:textId="77777777">
            <w:pPr>
              <w:spacing w:after="0" w:line="240" w:lineRule="auto"/>
              <w:jc w:val="both"/>
              <w:rPr>
                <w:rFonts w:ascii="Candara" w:eastAsia="Candara" w:hAnsi="Candara" w:cs="Candara"/>
                <w:sz w:val="18"/>
                <w:szCs w:val="18"/>
              </w:rPr>
            </w:pPr>
          </w:p>
          <w:p w:rsidR="003F6159" w:rsidP="00860A6B" w14:paraId="07EFF14A" w14:textId="77777777">
            <w:pPr>
              <w:spacing w:after="0" w:line="240" w:lineRule="auto"/>
              <w:jc w:val="both"/>
              <w:rPr>
                <w:rFonts w:ascii="Candara" w:eastAsia="Candara" w:hAnsi="Candara" w:cs="Candara"/>
                <w:b/>
                <w:sz w:val="18"/>
                <w:szCs w:val="18"/>
              </w:rPr>
            </w:pPr>
            <w:r>
              <w:rPr>
                <w:rFonts w:ascii="Candara" w:eastAsia="Candara" w:hAnsi="Candara" w:cs="Candara"/>
                <w:b/>
                <w:sz w:val="18"/>
                <w:szCs w:val="18"/>
              </w:rPr>
              <w:t>BI programma (3116):</w:t>
            </w:r>
          </w:p>
          <w:p w:rsidR="003F6159" w:rsidP="00860A6B" w14:paraId="1B085976" w14:textId="1E9C41F6">
            <w:pPr>
              <w:spacing w:after="0" w:line="240" w:lineRule="auto"/>
              <w:jc w:val="both"/>
              <w:rPr>
                <w:rFonts w:ascii="Candara" w:eastAsia="Candara" w:hAnsi="Candara" w:cs="Candara"/>
                <w:sz w:val="18"/>
                <w:szCs w:val="18"/>
              </w:rPr>
            </w:pPr>
            <w:r>
              <w:rPr>
                <w:rFonts w:ascii="Candara" w:eastAsia="Candara" w:hAnsi="Candara" w:cs="Candara"/>
                <w:sz w:val="18"/>
                <w:szCs w:val="18"/>
              </w:rPr>
              <w:t>Dati uz 10.</w:t>
            </w:r>
            <w:r w:rsidR="00796200">
              <w:rPr>
                <w:rFonts w:ascii="Candara" w:eastAsia="Candara" w:hAnsi="Candara" w:cs="Candara"/>
                <w:sz w:val="18"/>
                <w:szCs w:val="18"/>
              </w:rPr>
              <w:t>12</w:t>
            </w:r>
            <w:r>
              <w:rPr>
                <w:rFonts w:ascii="Candara" w:eastAsia="Candara" w:hAnsi="Candara" w:cs="Candara"/>
                <w:sz w:val="18"/>
                <w:szCs w:val="18"/>
              </w:rPr>
              <w:t>.2017.:</w:t>
            </w:r>
          </w:p>
          <w:p w:rsidR="003F6159" w:rsidP="00860A6B" w14:paraId="2A5CB279" w14:textId="6B9B3C74">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1) pirmsinkubācija - </w:t>
            </w:r>
            <w:r w:rsidR="007C505D">
              <w:rPr>
                <w:rFonts w:ascii="Candara" w:eastAsia="Candara" w:hAnsi="Candara" w:cs="Candara"/>
                <w:b/>
                <w:sz w:val="18"/>
                <w:szCs w:val="18"/>
              </w:rPr>
              <w:t>373</w:t>
            </w:r>
            <w:r>
              <w:rPr>
                <w:rFonts w:ascii="Candara" w:eastAsia="Candara" w:hAnsi="Candara" w:cs="Candara"/>
                <w:b/>
                <w:sz w:val="18"/>
                <w:szCs w:val="18"/>
              </w:rPr>
              <w:t xml:space="preserve"> </w:t>
            </w:r>
            <w:r>
              <w:rPr>
                <w:rFonts w:ascii="Candara" w:eastAsia="Candara" w:hAnsi="Candara" w:cs="Candara"/>
                <w:sz w:val="18"/>
                <w:szCs w:val="18"/>
              </w:rPr>
              <w:t>(t.sk. 18 radošajā inkubatorā)</w:t>
            </w:r>
          </w:p>
          <w:p w:rsidR="003F6159" w:rsidP="00860A6B" w14:paraId="4137A50C" w14:textId="4F4EAC39">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 inkubācija - </w:t>
            </w:r>
            <w:r>
              <w:rPr>
                <w:rFonts w:ascii="Candara" w:eastAsia="Candara" w:hAnsi="Candara" w:cs="Candara"/>
                <w:b/>
                <w:sz w:val="18"/>
                <w:szCs w:val="18"/>
              </w:rPr>
              <w:t>1</w:t>
            </w:r>
            <w:r w:rsidR="007C505D">
              <w:rPr>
                <w:rFonts w:ascii="Candara" w:eastAsia="Candara" w:hAnsi="Candara" w:cs="Candara"/>
                <w:b/>
                <w:sz w:val="18"/>
                <w:szCs w:val="18"/>
              </w:rPr>
              <w:t>89</w:t>
            </w:r>
            <w:r>
              <w:rPr>
                <w:rFonts w:ascii="Candara" w:eastAsia="Candara" w:hAnsi="Candara" w:cs="Candara"/>
                <w:b/>
                <w:sz w:val="18"/>
                <w:szCs w:val="18"/>
              </w:rPr>
              <w:t xml:space="preserve"> </w:t>
            </w:r>
            <w:r>
              <w:rPr>
                <w:rFonts w:ascii="Candara" w:eastAsia="Candara" w:hAnsi="Candara" w:cs="Candara"/>
                <w:sz w:val="18"/>
                <w:szCs w:val="18"/>
              </w:rPr>
              <w:t>(t.sk. 1</w:t>
            </w:r>
            <w:r w:rsidR="009F4306">
              <w:rPr>
                <w:rFonts w:ascii="Candara" w:eastAsia="Candara" w:hAnsi="Candara" w:cs="Candara"/>
                <w:sz w:val="18"/>
                <w:szCs w:val="18"/>
              </w:rPr>
              <w:t>5</w:t>
            </w:r>
            <w:r>
              <w:rPr>
                <w:rFonts w:ascii="Candara" w:eastAsia="Candara" w:hAnsi="Candara" w:cs="Candara"/>
                <w:sz w:val="18"/>
                <w:szCs w:val="18"/>
              </w:rPr>
              <w:t xml:space="preserve"> radošajā inkubatorā)</w:t>
            </w:r>
          </w:p>
          <w:p w:rsidR="006062C2" w:rsidP="00860A6B" w14:paraId="0EC39614" w14:textId="77777777">
            <w:pPr>
              <w:spacing w:after="0" w:line="240" w:lineRule="auto"/>
              <w:jc w:val="both"/>
              <w:rPr>
                <w:rFonts w:ascii="Candara" w:eastAsia="Candara" w:hAnsi="Candara" w:cs="Candara"/>
                <w:sz w:val="18"/>
                <w:szCs w:val="18"/>
              </w:rPr>
            </w:pPr>
          </w:p>
          <w:p w:rsidR="003F6159" w:rsidP="00860A6B" w14:paraId="00613325" w14:textId="77777777">
            <w:pPr>
              <w:spacing w:after="0" w:line="240" w:lineRule="auto"/>
              <w:jc w:val="both"/>
              <w:rPr>
                <w:rFonts w:ascii="Candara" w:eastAsia="Candara" w:hAnsi="Candara" w:cs="Candara"/>
                <w:sz w:val="18"/>
                <w:szCs w:val="18"/>
              </w:rPr>
            </w:pPr>
          </w:p>
          <w:p w:rsidR="003F6159" w:rsidP="00860A6B" w14:paraId="2BF3B68F" w14:textId="77777777">
            <w:pPr>
              <w:spacing w:after="0" w:line="240" w:lineRule="auto"/>
              <w:jc w:val="both"/>
              <w:rPr>
                <w:rFonts w:ascii="Candara" w:eastAsia="Candara" w:hAnsi="Candara" w:cs="Candara"/>
                <w:sz w:val="18"/>
                <w:szCs w:val="18"/>
              </w:rPr>
            </w:pPr>
            <w:r>
              <w:rPr>
                <w:rFonts w:ascii="Candara" w:eastAsia="Candara" w:hAnsi="Candara" w:cs="Candara"/>
                <w:b/>
                <w:sz w:val="18"/>
                <w:szCs w:val="18"/>
              </w:rPr>
              <w:t>KC programma (1211)</w:t>
            </w:r>
            <w:r>
              <w:rPr>
                <w:rFonts w:ascii="Candara" w:eastAsia="Candara" w:hAnsi="Candara" w:cs="Candara"/>
                <w:sz w:val="18"/>
                <w:szCs w:val="18"/>
              </w:rPr>
              <w:t>:</w:t>
            </w:r>
          </w:p>
          <w:p w:rsidR="003F6159" w:rsidP="00860A6B" w14:paraId="3FAF548E" w14:textId="4B411AE3">
            <w:pPr>
              <w:spacing w:after="0" w:line="240" w:lineRule="auto"/>
              <w:jc w:val="both"/>
              <w:rPr>
                <w:rFonts w:ascii="Candara" w:eastAsia="Candara" w:hAnsi="Candara" w:cs="Candara"/>
                <w:b/>
                <w:sz w:val="18"/>
                <w:szCs w:val="18"/>
              </w:rPr>
            </w:pPr>
            <w:r>
              <w:rPr>
                <w:rFonts w:ascii="Candara" w:eastAsia="Candara" w:hAnsi="Candara" w:cs="Candara"/>
                <w:sz w:val="18"/>
                <w:szCs w:val="18"/>
              </w:rPr>
              <w:t>Programmas ietvaros līdz 2017.g.</w:t>
            </w:r>
            <w:r w:rsidR="00796200">
              <w:rPr>
                <w:rFonts w:ascii="Candara" w:eastAsia="Candara" w:hAnsi="Candara" w:cs="Candara"/>
                <w:sz w:val="18"/>
                <w:szCs w:val="18"/>
              </w:rPr>
              <w:t xml:space="preserve"> beigām</w:t>
            </w:r>
            <w:r>
              <w:rPr>
                <w:rFonts w:ascii="Candara" w:eastAsia="Candara" w:hAnsi="Candara" w:cs="Candara"/>
                <w:sz w:val="18"/>
                <w:szCs w:val="18"/>
              </w:rPr>
              <w:t xml:space="preserve"> atbalstu saņēmuši </w:t>
            </w:r>
            <w:r w:rsidR="00D668BB">
              <w:rPr>
                <w:rFonts w:ascii="Candara" w:eastAsia="Candara" w:hAnsi="Candara" w:cs="Candara"/>
                <w:b/>
                <w:sz w:val="18"/>
                <w:szCs w:val="18"/>
              </w:rPr>
              <w:t xml:space="preserve">144 </w:t>
            </w:r>
            <w:r>
              <w:rPr>
                <w:rFonts w:ascii="Candara" w:eastAsia="Candara" w:hAnsi="Candara" w:cs="Candara"/>
                <w:b/>
                <w:sz w:val="18"/>
                <w:szCs w:val="18"/>
              </w:rPr>
              <w:t>komersanti</w:t>
            </w:r>
          </w:p>
          <w:p w:rsidR="003F6159" w:rsidP="00860A6B" w14:paraId="444BB430" w14:textId="77777777">
            <w:pPr>
              <w:spacing w:after="0" w:line="240" w:lineRule="auto"/>
              <w:jc w:val="both"/>
              <w:rPr>
                <w:rFonts w:ascii="Candara" w:eastAsia="Candara" w:hAnsi="Candara" w:cs="Candara"/>
                <w:sz w:val="18"/>
                <w:szCs w:val="18"/>
              </w:rPr>
            </w:pPr>
          </w:p>
          <w:p w:rsidR="003F6159" w:rsidP="00860A6B" w14:paraId="274C5ECB" w14:textId="77777777">
            <w:pPr>
              <w:spacing w:after="0" w:line="240" w:lineRule="auto"/>
              <w:jc w:val="both"/>
              <w:rPr>
                <w:rFonts w:ascii="Candara" w:eastAsia="Candara" w:hAnsi="Candara" w:cs="Candara"/>
                <w:sz w:val="18"/>
                <w:szCs w:val="18"/>
              </w:rPr>
            </w:pPr>
          </w:p>
          <w:p w:rsidR="003F6159" w:rsidP="00860A6B" w14:paraId="37DD64EB" w14:textId="77777777">
            <w:pPr>
              <w:spacing w:after="0" w:line="240" w:lineRule="auto"/>
              <w:jc w:val="both"/>
              <w:rPr>
                <w:rFonts w:ascii="Candara" w:eastAsia="Candara" w:hAnsi="Candara" w:cs="Candara"/>
                <w:sz w:val="18"/>
                <w:szCs w:val="18"/>
              </w:rPr>
            </w:pPr>
          </w:p>
          <w:p w:rsidR="003F6159" w:rsidP="00860A6B" w14:paraId="437556AD" w14:textId="77777777">
            <w:pPr>
              <w:spacing w:after="0" w:line="240" w:lineRule="auto"/>
              <w:jc w:val="both"/>
              <w:rPr>
                <w:rFonts w:ascii="Candara" w:eastAsia="Candara" w:hAnsi="Candara" w:cs="Candara"/>
                <w:sz w:val="18"/>
                <w:szCs w:val="18"/>
              </w:rPr>
            </w:pPr>
          </w:p>
          <w:p w:rsidR="003F6159" w:rsidP="00860A6B" w14:paraId="078AF362" w14:textId="77777777">
            <w:pPr>
              <w:spacing w:after="0" w:line="240" w:lineRule="auto"/>
              <w:jc w:val="both"/>
              <w:rPr>
                <w:rFonts w:ascii="Candara" w:eastAsia="Candara" w:hAnsi="Candara" w:cs="Candara"/>
                <w:sz w:val="18"/>
                <w:szCs w:val="18"/>
              </w:rPr>
            </w:pPr>
          </w:p>
          <w:p w:rsidR="003F6159" w:rsidP="00860A6B" w14:paraId="78A7A37B" w14:textId="77777777">
            <w:pPr>
              <w:spacing w:after="0" w:line="240" w:lineRule="auto"/>
              <w:jc w:val="both"/>
              <w:rPr>
                <w:rFonts w:ascii="Candara" w:eastAsia="Candara" w:hAnsi="Candara" w:cs="Candara"/>
                <w:sz w:val="18"/>
                <w:szCs w:val="18"/>
              </w:rPr>
            </w:pPr>
          </w:p>
          <w:p w:rsidR="003F6159" w:rsidP="00860A6B" w14:paraId="52379E51" w14:textId="77777777">
            <w:pPr>
              <w:spacing w:after="0" w:line="240" w:lineRule="auto"/>
              <w:jc w:val="both"/>
              <w:rPr>
                <w:rFonts w:ascii="Candara" w:eastAsia="Candara" w:hAnsi="Candara" w:cs="Candara"/>
                <w:sz w:val="18"/>
                <w:szCs w:val="18"/>
              </w:rPr>
            </w:pPr>
          </w:p>
          <w:p w:rsidR="003F6159" w:rsidP="00860A6B" w14:paraId="3AC17459" w14:textId="77777777">
            <w:pPr>
              <w:spacing w:after="0" w:line="240" w:lineRule="auto"/>
              <w:jc w:val="both"/>
              <w:rPr>
                <w:rFonts w:ascii="Candara" w:eastAsia="Candara" w:hAnsi="Candara" w:cs="Candara"/>
                <w:sz w:val="18"/>
                <w:szCs w:val="18"/>
              </w:rPr>
            </w:pPr>
          </w:p>
          <w:p w:rsidR="003F6159" w:rsidP="00860A6B" w14:paraId="2A995BE4" w14:textId="77777777">
            <w:pPr>
              <w:spacing w:after="0" w:line="240" w:lineRule="auto"/>
              <w:jc w:val="both"/>
              <w:rPr>
                <w:rFonts w:ascii="Candara" w:eastAsia="Candara" w:hAnsi="Candara" w:cs="Candara"/>
                <w:sz w:val="18"/>
                <w:szCs w:val="18"/>
              </w:rPr>
            </w:pPr>
          </w:p>
          <w:p w:rsidR="003F6159" w:rsidP="00860A6B" w14:paraId="58670056" w14:textId="77777777">
            <w:pPr>
              <w:spacing w:after="0" w:line="240" w:lineRule="auto"/>
              <w:jc w:val="both"/>
              <w:rPr>
                <w:rFonts w:ascii="Candara" w:eastAsia="Candara" w:hAnsi="Candara" w:cs="Candara"/>
                <w:sz w:val="18"/>
                <w:szCs w:val="18"/>
              </w:rPr>
            </w:pPr>
            <w:r>
              <w:rPr>
                <w:rFonts w:ascii="Candara" w:eastAsia="Candara" w:hAnsi="Candara" w:cs="Candara"/>
                <w:b/>
                <w:sz w:val="18"/>
                <w:szCs w:val="18"/>
              </w:rPr>
              <w:t>JPIR programma</w:t>
            </w:r>
            <w:r>
              <w:rPr>
                <w:rFonts w:ascii="Candara" w:eastAsia="Candara" w:hAnsi="Candara" w:cs="Candara"/>
                <w:sz w:val="18"/>
                <w:szCs w:val="18"/>
              </w:rPr>
              <w:t>:</w:t>
            </w:r>
          </w:p>
          <w:p w:rsidR="003F6159" w:rsidP="00860A6B" w14:paraId="0284BA2A" w14:textId="7BE137D3">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2017. gada </w:t>
            </w:r>
            <w:r w:rsidR="006F1B72">
              <w:rPr>
                <w:rFonts w:ascii="Candara" w:eastAsia="Candara" w:hAnsi="Candara" w:cs="Candara"/>
                <w:sz w:val="18"/>
                <w:szCs w:val="18"/>
              </w:rPr>
              <w:t>beigās</w:t>
            </w:r>
            <w:r>
              <w:rPr>
                <w:rFonts w:ascii="Candara" w:eastAsia="Candara" w:hAnsi="Candara" w:cs="Candara"/>
                <w:sz w:val="18"/>
                <w:szCs w:val="18"/>
              </w:rPr>
              <w:t xml:space="preserve"> noslēgti līgumi par atbalsta saņemšanu programmas 1.kārtas ietvaros un atbalstu saņēmuši </w:t>
            </w:r>
            <w:r>
              <w:rPr>
                <w:rFonts w:ascii="Candara" w:eastAsia="Candara" w:hAnsi="Candara" w:cs="Candara"/>
                <w:b/>
                <w:sz w:val="18"/>
                <w:szCs w:val="18"/>
              </w:rPr>
              <w:t>1</w:t>
            </w:r>
            <w:r w:rsidR="006F1B72">
              <w:rPr>
                <w:rFonts w:ascii="Candara" w:eastAsia="Candara" w:hAnsi="Candara" w:cs="Candara"/>
                <w:b/>
                <w:sz w:val="18"/>
                <w:szCs w:val="18"/>
              </w:rPr>
              <w:t>7</w:t>
            </w:r>
            <w:r>
              <w:rPr>
                <w:rFonts w:ascii="Candara" w:eastAsia="Candara" w:hAnsi="Candara" w:cs="Candara"/>
                <w:b/>
                <w:sz w:val="18"/>
                <w:szCs w:val="18"/>
              </w:rPr>
              <w:t xml:space="preserve"> uzņēmumi</w:t>
            </w:r>
            <w:r>
              <w:rPr>
                <w:rFonts w:ascii="Candara" w:eastAsia="Candara" w:hAnsi="Candara" w:cs="Candara"/>
                <w:sz w:val="18"/>
                <w:szCs w:val="18"/>
              </w:rPr>
              <w:t>.</w:t>
            </w:r>
          </w:p>
        </w:tc>
      </w:tr>
      <w:tr w14:paraId="794068E1" w14:textId="77777777" w:rsidTr="00324F94">
        <w:tblPrEx>
          <w:tblW w:w="13948" w:type="dxa"/>
          <w:tblInd w:w="-115" w:type="dxa"/>
          <w:tblLayout w:type="fixed"/>
          <w:tblLook w:val="0400"/>
        </w:tblPrEx>
        <w:trPr>
          <w:trHeight w:val="577"/>
        </w:trPr>
        <w:tc>
          <w:tcPr>
            <w:tcW w:w="1858" w:type="dxa"/>
            <w:vMerge/>
            <w:shd w:val="clear" w:color="auto" w:fill="FFFFFF"/>
            <w:vAlign w:val="center"/>
          </w:tcPr>
          <w:p w:rsidR="003F6159" w:rsidP="003F6159" w14:paraId="7E9661A0" w14:textId="77777777">
            <w:pPr>
              <w:spacing w:after="0" w:line="240" w:lineRule="auto"/>
              <w:rPr>
                <w:rFonts w:ascii="Candara" w:eastAsia="Candara" w:hAnsi="Candara" w:cs="Candara"/>
                <w:sz w:val="18"/>
                <w:szCs w:val="18"/>
              </w:rPr>
            </w:pPr>
          </w:p>
        </w:tc>
        <w:tc>
          <w:tcPr>
            <w:tcW w:w="946" w:type="dxa"/>
            <w:vMerge w:val="restart"/>
            <w:shd w:val="clear" w:color="auto" w:fill="FFFFFF"/>
            <w:vAlign w:val="center"/>
          </w:tcPr>
          <w:p w:rsidR="003F6159" w:rsidP="003F6159" w14:paraId="6A2C341A"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767EBA" w:rsidP="003F6159" w14:paraId="3CD7C8C0"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(IZM; EM – UIN atlaides)</w:t>
            </w:r>
          </w:p>
          <w:p w:rsidR="003F6159" w:rsidP="003F6159" w14:paraId="3D3D3887"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3F6159" w:rsidP="00860A6B" w14:paraId="70AE7785" w14:textId="77777777">
            <w:pPr>
              <w:spacing w:after="0" w:line="240" w:lineRule="auto"/>
              <w:rPr>
                <w:rFonts w:ascii="Candara" w:eastAsia="Candara" w:hAnsi="Candara" w:cs="Candara"/>
                <w:sz w:val="18"/>
                <w:szCs w:val="18"/>
              </w:rPr>
            </w:pPr>
            <w:r>
              <w:rPr>
                <w:rFonts w:ascii="Candara" w:eastAsia="Candara" w:hAnsi="Candara" w:cs="Candara"/>
                <w:sz w:val="18"/>
                <w:szCs w:val="18"/>
              </w:rPr>
              <w:t>Valsts pētījumu programmas 2014-2017</w:t>
            </w:r>
          </w:p>
        </w:tc>
        <w:tc>
          <w:tcPr>
            <w:tcW w:w="5700" w:type="dxa"/>
            <w:shd w:val="clear" w:color="auto" w:fill="FFFFFF"/>
            <w:vAlign w:val="center"/>
          </w:tcPr>
          <w:p w:rsidR="003F6159" w:rsidP="00860A6B" w14:paraId="702C1968" w14:textId="77777777">
            <w:pPr>
              <w:spacing w:after="0" w:line="240" w:lineRule="auto"/>
              <w:rPr>
                <w:rFonts w:ascii="Candara" w:eastAsia="Candara" w:hAnsi="Candara" w:cs="Candara"/>
                <w:sz w:val="18"/>
                <w:szCs w:val="18"/>
              </w:rPr>
            </w:pPr>
            <w:r>
              <w:rPr>
                <w:rFonts w:ascii="Candara" w:eastAsia="Candara" w:hAnsi="Candara" w:cs="Candara"/>
                <w:sz w:val="18"/>
                <w:szCs w:val="18"/>
              </w:rPr>
              <w:t>VPP noteikumos ir kā rādītājs programmas ietvaros izstrādātās jaunās tehnoloģijas, metodes, prototipi vai pakalpojumi (skaits), kas aprobēti uzņēmumos</w:t>
            </w:r>
          </w:p>
        </w:tc>
        <w:tc>
          <w:tcPr>
            <w:tcW w:w="3060" w:type="dxa"/>
            <w:shd w:val="clear" w:color="auto" w:fill="FFFFFF"/>
            <w:vAlign w:val="center"/>
          </w:tcPr>
          <w:p w:rsidR="003F6159" w:rsidP="00860A6B" w14:paraId="66D7A0CB"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Izstrādāti 46 prototipi VPP projektu ietvaros.</w:t>
            </w:r>
          </w:p>
        </w:tc>
      </w:tr>
      <w:tr w14:paraId="5967896D" w14:textId="77777777" w:rsidTr="00324F94">
        <w:tblPrEx>
          <w:tblW w:w="13948" w:type="dxa"/>
          <w:tblInd w:w="-115" w:type="dxa"/>
          <w:tblLayout w:type="fixed"/>
          <w:tblLook w:val="0400"/>
        </w:tblPrEx>
        <w:trPr>
          <w:trHeight w:val="331"/>
        </w:trPr>
        <w:tc>
          <w:tcPr>
            <w:tcW w:w="1858" w:type="dxa"/>
            <w:vMerge/>
            <w:shd w:val="clear" w:color="auto" w:fill="FFFFFF"/>
            <w:vAlign w:val="center"/>
          </w:tcPr>
          <w:p w:rsidR="003F6159" w:rsidP="003F6159" w14:paraId="37047779" w14:textId="77777777">
            <w:pPr>
              <w:spacing w:after="0" w:line="240" w:lineRule="auto"/>
              <w:rPr>
                <w:rFonts w:ascii="Candara" w:eastAsia="Candara" w:hAnsi="Candara" w:cs="Candara"/>
                <w:sz w:val="18"/>
                <w:szCs w:val="18"/>
              </w:rPr>
            </w:pPr>
          </w:p>
        </w:tc>
        <w:tc>
          <w:tcPr>
            <w:tcW w:w="946" w:type="dxa"/>
            <w:vMerge/>
            <w:shd w:val="clear" w:color="auto" w:fill="FFFFFF"/>
            <w:vAlign w:val="center"/>
          </w:tcPr>
          <w:p w:rsidR="003F6159" w:rsidP="003F6159" w14:paraId="416840FD"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3F6159" w:rsidP="00860A6B" w14:paraId="5791F031" w14:textId="77777777">
            <w:pPr>
              <w:spacing w:after="0" w:line="240" w:lineRule="auto"/>
              <w:rPr>
                <w:rFonts w:ascii="Candara" w:eastAsia="Candara" w:hAnsi="Candara" w:cs="Candara"/>
                <w:sz w:val="18"/>
                <w:szCs w:val="18"/>
              </w:rPr>
            </w:pPr>
            <w:r>
              <w:rPr>
                <w:rFonts w:ascii="Candara" w:eastAsia="Candara" w:hAnsi="Candara" w:cs="Candara"/>
                <w:sz w:val="18"/>
                <w:szCs w:val="18"/>
              </w:rPr>
              <w:t>FLPP</w:t>
            </w:r>
          </w:p>
        </w:tc>
        <w:tc>
          <w:tcPr>
            <w:tcW w:w="5700" w:type="dxa"/>
            <w:shd w:val="clear" w:color="auto" w:fill="FFFFFF"/>
            <w:vAlign w:val="center"/>
          </w:tcPr>
          <w:p w:rsidR="003F6159" w:rsidP="00860A6B" w14:paraId="14B8702E" w14:textId="77777777">
            <w:pPr>
              <w:spacing w:after="0" w:line="240" w:lineRule="auto"/>
              <w:rPr>
                <w:rFonts w:ascii="Candara" w:eastAsia="Candara" w:hAnsi="Candara" w:cs="Candara"/>
                <w:sz w:val="18"/>
                <w:szCs w:val="18"/>
              </w:rPr>
            </w:pPr>
            <w:r>
              <w:rPr>
                <w:rFonts w:ascii="Candara" w:eastAsia="Candara" w:hAnsi="Candara" w:cs="Candara"/>
                <w:sz w:val="18"/>
                <w:szCs w:val="18"/>
              </w:rPr>
              <w:t>Nav noteikti stimuli šim rādītājam</w:t>
            </w:r>
          </w:p>
        </w:tc>
        <w:tc>
          <w:tcPr>
            <w:tcW w:w="3060" w:type="dxa"/>
            <w:shd w:val="clear" w:color="auto" w:fill="FFFFFF"/>
            <w:vAlign w:val="center"/>
          </w:tcPr>
          <w:p w:rsidR="003F6159" w:rsidP="00860A6B" w14:paraId="02B4492A"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Rādītājs nav attiecināms konkrētajai programmai</w:t>
            </w:r>
          </w:p>
        </w:tc>
      </w:tr>
      <w:tr w14:paraId="3FAEF7B3" w14:textId="77777777" w:rsidTr="00324F94">
        <w:tblPrEx>
          <w:tblW w:w="13948" w:type="dxa"/>
          <w:tblInd w:w="-115" w:type="dxa"/>
          <w:tblLayout w:type="fixed"/>
          <w:tblLook w:val="0400"/>
        </w:tblPrEx>
        <w:trPr>
          <w:trHeight w:val="840"/>
        </w:trPr>
        <w:tc>
          <w:tcPr>
            <w:tcW w:w="1858" w:type="dxa"/>
            <w:vMerge/>
            <w:shd w:val="clear" w:color="auto" w:fill="FFFFFF"/>
            <w:vAlign w:val="center"/>
          </w:tcPr>
          <w:p w:rsidR="003F6159" w:rsidP="003F6159" w14:paraId="74100B24" w14:textId="77777777">
            <w:pPr>
              <w:spacing w:after="0" w:line="240" w:lineRule="auto"/>
              <w:rPr>
                <w:rFonts w:ascii="Candara" w:eastAsia="Candara" w:hAnsi="Candara" w:cs="Candara"/>
                <w:sz w:val="18"/>
                <w:szCs w:val="18"/>
              </w:rPr>
            </w:pPr>
          </w:p>
        </w:tc>
        <w:tc>
          <w:tcPr>
            <w:tcW w:w="946" w:type="dxa"/>
            <w:vMerge/>
            <w:shd w:val="clear" w:color="auto" w:fill="FFFFFF"/>
            <w:vAlign w:val="center"/>
          </w:tcPr>
          <w:p w:rsidR="003F6159" w:rsidP="003F6159" w14:paraId="26884E2E"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3F6159" w:rsidP="00860A6B" w14:paraId="562BF5FA" w14:textId="77777777">
            <w:pPr>
              <w:spacing w:after="0" w:line="240" w:lineRule="auto"/>
              <w:rPr>
                <w:rFonts w:ascii="Candara" w:eastAsia="Candara" w:hAnsi="Candara" w:cs="Candara"/>
                <w:sz w:val="18"/>
                <w:szCs w:val="18"/>
              </w:rPr>
            </w:pPr>
            <w:r>
              <w:rPr>
                <w:rFonts w:ascii="Candara" w:eastAsia="Candara" w:hAnsi="Candara" w:cs="Candara"/>
                <w:sz w:val="18"/>
                <w:szCs w:val="18"/>
              </w:rPr>
              <w:t>Starptautiskās sadarbības programmas zinātnē un tehnoloģiju attīstībā</w:t>
            </w:r>
          </w:p>
        </w:tc>
        <w:tc>
          <w:tcPr>
            <w:tcW w:w="5700" w:type="dxa"/>
            <w:shd w:val="clear" w:color="auto" w:fill="FFFFFF"/>
            <w:vAlign w:val="center"/>
          </w:tcPr>
          <w:p w:rsidR="003F6159" w:rsidP="00860A6B" w14:paraId="6F886BA8" w14:textId="77777777">
            <w:pPr>
              <w:spacing w:after="0" w:line="240" w:lineRule="auto"/>
              <w:rPr>
                <w:rFonts w:ascii="Candara" w:eastAsia="Candara" w:hAnsi="Candara" w:cs="Candara"/>
                <w:sz w:val="18"/>
                <w:szCs w:val="18"/>
              </w:rPr>
            </w:pPr>
            <w:r>
              <w:rPr>
                <w:rFonts w:ascii="Candara" w:eastAsia="Candara" w:hAnsi="Candara" w:cs="Candara"/>
                <w:sz w:val="18"/>
                <w:szCs w:val="18"/>
              </w:rPr>
              <w:t>saskaņā ar katras programmas ieviešanas nosacījumiem</w:t>
            </w:r>
          </w:p>
        </w:tc>
        <w:tc>
          <w:tcPr>
            <w:tcW w:w="3060" w:type="dxa"/>
            <w:shd w:val="clear" w:color="auto" w:fill="FFFFFF"/>
            <w:vAlign w:val="center"/>
          </w:tcPr>
          <w:p w:rsidR="003F6159" w:rsidP="002231F4" w14:paraId="5F970530"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Laika posmā no 2014. līdz 2017. gadam noslēgti </w:t>
            </w:r>
            <w:r w:rsidR="002231F4">
              <w:rPr>
                <w:rFonts w:ascii="Candara" w:eastAsia="Candara" w:hAnsi="Candara" w:cs="Candara"/>
                <w:sz w:val="18"/>
                <w:szCs w:val="18"/>
              </w:rPr>
              <w:t>104</w:t>
            </w:r>
            <w:r>
              <w:rPr>
                <w:rFonts w:ascii="Candara" w:eastAsia="Candara" w:hAnsi="Candara" w:cs="Candara"/>
                <w:sz w:val="18"/>
                <w:szCs w:val="18"/>
              </w:rPr>
              <w:t xml:space="preserve"> līgumi ar kopējo valsts budžeta finansējuma apmēru – </w:t>
            </w:r>
            <w:r w:rsidR="002231F4">
              <w:rPr>
                <w:rFonts w:ascii="Candara" w:eastAsia="Candara" w:hAnsi="Candara" w:cs="Candara"/>
                <w:sz w:val="18"/>
                <w:szCs w:val="18"/>
              </w:rPr>
              <w:t>11,18 </w:t>
            </w:r>
            <w:r>
              <w:rPr>
                <w:rFonts w:ascii="Candara" w:eastAsia="Candara" w:hAnsi="Candara" w:cs="Candara"/>
                <w:sz w:val="18"/>
                <w:szCs w:val="18"/>
              </w:rPr>
              <w:t>MEUR, no kuriem</w:t>
            </w:r>
            <w:r>
              <w:rPr>
                <w:rFonts w:ascii="Candara" w:eastAsia="Candara" w:hAnsi="Candara" w:cs="Candara"/>
                <w:sz w:val="18"/>
                <w:szCs w:val="18"/>
              </w:rPr>
              <w:t xml:space="preserve"> atbalstu jaunu produktu un tehnoloģiju izstrādei </w:t>
            </w:r>
            <w:r w:rsidR="002231F4">
              <w:rPr>
                <w:rFonts w:ascii="Candara" w:eastAsia="Candara" w:hAnsi="Candara" w:cs="Candara"/>
                <w:sz w:val="18"/>
                <w:szCs w:val="18"/>
              </w:rPr>
              <w:t>saņem</w:t>
            </w:r>
            <w:r>
              <w:rPr>
                <w:rFonts w:ascii="Candara" w:eastAsia="Candara" w:hAnsi="Candara" w:cs="Candara"/>
                <w:sz w:val="18"/>
                <w:szCs w:val="18"/>
              </w:rPr>
              <w:t xml:space="preserve"> </w:t>
            </w:r>
            <w:r w:rsidR="002231F4">
              <w:rPr>
                <w:rFonts w:ascii="Candara" w:eastAsia="Candara" w:hAnsi="Candara" w:cs="Candara"/>
                <w:sz w:val="18"/>
                <w:szCs w:val="18"/>
              </w:rPr>
              <w:t>10</w:t>
            </w:r>
            <w:r>
              <w:rPr>
                <w:rFonts w:ascii="Candara" w:eastAsia="Candara" w:hAnsi="Candara" w:cs="Candara"/>
                <w:sz w:val="18"/>
                <w:szCs w:val="18"/>
              </w:rPr>
              <w:t xml:space="preserve"> komersanti</w:t>
            </w:r>
          </w:p>
        </w:tc>
      </w:tr>
      <w:tr w14:paraId="07619F08" w14:textId="77777777" w:rsidTr="00324F94">
        <w:tblPrEx>
          <w:tblW w:w="13948" w:type="dxa"/>
          <w:tblInd w:w="-115" w:type="dxa"/>
          <w:tblLayout w:type="fixed"/>
          <w:tblLook w:val="0400"/>
        </w:tblPrEx>
        <w:trPr>
          <w:trHeight w:val="260"/>
        </w:trPr>
        <w:tc>
          <w:tcPr>
            <w:tcW w:w="1858" w:type="dxa"/>
            <w:vMerge/>
            <w:shd w:val="clear" w:color="auto" w:fill="FFFFFF"/>
            <w:vAlign w:val="center"/>
          </w:tcPr>
          <w:p w:rsidR="003F6159" w:rsidP="003F6159" w14:paraId="36617222" w14:textId="77777777">
            <w:pPr>
              <w:spacing w:after="0" w:line="240" w:lineRule="auto"/>
              <w:rPr>
                <w:rFonts w:ascii="Candara" w:eastAsia="Candara" w:hAnsi="Candara" w:cs="Candara"/>
                <w:sz w:val="18"/>
                <w:szCs w:val="18"/>
              </w:rPr>
            </w:pPr>
          </w:p>
        </w:tc>
        <w:tc>
          <w:tcPr>
            <w:tcW w:w="946" w:type="dxa"/>
            <w:vMerge/>
            <w:shd w:val="clear" w:color="auto" w:fill="FFFFFF"/>
            <w:vAlign w:val="center"/>
          </w:tcPr>
          <w:p w:rsidR="003F6159" w:rsidP="003F6159" w14:paraId="53644F9A"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3F6159" w14:paraId="4A4EAB33" w14:textId="77777777">
            <w:pPr>
              <w:spacing w:after="0" w:line="240" w:lineRule="auto"/>
              <w:rPr>
                <w:rFonts w:ascii="Candara" w:eastAsia="Candara" w:hAnsi="Candara" w:cs="Candara"/>
                <w:sz w:val="18"/>
                <w:szCs w:val="18"/>
              </w:rPr>
            </w:pPr>
            <w:r>
              <w:rPr>
                <w:rFonts w:ascii="Candara" w:eastAsia="Candara" w:hAnsi="Candara" w:cs="Candara"/>
                <w:sz w:val="18"/>
                <w:szCs w:val="18"/>
              </w:rPr>
              <w:t>UIN atlaides</w:t>
            </w:r>
            <w:r w:rsidR="00767EBA">
              <w:rPr>
                <w:rFonts w:ascii="Candara" w:eastAsia="Candara" w:hAnsi="Candara" w:cs="Candara"/>
                <w:sz w:val="18"/>
                <w:szCs w:val="18"/>
              </w:rPr>
              <w:t xml:space="preserve"> </w:t>
            </w:r>
          </w:p>
        </w:tc>
        <w:tc>
          <w:tcPr>
            <w:tcW w:w="5700" w:type="dxa"/>
            <w:shd w:val="clear" w:color="auto" w:fill="FFFFFF"/>
            <w:vAlign w:val="center"/>
          </w:tcPr>
          <w:p w:rsidR="003F6159" w:rsidP="00860A6B" w14:paraId="470A9EB7" w14:textId="77777777">
            <w:pPr>
              <w:spacing w:after="0" w:line="240" w:lineRule="auto"/>
              <w:rPr>
                <w:rFonts w:ascii="Candara" w:eastAsia="Candara" w:hAnsi="Candara" w:cs="Candara"/>
                <w:sz w:val="18"/>
                <w:szCs w:val="18"/>
              </w:rPr>
            </w:pPr>
            <w:r>
              <w:rPr>
                <w:rFonts w:ascii="Candara" w:eastAsia="Times New Roman" w:hAnsi="Candara" w:cs="Times New Roman"/>
                <w:sz w:val="18"/>
                <w:szCs w:val="18"/>
                <w:lang w:eastAsia="lv-LV"/>
              </w:rPr>
              <w:t>UIN P&amp;A n</w:t>
            </w:r>
            <w:r w:rsidRPr="007F59C3">
              <w:rPr>
                <w:rFonts w:ascii="Candara" w:eastAsia="Times New Roman" w:hAnsi="Candara" w:cs="Times New Roman"/>
                <w:sz w:val="18"/>
                <w:szCs w:val="18"/>
                <w:lang w:eastAsia="lv-LV"/>
              </w:rPr>
              <w:t>odokļa stimuls</w:t>
            </w:r>
            <w:r>
              <w:rPr>
                <w:rFonts w:ascii="Candara" w:eastAsia="Times New Roman" w:hAnsi="Candara" w:cs="Times New Roman"/>
                <w:sz w:val="18"/>
                <w:szCs w:val="18"/>
                <w:lang w:eastAsia="lv-LV"/>
              </w:rPr>
              <w:t>, kuru var piemērot šādām attiecināmajām P&amp;A izmaksām</w:t>
            </w:r>
            <w:r w:rsidRPr="007F59C3">
              <w:rPr>
                <w:rFonts w:ascii="Candara" w:eastAsia="Times New Roman" w:hAnsi="Candara" w:cs="Times New Roman"/>
                <w:sz w:val="18"/>
                <w:szCs w:val="18"/>
                <w:lang w:eastAsia="lv-LV"/>
              </w:rPr>
              <w:t>: 1) uzņēmuma zinātniskā un zinātnes tehniskā personāla izmaksas, kas saistītas ar uzņēmuma veikto pētniecības un attīstības darbu, 2) pētniecības pakalpojumu, kas saņemti no zinātniskajām institūcijām izmaksas, kā arī 3) sertifikācijas, testēšanas un kalibrēšanas pakalpojumu izmaksas, saņemot pakalpojumus no akreditētām sertifikācijas, testēšanas un kalibrēšanas institūcijām.</w:t>
            </w:r>
            <w:r>
              <w:rPr>
                <w:rFonts w:ascii="Candara" w:eastAsia="Times New Roman" w:hAnsi="Candara" w:cs="Times New Roman"/>
                <w:sz w:val="18"/>
                <w:szCs w:val="18"/>
                <w:lang w:eastAsia="lv-LV"/>
              </w:rPr>
              <w:t xml:space="preserve"> UIN gada deklarācijas 63.rindā iespējams norādīt izdevumus </w:t>
            </w:r>
            <w:r w:rsidRPr="00EC1FA9">
              <w:rPr>
                <w:rFonts w:ascii="Candara" w:eastAsia="Times New Roman" w:hAnsi="Candara" w:cs="Times New Roman"/>
                <w:sz w:val="18"/>
                <w:szCs w:val="18"/>
                <w:lang w:eastAsia="lv-LV"/>
              </w:rPr>
              <w:t>pētniecībai un attīstībai</w:t>
            </w:r>
            <w:r>
              <w:rPr>
                <w:rFonts w:ascii="Candara" w:eastAsia="Times New Roman" w:hAnsi="Candara" w:cs="Times New Roman"/>
                <w:sz w:val="18"/>
                <w:szCs w:val="18"/>
                <w:lang w:eastAsia="lv-LV"/>
              </w:rPr>
              <w:t xml:space="preserve">, kas var tikt norakstīti </w:t>
            </w:r>
            <w:r w:rsidRPr="007F59C3">
              <w:rPr>
                <w:rFonts w:ascii="Candara" w:eastAsia="Times New Roman" w:hAnsi="Candara" w:cs="Times New Roman"/>
                <w:sz w:val="18"/>
                <w:szCs w:val="18"/>
                <w:lang w:eastAsia="lv-LV"/>
              </w:rPr>
              <w:t>piemērojot vērtību palielinošu koeficientu „3”.</w:t>
            </w:r>
          </w:p>
        </w:tc>
        <w:tc>
          <w:tcPr>
            <w:tcW w:w="3060" w:type="dxa"/>
            <w:shd w:val="clear" w:color="auto" w:fill="FFFFFF"/>
            <w:vAlign w:val="center"/>
          </w:tcPr>
          <w:p w:rsidR="003F6159" w:rsidRPr="0060414D" w:rsidP="00860A6B" w14:paraId="7D77AE7D" w14:textId="77777777">
            <w:pPr>
              <w:spacing w:after="0" w:line="240" w:lineRule="auto"/>
              <w:jc w:val="both"/>
              <w:rPr>
                <w:rFonts w:ascii="Candara" w:eastAsia="Times New Roman" w:hAnsi="Candara" w:cs="Times New Roman"/>
                <w:sz w:val="18"/>
                <w:szCs w:val="18"/>
                <w:lang w:eastAsia="lv-LV"/>
              </w:rPr>
            </w:pPr>
            <w:r>
              <w:rPr>
                <w:rFonts w:ascii="Candara" w:eastAsia="Times New Roman" w:hAnsi="Candara" w:cs="Times New Roman"/>
                <w:sz w:val="18"/>
                <w:szCs w:val="18"/>
                <w:lang w:eastAsia="lv-LV"/>
              </w:rPr>
              <w:t>Uzņēmumu skaits, kas deklarējuši atlaidi</w:t>
            </w:r>
            <w:r w:rsidRPr="0060414D">
              <w:rPr>
                <w:rFonts w:ascii="Candara" w:eastAsia="Times New Roman" w:hAnsi="Candara" w:cs="Times New Roman"/>
                <w:sz w:val="18"/>
                <w:szCs w:val="18"/>
                <w:lang w:eastAsia="lv-LV"/>
              </w:rPr>
              <w:t>:</w:t>
            </w:r>
          </w:p>
          <w:p w:rsidR="003F6159" w:rsidRPr="0060414D" w:rsidP="00860A6B" w14:paraId="736DF3B5" w14:textId="77777777">
            <w:pPr>
              <w:spacing w:after="0" w:line="240" w:lineRule="auto"/>
              <w:jc w:val="both"/>
              <w:rPr>
                <w:rFonts w:ascii="Candara" w:eastAsia="Times New Roman" w:hAnsi="Candara" w:cs="Times New Roman"/>
                <w:sz w:val="18"/>
                <w:szCs w:val="18"/>
                <w:lang w:eastAsia="lv-LV"/>
              </w:rPr>
            </w:pPr>
            <w:r w:rsidRPr="0060414D">
              <w:rPr>
                <w:rFonts w:ascii="Candara" w:eastAsia="Times New Roman" w:hAnsi="Candara" w:cs="Times New Roman"/>
                <w:sz w:val="18"/>
                <w:szCs w:val="18"/>
                <w:lang w:eastAsia="lv-LV"/>
              </w:rPr>
              <w:t xml:space="preserve">2014.gadā – </w:t>
            </w:r>
            <w:r>
              <w:rPr>
                <w:rFonts w:ascii="Candara" w:eastAsia="Times New Roman" w:hAnsi="Candara" w:cs="Times New Roman"/>
                <w:sz w:val="18"/>
                <w:szCs w:val="18"/>
                <w:lang w:eastAsia="lv-LV"/>
              </w:rPr>
              <w:t>86</w:t>
            </w:r>
          </w:p>
          <w:p w:rsidR="003F6159" w:rsidP="00860A6B" w14:paraId="639D7B1A" w14:textId="77777777">
            <w:pPr>
              <w:spacing w:after="0" w:line="240" w:lineRule="auto"/>
              <w:jc w:val="both"/>
              <w:rPr>
                <w:rFonts w:ascii="Candara" w:eastAsia="Times New Roman" w:hAnsi="Candara" w:cs="Times New Roman"/>
                <w:sz w:val="18"/>
                <w:szCs w:val="18"/>
                <w:lang w:eastAsia="lv-LV"/>
              </w:rPr>
            </w:pPr>
            <w:r>
              <w:rPr>
                <w:rFonts w:ascii="Candara" w:eastAsia="Times New Roman" w:hAnsi="Candara" w:cs="Times New Roman"/>
                <w:sz w:val="18"/>
                <w:szCs w:val="18"/>
                <w:lang w:eastAsia="lv-LV"/>
              </w:rPr>
              <w:t>2015.gadā – 30</w:t>
            </w:r>
          </w:p>
          <w:p w:rsidR="006F1B72" w:rsidP="00860A6B" w14:paraId="5C2B6229" w14:textId="17D4BF09">
            <w:pPr>
              <w:spacing w:after="0" w:line="240" w:lineRule="auto"/>
              <w:jc w:val="both"/>
              <w:rPr>
                <w:rFonts w:ascii="Candara" w:eastAsia="Candara" w:hAnsi="Candara" w:cs="Candara"/>
                <w:sz w:val="18"/>
                <w:szCs w:val="18"/>
              </w:rPr>
            </w:pPr>
            <w:r>
              <w:rPr>
                <w:rFonts w:ascii="Candara" w:eastAsia="Times New Roman" w:hAnsi="Candara" w:cs="Times New Roman"/>
                <w:sz w:val="18"/>
                <w:szCs w:val="18"/>
                <w:lang w:eastAsia="lv-LV"/>
              </w:rPr>
              <w:t>2016.gadā - 27</w:t>
            </w:r>
          </w:p>
        </w:tc>
      </w:tr>
      <w:tr w14:paraId="63370C64" w14:textId="77777777" w:rsidTr="00324F94">
        <w:tblPrEx>
          <w:tblW w:w="13948" w:type="dxa"/>
          <w:tblInd w:w="-115" w:type="dxa"/>
          <w:tblLayout w:type="fixed"/>
          <w:tblLook w:val="0400"/>
        </w:tblPrEx>
        <w:trPr>
          <w:trHeight w:val="2509"/>
        </w:trPr>
        <w:tc>
          <w:tcPr>
            <w:tcW w:w="1858" w:type="dxa"/>
            <w:vMerge w:val="restart"/>
            <w:shd w:val="clear" w:color="auto" w:fill="FFFFFF"/>
            <w:vAlign w:val="center"/>
          </w:tcPr>
          <w:p w:rsidR="003F6159" w:rsidP="003F6159" w14:paraId="471EAB1B"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Komersanta apgrozījums no pētniecības rezultātu ieviešanas saimnieciskajā darbībā vai komercializēšanas</w:t>
            </w:r>
          </w:p>
        </w:tc>
        <w:tc>
          <w:tcPr>
            <w:tcW w:w="946" w:type="dxa"/>
            <w:shd w:val="clear" w:color="auto" w:fill="FFFFFF"/>
            <w:vAlign w:val="center"/>
          </w:tcPr>
          <w:p w:rsidR="003F6159" w:rsidP="003F6159" w14:paraId="7E97034C"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tc>
        <w:tc>
          <w:tcPr>
            <w:tcW w:w="2384" w:type="dxa"/>
            <w:shd w:val="clear" w:color="auto" w:fill="FFFFFF"/>
            <w:vAlign w:val="center"/>
          </w:tcPr>
          <w:p w:rsidR="003F6159" w:rsidP="00860A6B" w14:paraId="0266684F" w14:textId="77777777">
            <w:pPr>
              <w:spacing w:after="0" w:line="240" w:lineRule="auto"/>
              <w:rPr>
                <w:rFonts w:ascii="Candara" w:eastAsia="Candara" w:hAnsi="Candara" w:cs="Candara"/>
                <w:sz w:val="18"/>
                <w:szCs w:val="18"/>
              </w:rPr>
            </w:pPr>
            <w:r>
              <w:rPr>
                <w:rFonts w:ascii="Candara" w:eastAsia="Candara" w:hAnsi="Candara" w:cs="Candara"/>
                <w:sz w:val="18"/>
                <w:szCs w:val="18"/>
              </w:rPr>
              <w:t>KC programma (SAM 1211), Jaunu produktu ieviešana ražošanā (1214)</w:t>
            </w:r>
          </w:p>
        </w:tc>
        <w:tc>
          <w:tcPr>
            <w:tcW w:w="5700" w:type="dxa"/>
            <w:shd w:val="clear" w:color="auto" w:fill="FFFFFF"/>
            <w:vAlign w:val="center"/>
          </w:tcPr>
          <w:p w:rsidR="003F6159" w:rsidP="00860A6B" w14:paraId="2DBC4F2E" w14:textId="77777777">
            <w:pPr>
              <w:spacing w:after="0" w:line="240" w:lineRule="auto"/>
              <w:rPr>
                <w:rFonts w:ascii="Candara" w:eastAsia="Candara" w:hAnsi="Candara" w:cs="Candara"/>
                <w:b/>
                <w:sz w:val="18"/>
                <w:szCs w:val="18"/>
              </w:rPr>
            </w:pPr>
            <w:r>
              <w:rPr>
                <w:rFonts w:ascii="Candara" w:eastAsia="Candara" w:hAnsi="Candara" w:cs="Candara"/>
                <w:b/>
                <w:sz w:val="18"/>
                <w:szCs w:val="18"/>
              </w:rPr>
              <w:t> KC programma:</w:t>
            </w:r>
          </w:p>
          <w:p w:rsidR="003F6159" w:rsidP="00860A6B" w14:paraId="2C365F32" w14:textId="77777777">
            <w:pPr>
              <w:spacing w:after="0" w:line="240" w:lineRule="auto"/>
              <w:rPr>
                <w:rFonts w:ascii="Candara" w:eastAsia="Candara" w:hAnsi="Candara" w:cs="Candara"/>
                <w:sz w:val="18"/>
                <w:szCs w:val="18"/>
              </w:rPr>
            </w:pPr>
            <w:r>
              <w:rPr>
                <w:rFonts w:ascii="Candara" w:eastAsia="Candara" w:hAnsi="Candara" w:cs="Candara"/>
                <w:sz w:val="18"/>
                <w:szCs w:val="18"/>
              </w:rPr>
              <w:t>Konkurētspējas paaugstināšana</w:t>
            </w:r>
          </w:p>
          <w:p w:rsidR="003F6159" w:rsidP="00860A6B" w14:paraId="3CEED695" w14:textId="77777777">
            <w:pPr>
              <w:spacing w:after="0" w:line="240" w:lineRule="auto"/>
              <w:rPr>
                <w:rFonts w:ascii="Candara" w:eastAsia="Candara" w:hAnsi="Candara" w:cs="Candara"/>
                <w:sz w:val="18"/>
                <w:szCs w:val="18"/>
              </w:rPr>
            </w:pPr>
          </w:p>
          <w:p w:rsidR="003F6159" w:rsidP="00860A6B" w14:paraId="31AAEEAB" w14:textId="77777777">
            <w:pPr>
              <w:spacing w:after="0" w:line="240" w:lineRule="auto"/>
              <w:rPr>
                <w:rFonts w:ascii="Candara" w:eastAsia="Candara" w:hAnsi="Candara" w:cs="Candara"/>
                <w:b/>
                <w:sz w:val="18"/>
                <w:szCs w:val="18"/>
              </w:rPr>
            </w:pPr>
            <w:r>
              <w:rPr>
                <w:rFonts w:ascii="Candara" w:eastAsia="Candara" w:hAnsi="Candara" w:cs="Candara"/>
                <w:b/>
                <w:sz w:val="18"/>
                <w:szCs w:val="18"/>
              </w:rPr>
              <w:t>JPIR programma:</w:t>
            </w:r>
          </w:p>
          <w:p w:rsidR="003F6159" w:rsidP="00860A6B" w14:paraId="0592D61D" w14:textId="77777777">
            <w:pPr>
              <w:spacing w:after="0" w:line="240" w:lineRule="auto"/>
              <w:rPr>
                <w:rFonts w:ascii="Candara" w:eastAsia="Candara" w:hAnsi="Candara" w:cs="Candara"/>
                <w:sz w:val="18"/>
                <w:szCs w:val="18"/>
              </w:rPr>
            </w:pPr>
            <w:r>
              <w:rPr>
                <w:rFonts w:ascii="Candara" w:eastAsia="Candara" w:hAnsi="Candara" w:cs="Candara"/>
                <w:sz w:val="18"/>
                <w:szCs w:val="18"/>
              </w:rPr>
              <w:t>Kvalitātes kritērijs nosaka, ka projekta iesniegumā ir apliecināts, ka pēc projekta īstenošanas gada pētniecības un attīstības (P&amp;A) darbi pieaugs vismaz par 0,36 - 0,72 procentpunktiem no komersanta gada apgrozījuma, kurš tieši saistīts ar projekta īstenošanu (radies no projekta rezultātā izveidotajām iekārtām) vidēji visu projekta uzraudzības periodu</w:t>
            </w:r>
          </w:p>
        </w:tc>
        <w:tc>
          <w:tcPr>
            <w:tcW w:w="3060" w:type="dxa"/>
            <w:shd w:val="clear" w:color="auto" w:fill="FFFFFF"/>
            <w:vAlign w:val="center"/>
          </w:tcPr>
          <w:p w:rsidR="003F6159" w:rsidP="00860A6B" w14:paraId="6D2CCEA7"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Projektu īstenošana sākuma stadijā, rādītājs vēl nav nosakāms</w:t>
            </w:r>
          </w:p>
          <w:p w:rsidR="003F6159" w:rsidP="00860A6B" w14:paraId="6B00DEBE" w14:textId="77777777">
            <w:pPr>
              <w:spacing w:after="0" w:line="240" w:lineRule="auto"/>
              <w:jc w:val="both"/>
              <w:rPr>
                <w:rFonts w:ascii="Candara" w:eastAsia="Candara" w:hAnsi="Candara" w:cs="Candara"/>
                <w:sz w:val="18"/>
                <w:szCs w:val="18"/>
              </w:rPr>
            </w:pPr>
          </w:p>
          <w:p w:rsidR="003F6159" w:rsidP="00860A6B" w14:paraId="1B6E0574" w14:textId="77777777">
            <w:pPr>
              <w:spacing w:after="0" w:line="240" w:lineRule="auto"/>
              <w:jc w:val="both"/>
              <w:rPr>
                <w:rFonts w:ascii="Candara" w:eastAsia="Candara" w:hAnsi="Candara" w:cs="Candara"/>
                <w:sz w:val="18"/>
                <w:szCs w:val="18"/>
              </w:rPr>
            </w:pPr>
          </w:p>
          <w:p w:rsidR="003F6159" w:rsidP="00860A6B" w14:paraId="66D3F24E" w14:textId="77777777">
            <w:pPr>
              <w:spacing w:after="0" w:line="240" w:lineRule="auto"/>
              <w:jc w:val="both"/>
              <w:rPr>
                <w:rFonts w:ascii="Candara" w:eastAsia="Candara" w:hAnsi="Candara" w:cs="Candara"/>
                <w:sz w:val="18"/>
                <w:szCs w:val="18"/>
              </w:rPr>
            </w:pPr>
          </w:p>
          <w:p w:rsidR="003F6159" w:rsidP="00860A6B" w14:paraId="6C0378E5" w14:textId="77777777">
            <w:pPr>
              <w:spacing w:after="0" w:line="240" w:lineRule="auto"/>
              <w:jc w:val="both"/>
              <w:rPr>
                <w:rFonts w:ascii="Candara" w:eastAsia="Candara" w:hAnsi="Candara" w:cs="Candara"/>
                <w:sz w:val="18"/>
                <w:szCs w:val="18"/>
              </w:rPr>
            </w:pPr>
          </w:p>
          <w:p w:rsidR="003F6159" w:rsidP="00860A6B" w14:paraId="5C41CBDF" w14:textId="77777777">
            <w:pPr>
              <w:spacing w:after="0" w:line="240" w:lineRule="auto"/>
              <w:jc w:val="both"/>
              <w:rPr>
                <w:rFonts w:ascii="Candara" w:eastAsia="Candara" w:hAnsi="Candara" w:cs="Candara"/>
                <w:sz w:val="18"/>
                <w:szCs w:val="18"/>
              </w:rPr>
            </w:pPr>
          </w:p>
        </w:tc>
      </w:tr>
      <w:tr w14:paraId="5A03B451" w14:textId="77777777" w:rsidTr="00324F94">
        <w:tblPrEx>
          <w:tblW w:w="13948" w:type="dxa"/>
          <w:tblInd w:w="-115" w:type="dxa"/>
          <w:tblLayout w:type="fixed"/>
          <w:tblLook w:val="0400"/>
        </w:tblPrEx>
        <w:trPr>
          <w:trHeight w:val="260"/>
        </w:trPr>
        <w:tc>
          <w:tcPr>
            <w:tcW w:w="1858" w:type="dxa"/>
            <w:vMerge/>
            <w:shd w:val="clear" w:color="auto" w:fill="FFFFFF"/>
            <w:vAlign w:val="center"/>
          </w:tcPr>
          <w:p w:rsidR="003F6159" w:rsidP="003F6159" w14:paraId="51E34520" w14:textId="77777777">
            <w:pPr>
              <w:spacing w:after="0" w:line="240" w:lineRule="auto"/>
              <w:rPr>
                <w:rFonts w:ascii="Candara" w:eastAsia="Candara" w:hAnsi="Candara" w:cs="Candara"/>
                <w:sz w:val="18"/>
                <w:szCs w:val="18"/>
              </w:rPr>
            </w:pPr>
          </w:p>
        </w:tc>
        <w:tc>
          <w:tcPr>
            <w:tcW w:w="946" w:type="dxa"/>
            <w:shd w:val="clear" w:color="auto" w:fill="FFFFFF"/>
            <w:vAlign w:val="center"/>
          </w:tcPr>
          <w:p w:rsidR="00767EBA" w:rsidP="003F6159" w14:paraId="16DFAC94"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3F6159" w:rsidP="003F6159" w14:paraId="1DEC55FA"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 xml:space="preserve"> (EM)</w:t>
            </w:r>
          </w:p>
        </w:tc>
        <w:tc>
          <w:tcPr>
            <w:tcW w:w="2384" w:type="dxa"/>
            <w:shd w:val="clear" w:color="auto" w:fill="FFFFFF"/>
            <w:vAlign w:val="center"/>
          </w:tcPr>
          <w:p w:rsidR="003F6159" w:rsidP="00860A6B" w14:paraId="0EAB11BE" w14:textId="77777777">
            <w:pPr>
              <w:spacing w:after="0" w:line="240" w:lineRule="auto"/>
              <w:rPr>
                <w:rFonts w:ascii="Candara" w:eastAsia="Candara" w:hAnsi="Candara" w:cs="Candara"/>
                <w:sz w:val="18"/>
                <w:szCs w:val="18"/>
              </w:rPr>
            </w:pPr>
            <w:r>
              <w:rPr>
                <w:rFonts w:ascii="Candara" w:eastAsia="Candara" w:hAnsi="Candara" w:cs="Candara"/>
                <w:sz w:val="18"/>
                <w:szCs w:val="18"/>
              </w:rPr>
              <w:t>UIN atlaides</w:t>
            </w:r>
          </w:p>
        </w:tc>
        <w:tc>
          <w:tcPr>
            <w:tcW w:w="5700" w:type="dxa"/>
            <w:shd w:val="clear" w:color="auto" w:fill="FFFFFF"/>
            <w:vAlign w:val="center"/>
          </w:tcPr>
          <w:p w:rsidR="003F6159" w:rsidP="00860A6B" w14:paraId="53D46929" w14:textId="77777777">
            <w:pPr>
              <w:spacing w:after="0" w:line="240" w:lineRule="auto"/>
              <w:rPr>
                <w:rFonts w:ascii="Candara" w:eastAsia="Candara" w:hAnsi="Candara" w:cs="Candara"/>
                <w:sz w:val="18"/>
                <w:szCs w:val="18"/>
              </w:rPr>
            </w:pPr>
            <w:r>
              <w:rPr>
                <w:rFonts w:ascii="Candara" w:eastAsia="Times New Roman" w:hAnsi="Candara" w:cs="Times New Roman"/>
                <w:sz w:val="18"/>
                <w:szCs w:val="18"/>
                <w:lang w:eastAsia="lv-LV"/>
              </w:rPr>
              <w:t xml:space="preserve">Uzņēmumu ienākuma nodokļa gada deklarācijas 63.rindā iespējams norādīt izdevumus </w:t>
            </w:r>
            <w:r w:rsidRPr="00EC1FA9">
              <w:rPr>
                <w:rFonts w:ascii="Candara" w:eastAsia="Times New Roman" w:hAnsi="Candara" w:cs="Times New Roman"/>
                <w:sz w:val="18"/>
                <w:szCs w:val="18"/>
                <w:lang w:eastAsia="lv-LV"/>
              </w:rPr>
              <w:t>pētniecībai un attīstībai</w:t>
            </w:r>
            <w:r>
              <w:rPr>
                <w:rFonts w:ascii="Candara" w:eastAsia="Times New Roman" w:hAnsi="Candara" w:cs="Times New Roman"/>
                <w:sz w:val="18"/>
                <w:szCs w:val="18"/>
                <w:lang w:eastAsia="lv-LV"/>
              </w:rPr>
              <w:t xml:space="preserve">, kas var tikt norakstīti </w:t>
            </w:r>
            <w:r w:rsidRPr="007F59C3">
              <w:rPr>
                <w:rFonts w:ascii="Candara" w:eastAsia="Times New Roman" w:hAnsi="Candara" w:cs="Times New Roman"/>
                <w:sz w:val="18"/>
                <w:szCs w:val="18"/>
                <w:lang w:eastAsia="lv-LV"/>
              </w:rPr>
              <w:t>piemērojot vērtību palielinošu koeficientu „3”.</w:t>
            </w:r>
          </w:p>
        </w:tc>
        <w:tc>
          <w:tcPr>
            <w:tcW w:w="3060" w:type="dxa"/>
            <w:shd w:val="clear" w:color="auto" w:fill="FFFFFF"/>
            <w:vAlign w:val="center"/>
          </w:tcPr>
          <w:p w:rsidR="003F6159" w:rsidRPr="0060414D" w:rsidP="00860A6B" w14:paraId="16D31A25" w14:textId="77777777">
            <w:pPr>
              <w:spacing w:after="0" w:line="240" w:lineRule="auto"/>
              <w:jc w:val="both"/>
              <w:rPr>
                <w:rFonts w:ascii="Candara" w:eastAsia="Times New Roman" w:hAnsi="Candara" w:cs="Times New Roman"/>
                <w:sz w:val="18"/>
                <w:szCs w:val="18"/>
                <w:lang w:eastAsia="lv-LV"/>
              </w:rPr>
            </w:pPr>
            <w:r>
              <w:rPr>
                <w:rFonts w:ascii="Candara" w:eastAsia="Times New Roman" w:hAnsi="Candara" w:cs="Times New Roman"/>
                <w:sz w:val="18"/>
                <w:szCs w:val="18"/>
                <w:lang w:eastAsia="lv-LV"/>
              </w:rPr>
              <w:t>Uzņēmumi, kas deklarējuši</w:t>
            </w:r>
            <w:r w:rsidRPr="0060414D">
              <w:rPr>
                <w:rFonts w:ascii="Candara" w:eastAsia="Times New Roman" w:hAnsi="Candara" w:cs="Times New Roman"/>
                <w:sz w:val="18"/>
                <w:szCs w:val="18"/>
                <w:lang w:eastAsia="lv-LV"/>
              </w:rPr>
              <w:t xml:space="preserve"> atlaidi, P&amp;A ieguldījuši:</w:t>
            </w:r>
          </w:p>
          <w:p w:rsidR="003F6159" w:rsidRPr="0060414D" w:rsidP="00860A6B" w14:paraId="3B9EC586" w14:textId="77777777">
            <w:pPr>
              <w:spacing w:after="0" w:line="240" w:lineRule="auto"/>
              <w:jc w:val="both"/>
              <w:rPr>
                <w:rFonts w:ascii="Candara" w:eastAsia="Times New Roman" w:hAnsi="Candara" w:cs="Times New Roman"/>
                <w:sz w:val="18"/>
                <w:szCs w:val="18"/>
                <w:lang w:eastAsia="lv-LV"/>
              </w:rPr>
            </w:pPr>
            <w:r w:rsidRPr="0060414D">
              <w:rPr>
                <w:rFonts w:ascii="Candara" w:eastAsia="Times New Roman" w:hAnsi="Candara" w:cs="Times New Roman"/>
                <w:sz w:val="18"/>
                <w:szCs w:val="18"/>
                <w:lang w:eastAsia="lv-LV"/>
              </w:rPr>
              <w:t xml:space="preserve">2014.gadā – </w:t>
            </w:r>
            <w:r>
              <w:rPr>
                <w:rFonts w:ascii="Candara" w:eastAsia="Times New Roman" w:hAnsi="Candara" w:cs="Times New Roman"/>
                <w:sz w:val="18"/>
                <w:szCs w:val="18"/>
                <w:lang w:eastAsia="lv-LV"/>
              </w:rPr>
              <w:t>0,44 MEUR</w:t>
            </w:r>
          </w:p>
          <w:p w:rsidR="003F6159" w:rsidP="00860A6B" w14:paraId="204C3FCB" w14:textId="77777777">
            <w:pPr>
              <w:spacing w:after="0" w:line="240" w:lineRule="auto"/>
              <w:jc w:val="both"/>
              <w:rPr>
                <w:rFonts w:ascii="Candara" w:eastAsia="Times New Roman" w:hAnsi="Candara" w:cs="Times New Roman"/>
                <w:sz w:val="18"/>
                <w:szCs w:val="18"/>
                <w:lang w:eastAsia="lv-LV"/>
              </w:rPr>
            </w:pPr>
            <w:r>
              <w:rPr>
                <w:rFonts w:ascii="Candara" w:eastAsia="Times New Roman" w:hAnsi="Candara" w:cs="Times New Roman"/>
                <w:sz w:val="18"/>
                <w:szCs w:val="18"/>
                <w:lang w:eastAsia="lv-LV"/>
              </w:rPr>
              <w:t>2015.gadā – 1,41 MEUR</w:t>
            </w:r>
          </w:p>
          <w:p w:rsidR="00D62355" w:rsidP="00860A6B" w14:paraId="550C757A" w14:textId="6158FC22">
            <w:pPr>
              <w:spacing w:after="0" w:line="240" w:lineRule="auto"/>
              <w:jc w:val="both"/>
              <w:rPr>
                <w:rFonts w:ascii="Candara" w:eastAsia="Candara" w:hAnsi="Candara" w:cs="Candara"/>
                <w:sz w:val="18"/>
                <w:szCs w:val="18"/>
              </w:rPr>
            </w:pPr>
            <w:r>
              <w:rPr>
                <w:rFonts w:ascii="Candara" w:eastAsia="Times New Roman" w:hAnsi="Candara" w:cs="Times New Roman"/>
                <w:sz w:val="18"/>
                <w:szCs w:val="18"/>
                <w:lang w:eastAsia="lv-LV"/>
              </w:rPr>
              <w:t>2016.gadā – 2,1</w:t>
            </w:r>
            <w:r w:rsidR="00E43970">
              <w:rPr>
                <w:rFonts w:ascii="Candara" w:eastAsia="Times New Roman" w:hAnsi="Candara" w:cs="Times New Roman"/>
                <w:sz w:val="18"/>
                <w:szCs w:val="18"/>
                <w:lang w:eastAsia="lv-LV"/>
              </w:rPr>
              <w:t>7</w:t>
            </w:r>
            <w:r>
              <w:rPr>
                <w:rFonts w:ascii="Candara" w:eastAsia="Times New Roman" w:hAnsi="Candara" w:cs="Times New Roman"/>
                <w:sz w:val="18"/>
                <w:szCs w:val="18"/>
                <w:lang w:eastAsia="lv-LV"/>
              </w:rPr>
              <w:t xml:space="preserve"> MEUR</w:t>
            </w:r>
          </w:p>
        </w:tc>
      </w:tr>
      <w:tr w14:paraId="3D75F438" w14:textId="77777777" w:rsidTr="00324F94">
        <w:tblPrEx>
          <w:tblW w:w="13948" w:type="dxa"/>
          <w:tblInd w:w="-115" w:type="dxa"/>
          <w:tblLayout w:type="fixed"/>
          <w:tblLook w:val="0400"/>
        </w:tblPrEx>
        <w:trPr>
          <w:trHeight w:val="640"/>
        </w:trPr>
        <w:tc>
          <w:tcPr>
            <w:tcW w:w="1858" w:type="dxa"/>
            <w:vMerge w:val="restart"/>
            <w:shd w:val="clear" w:color="auto" w:fill="FFFFFF"/>
            <w:vAlign w:val="center"/>
          </w:tcPr>
          <w:p w:rsidR="003F6159" w:rsidP="003F6159" w14:paraId="5B296FF3"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Zinātnisko institūciju izveidotie jaundibinātie uzņēmumi (spin-off)</w:t>
            </w:r>
          </w:p>
        </w:tc>
        <w:tc>
          <w:tcPr>
            <w:tcW w:w="946" w:type="dxa"/>
            <w:vMerge w:val="restart"/>
            <w:shd w:val="clear" w:color="auto" w:fill="FFFFFF"/>
            <w:vAlign w:val="bottom"/>
          </w:tcPr>
          <w:p w:rsidR="003F6159" w:rsidP="003F6159" w14:paraId="5FB8A607" w14:textId="77777777">
            <w:pPr>
              <w:spacing w:after="0" w:line="240" w:lineRule="auto"/>
              <w:jc w:val="center"/>
              <w:rPr>
                <w:rFonts w:ascii="Candara" w:eastAsia="Candara" w:hAnsi="Candara" w:cs="Candara"/>
                <w:sz w:val="18"/>
                <w:szCs w:val="18"/>
              </w:rPr>
            </w:pPr>
          </w:p>
          <w:p w:rsidR="003F6159" w:rsidP="003F6159" w14:paraId="49C631D6"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p w:rsidR="003F6159" w:rsidP="003F6159" w14:paraId="5372A9AB" w14:textId="77777777">
            <w:pPr>
              <w:spacing w:after="0" w:line="240" w:lineRule="auto"/>
              <w:jc w:val="center"/>
              <w:rPr>
                <w:rFonts w:ascii="Candara" w:eastAsia="Candara" w:hAnsi="Candara" w:cs="Candara"/>
                <w:sz w:val="18"/>
                <w:szCs w:val="18"/>
              </w:rPr>
            </w:pPr>
          </w:p>
          <w:p w:rsidR="003F6159" w:rsidP="003F6159" w14:paraId="70E3F789"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3F6159" w:rsidP="00860A6B" w14:paraId="749C2A9E" w14:textId="77777777">
            <w:pPr>
              <w:spacing w:after="0" w:line="240" w:lineRule="auto"/>
              <w:rPr>
                <w:rFonts w:ascii="Candara" w:eastAsia="Candara" w:hAnsi="Candara" w:cs="Candara"/>
                <w:sz w:val="18"/>
                <w:szCs w:val="18"/>
              </w:rPr>
            </w:pPr>
            <w:r>
              <w:rPr>
                <w:rFonts w:ascii="Candara" w:eastAsia="Candara" w:hAnsi="Candara" w:cs="Candara"/>
                <w:sz w:val="18"/>
                <w:szCs w:val="18"/>
              </w:rPr>
              <w:t>Inovācijas granti studentiem (1113)</w:t>
            </w:r>
          </w:p>
        </w:tc>
        <w:tc>
          <w:tcPr>
            <w:tcW w:w="5700" w:type="dxa"/>
            <w:shd w:val="clear" w:color="auto" w:fill="FFFFFF"/>
            <w:vAlign w:val="center"/>
          </w:tcPr>
          <w:p w:rsidR="0028747D" w:rsidP="0028747D" w14:paraId="62E9BE8B" w14:textId="77777777">
            <w:pPr>
              <w:spacing w:after="0" w:line="240" w:lineRule="auto"/>
              <w:rPr>
                <w:rFonts w:ascii="Candara" w:eastAsia="Candara" w:hAnsi="Candara" w:cs="Candara"/>
                <w:sz w:val="18"/>
                <w:szCs w:val="18"/>
              </w:rPr>
            </w:pPr>
            <w:r>
              <w:rPr>
                <w:rFonts w:ascii="Candara" w:eastAsia="Candara" w:hAnsi="Candara" w:cs="Candara"/>
                <w:sz w:val="18"/>
                <w:szCs w:val="18"/>
              </w:rPr>
              <w:t>- programmas ietvaros tiek attīstītas studējošo inovāciju un uzņēmējspējas prasmes un kompetences</w:t>
            </w:r>
          </w:p>
          <w:p w:rsidR="003F6159" w:rsidP="0028747D" w14:paraId="261BE650" w14:textId="0A27930A">
            <w:pPr>
              <w:spacing w:after="0" w:line="240" w:lineRule="auto"/>
              <w:rPr>
                <w:rFonts w:ascii="Candara" w:eastAsia="Candara" w:hAnsi="Candara" w:cs="Candara"/>
                <w:sz w:val="18"/>
                <w:szCs w:val="18"/>
              </w:rPr>
            </w:pPr>
          </w:p>
        </w:tc>
        <w:tc>
          <w:tcPr>
            <w:tcW w:w="3060" w:type="dxa"/>
            <w:shd w:val="clear" w:color="auto" w:fill="FFFFFF"/>
            <w:vAlign w:val="center"/>
          </w:tcPr>
          <w:p w:rsidR="003F6159" w:rsidP="00860A6B" w14:paraId="175F48BB" w14:textId="2B40A400">
            <w:pPr>
              <w:spacing w:after="0" w:line="240" w:lineRule="auto"/>
              <w:jc w:val="both"/>
              <w:rPr>
                <w:rFonts w:ascii="Candara" w:eastAsia="Candara" w:hAnsi="Candara" w:cs="Candara"/>
                <w:sz w:val="18"/>
                <w:szCs w:val="18"/>
              </w:rPr>
            </w:pPr>
            <w:r>
              <w:rPr>
                <w:rFonts w:ascii="Candara" w:eastAsia="Candara" w:hAnsi="Candara" w:cs="Candara"/>
                <w:sz w:val="18"/>
                <w:szCs w:val="18"/>
              </w:rPr>
              <w:t>ievērojot, ka ieviešanas nosacījumi ir izstrādāti, bet šobrīd norisinās atlases dokumentācijas izstrāde, vēl nav sasniegti rezultāti vai uzņemtas saistības</w:t>
            </w:r>
          </w:p>
        </w:tc>
      </w:tr>
      <w:tr w14:paraId="662219DD" w14:textId="77777777" w:rsidTr="00324F94">
        <w:tblPrEx>
          <w:tblW w:w="13948" w:type="dxa"/>
          <w:tblInd w:w="-115" w:type="dxa"/>
          <w:tblLayout w:type="fixed"/>
          <w:tblLook w:val="0400"/>
        </w:tblPrEx>
        <w:trPr>
          <w:trHeight w:val="840"/>
        </w:trPr>
        <w:tc>
          <w:tcPr>
            <w:tcW w:w="1858" w:type="dxa"/>
            <w:vMerge/>
            <w:shd w:val="clear" w:color="auto" w:fill="FFFFFF"/>
            <w:vAlign w:val="center"/>
          </w:tcPr>
          <w:p w:rsidR="003F6159" w:rsidP="003F6159" w14:paraId="7126CA5A" w14:textId="3C3FC45F">
            <w:pPr>
              <w:spacing w:after="0" w:line="276" w:lineRule="auto"/>
              <w:rPr>
                <w:rFonts w:ascii="Candara" w:eastAsia="Candara" w:hAnsi="Candara" w:cs="Candara"/>
                <w:sz w:val="18"/>
                <w:szCs w:val="18"/>
              </w:rPr>
            </w:pPr>
          </w:p>
        </w:tc>
        <w:tc>
          <w:tcPr>
            <w:tcW w:w="946" w:type="dxa"/>
            <w:vMerge/>
            <w:shd w:val="clear" w:color="auto" w:fill="FFFFFF"/>
            <w:vAlign w:val="center"/>
          </w:tcPr>
          <w:p w:rsidR="003F6159" w:rsidP="003F6159" w14:paraId="782DDFDE"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F6159" w:rsidP="00860A6B" w14:paraId="12F24D8C" w14:textId="77777777">
            <w:pPr>
              <w:spacing w:after="0" w:line="240" w:lineRule="auto"/>
              <w:rPr>
                <w:rFonts w:ascii="Candara" w:eastAsia="Candara" w:hAnsi="Candara" w:cs="Candara"/>
                <w:sz w:val="18"/>
                <w:szCs w:val="18"/>
              </w:rPr>
            </w:pPr>
            <w:r>
              <w:rPr>
                <w:rFonts w:ascii="Candara" w:eastAsia="Candara" w:hAnsi="Candara" w:cs="Candara"/>
                <w:sz w:val="18"/>
                <w:szCs w:val="18"/>
              </w:rPr>
              <w:t>TPP (Tehnoloģiju pārnese, Inovāciju vaučeri, augstas kvalif. darbinieki) (1212)</w:t>
            </w:r>
          </w:p>
        </w:tc>
        <w:tc>
          <w:tcPr>
            <w:tcW w:w="5700" w:type="dxa"/>
            <w:shd w:val="clear" w:color="auto" w:fill="FFFFFF"/>
            <w:vAlign w:val="center"/>
          </w:tcPr>
          <w:p w:rsidR="003F6159" w:rsidP="00860A6B" w14:paraId="7495BE1C" w14:textId="77777777">
            <w:pPr>
              <w:spacing w:after="0" w:line="240" w:lineRule="auto"/>
              <w:rPr>
                <w:rFonts w:ascii="Candara" w:eastAsia="Candara" w:hAnsi="Candara" w:cs="Candara"/>
                <w:sz w:val="18"/>
                <w:szCs w:val="18"/>
              </w:rPr>
            </w:pPr>
            <w:r>
              <w:rPr>
                <w:rFonts w:ascii="Candara" w:eastAsia="Candara" w:hAnsi="Candara" w:cs="Candara"/>
                <w:sz w:val="18"/>
                <w:szCs w:val="18"/>
              </w:rPr>
              <w:t> TPP ietvaros tiek atbalstītās šādas zinātnisko institūciju darbības, kas eventuāli veicina jaundibināto uzņēmumu veidošanos:</w:t>
            </w:r>
          </w:p>
          <w:p w:rsidR="003F6159" w:rsidP="00860A6B" w14:paraId="2FAB389A" w14:textId="77777777">
            <w:pPr>
              <w:spacing w:after="0" w:line="240" w:lineRule="auto"/>
              <w:rPr>
                <w:rFonts w:ascii="Candara" w:eastAsia="Candara" w:hAnsi="Candara" w:cs="Candara"/>
                <w:sz w:val="18"/>
                <w:szCs w:val="18"/>
              </w:rPr>
            </w:pPr>
            <w:r>
              <w:rPr>
                <w:rFonts w:ascii="Candara" w:eastAsia="Candara" w:hAnsi="Candara" w:cs="Candara"/>
                <w:sz w:val="18"/>
                <w:szCs w:val="18"/>
              </w:rPr>
              <w:t>•        komercializācijas stratēģijas izstrādei, iesaistot attiecīgo nozari</w:t>
            </w:r>
          </w:p>
          <w:p w:rsidR="003F6159" w:rsidP="00860A6B" w14:paraId="56A72C4F" w14:textId="77777777">
            <w:pPr>
              <w:spacing w:after="0" w:line="240" w:lineRule="auto"/>
              <w:rPr>
                <w:rFonts w:ascii="Candara" w:eastAsia="Candara" w:hAnsi="Candara" w:cs="Candara"/>
                <w:sz w:val="18"/>
                <w:szCs w:val="18"/>
              </w:rPr>
            </w:pPr>
            <w:r>
              <w:rPr>
                <w:rFonts w:ascii="Candara" w:eastAsia="Candara" w:hAnsi="Candara" w:cs="Candara"/>
                <w:sz w:val="18"/>
                <w:szCs w:val="18"/>
              </w:rPr>
              <w:t>•        tehniski ekonomiskai priekšizpētei</w:t>
            </w:r>
          </w:p>
        </w:tc>
        <w:tc>
          <w:tcPr>
            <w:tcW w:w="3060" w:type="dxa"/>
            <w:shd w:val="clear" w:color="auto" w:fill="FFFFFF"/>
            <w:vAlign w:val="center"/>
          </w:tcPr>
          <w:p w:rsidR="003F6159" w:rsidP="00860A6B" w14:paraId="665BADA9"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Rādītājs vēl nav nosakāms</w:t>
            </w:r>
          </w:p>
        </w:tc>
      </w:tr>
      <w:tr w14:paraId="312E1133" w14:textId="77777777" w:rsidTr="00324F94">
        <w:tblPrEx>
          <w:tblW w:w="13948" w:type="dxa"/>
          <w:tblInd w:w="-115" w:type="dxa"/>
          <w:tblLayout w:type="fixed"/>
          <w:tblLook w:val="0400"/>
        </w:tblPrEx>
        <w:trPr>
          <w:trHeight w:val="1091"/>
        </w:trPr>
        <w:tc>
          <w:tcPr>
            <w:tcW w:w="1858" w:type="dxa"/>
            <w:vMerge/>
            <w:shd w:val="clear" w:color="auto" w:fill="FFFFFF"/>
            <w:vAlign w:val="center"/>
          </w:tcPr>
          <w:p w:rsidR="003F6159" w:rsidP="003F6159" w14:paraId="45471B96" w14:textId="77777777">
            <w:pPr>
              <w:spacing w:after="0" w:line="240" w:lineRule="auto"/>
              <w:rPr>
                <w:rFonts w:ascii="Candara" w:eastAsia="Candara" w:hAnsi="Candara" w:cs="Candara"/>
                <w:sz w:val="18"/>
                <w:szCs w:val="18"/>
              </w:rPr>
            </w:pPr>
          </w:p>
        </w:tc>
        <w:tc>
          <w:tcPr>
            <w:tcW w:w="946" w:type="dxa"/>
            <w:vMerge w:val="restart"/>
            <w:shd w:val="clear" w:color="auto" w:fill="FFFFFF"/>
            <w:vAlign w:val="center"/>
          </w:tcPr>
          <w:p w:rsidR="003F6159" w:rsidP="003F6159" w14:paraId="53FA1D56" w14:textId="77777777">
            <w:pPr>
              <w:spacing w:after="0" w:line="240" w:lineRule="auto"/>
              <w:jc w:val="center"/>
              <w:rPr>
                <w:rFonts w:ascii="Candara" w:eastAsia="Candara" w:hAnsi="Candara" w:cs="Candara"/>
                <w:sz w:val="18"/>
                <w:szCs w:val="18"/>
              </w:rPr>
            </w:pPr>
          </w:p>
          <w:p w:rsidR="003F6159" w:rsidP="003F6159" w14:paraId="3D444FE6" w14:textId="77777777">
            <w:pPr>
              <w:spacing w:after="0" w:line="240" w:lineRule="auto"/>
              <w:jc w:val="center"/>
              <w:rPr>
                <w:rFonts w:ascii="Candara" w:eastAsia="Candara" w:hAnsi="Candara" w:cs="Candara"/>
                <w:sz w:val="18"/>
                <w:szCs w:val="18"/>
              </w:rPr>
            </w:pPr>
          </w:p>
          <w:p w:rsidR="003F6159" w:rsidP="003F6159" w14:paraId="00B9F45D" w14:textId="77777777">
            <w:pPr>
              <w:spacing w:after="0" w:line="240" w:lineRule="auto"/>
              <w:jc w:val="center"/>
              <w:rPr>
                <w:rFonts w:ascii="Candara" w:eastAsia="Candara" w:hAnsi="Candara" w:cs="Candara"/>
                <w:sz w:val="18"/>
                <w:szCs w:val="18"/>
              </w:rPr>
            </w:pPr>
          </w:p>
          <w:p w:rsidR="003F6159" w:rsidP="003F6159" w14:paraId="78E04409" w14:textId="77777777">
            <w:pPr>
              <w:spacing w:after="0" w:line="240" w:lineRule="auto"/>
              <w:jc w:val="center"/>
              <w:rPr>
                <w:rFonts w:ascii="Candara" w:eastAsia="Candara" w:hAnsi="Candara" w:cs="Candara"/>
                <w:sz w:val="18"/>
                <w:szCs w:val="18"/>
              </w:rPr>
            </w:pPr>
          </w:p>
          <w:p w:rsidR="003F6159" w:rsidP="003F6159" w14:paraId="4E9F0C93" w14:textId="77777777">
            <w:pPr>
              <w:spacing w:after="0" w:line="240" w:lineRule="auto"/>
              <w:jc w:val="center"/>
              <w:rPr>
                <w:rFonts w:ascii="Candara" w:eastAsia="Candara" w:hAnsi="Candara" w:cs="Candara"/>
                <w:sz w:val="18"/>
                <w:szCs w:val="18"/>
              </w:rPr>
            </w:pPr>
          </w:p>
          <w:p w:rsidR="003F6159" w:rsidP="003F6159" w14:paraId="46B239CB" w14:textId="77777777">
            <w:pPr>
              <w:spacing w:after="0" w:line="240" w:lineRule="auto"/>
              <w:jc w:val="center"/>
              <w:rPr>
                <w:rFonts w:ascii="Candara" w:eastAsia="Candara" w:hAnsi="Candara" w:cs="Candara"/>
                <w:sz w:val="18"/>
                <w:szCs w:val="18"/>
              </w:rPr>
            </w:pPr>
          </w:p>
          <w:p w:rsidR="003F6159" w:rsidP="003F6159" w14:paraId="3E600B25"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767EBA" w:rsidP="003F6159" w14:paraId="05986196"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(IZM)</w:t>
            </w:r>
          </w:p>
          <w:p w:rsidR="003F6159" w:rsidP="003F6159" w14:paraId="41E4747C" w14:textId="77777777">
            <w:pPr>
              <w:spacing w:after="0" w:line="240" w:lineRule="auto"/>
              <w:rPr>
                <w:rFonts w:ascii="Candara" w:eastAsia="Candara" w:hAnsi="Candara" w:cs="Candara"/>
                <w:sz w:val="18"/>
                <w:szCs w:val="18"/>
              </w:rPr>
            </w:pPr>
          </w:p>
          <w:p w:rsidR="003F6159" w:rsidP="003F6159" w14:paraId="74558D57" w14:textId="77777777">
            <w:pPr>
              <w:spacing w:after="0" w:line="240" w:lineRule="auto"/>
              <w:rPr>
                <w:rFonts w:ascii="Candara" w:eastAsia="Candara" w:hAnsi="Candara" w:cs="Candara"/>
                <w:sz w:val="18"/>
                <w:szCs w:val="18"/>
              </w:rPr>
            </w:pPr>
          </w:p>
          <w:p w:rsidR="003F6159" w:rsidP="003F6159" w14:paraId="111C29B6" w14:textId="77777777">
            <w:pPr>
              <w:spacing w:after="0" w:line="240" w:lineRule="auto"/>
              <w:rPr>
                <w:rFonts w:ascii="Candara" w:eastAsia="Candara" w:hAnsi="Candara" w:cs="Candara"/>
                <w:sz w:val="18"/>
                <w:szCs w:val="18"/>
              </w:rPr>
            </w:pPr>
          </w:p>
          <w:p w:rsidR="003F6159" w:rsidP="003F6159" w14:paraId="0078DC33"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F6159" w:rsidP="00860A6B" w14:paraId="37A44308"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Bāzes finansējums, </w:t>
            </w:r>
          </w:p>
        </w:tc>
        <w:tc>
          <w:tcPr>
            <w:tcW w:w="5700" w:type="dxa"/>
            <w:shd w:val="clear" w:color="auto" w:fill="FFFFFF"/>
            <w:vAlign w:val="center"/>
          </w:tcPr>
          <w:p w:rsidR="003F6159" w:rsidP="00860A6B" w14:paraId="33AC4DB8" w14:textId="77777777">
            <w:pPr>
              <w:spacing w:after="0" w:line="240" w:lineRule="auto"/>
              <w:rPr>
                <w:rFonts w:ascii="Candara" w:eastAsia="Candara" w:hAnsi="Candara" w:cs="Candara"/>
                <w:sz w:val="18"/>
                <w:szCs w:val="18"/>
              </w:rPr>
            </w:pPr>
            <w:r>
              <w:rPr>
                <w:rFonts w:ascii="Candara" w:eastAsia="Candara" w:hAnsi="Candara" w:cs="Candara"/>
                <w:sz w:val="18"/>
                <w:szCs w:val="18"/>
              </w:rPr>
              <w:t>Nav noteikti stimuli šim rādītājam</w:t>
            </w:r>
          </w:p>
        </w:tc>
        <w:tc>
          <w:tcPr>
            <w:tcW w:w="3060" w:type="dxa"/>
            <w:shd w:val="clear" w:color="auto" w:fill="FFFFFF"/>
            <w:vAlign w:val="center"/>
          </w:tcPr>
          <w:p w:rsidR="003F6159" w:rsidP="00860A6B" w14:paraId="742E598B"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2016.gadā zinātniskās institūcijas bija kopā dibinājušas 13 spin-off uzņēmumus, savukārt 2020.gadā tiek prognozēts </w:t>
            </w:r>
            <w:r w:rsidR="00BD4C4B">
              <w:rPr>
                <w:rFonts w:ascii="Candara" w:eastAsia="Candara" w:hAnsi="Candara" w:cs="Candara"/>
                <w:sz w:val="18"/>
                <w:szCs w:val="18"/>
              </w:rPr>
              <w:t>izveidot 62 spin-off uzņēmumus.</w:t>
            </w:r>
          </w:p>
        </w:tc>
      </w:tr>
      <w:tr w14:paraId="11B41839" w14:textId="77777777" w:rsidTr="00324F94">
        <w:tblPrEx>
          <w:tblW w:w="13948" w:type="dxa"/>
          <w:tblInd w:w="-115" w:type="dxa"/>
          <w:tblLayout w:type="fixed"/>
          <w:tblLook w:val="0400"/>
        </w:tblPrEx>
        <w:trPr>
          <w:trHeight w:val="260"/>
        </w:trPr>
        <w:tc>
          <w:tcPr>
            <w:tcW w:w="1858" w:type="dxa"/>
            <w:vMerge/>
            <w:shd w:val="clear" w:color="auto" w:fill="FFFFFF"/>
            <w:vAlign w:val="center"/>
          </w:tcPr>
          <w:p w:rsidR="003F6159" w:rsidP="003F6159" w14:paraId="4F5693FD"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3F6159" w:rsidP="003F6159" w14:paraId="47782F2B"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F6159" w:rsidP="00860A6B" w14:paraId="68B671CA" w14:textId="77777777">
            <w:pPr>
              <w:spacing w:after="0" w:line="240" w:lineRule="auto"/>
              <w:rPr>
                <w:rFonts w:ascii="Candara" w:eastAsia="Candara" w:hAnsi="Candara" w:cs="Candara"/>
                <w:sz w:val="18"/>
                <w:szCs w:val="18"/>
              </w:rPr>
            </w:pPr>
            <w:r>
              <w:rPr>
                <w:rFonts w:ascii="Candara" w:eastAsia="Candara" w:hAnsi="Candara" w:cs="Candara"/>
                <w:sz w:val="18"/>
                <w:szCs w:val="18"/>
              </w:rPr>
              <w:t>AI bāzes finansējums</w:t>
            </w:r>
          </w:p>
        </w:tc>
        <w:tc>
          <w:tcPr>
            <w:tcW w:w="5700" w:type="dxa"/>
            <w:shd w:val="clear" w:color="auto" w:fill="FFFFFF"/>
            <w:vAlign w:val="center"/>
          </w:tcPr>
          <w:p w:rsidR="003F6159" w:rsidP="00860A6B" w14:paraId="3A38452C" w14:textId="77777777">
            <w:pPr>
              <w:spacing w:after="0" w:line="240" w:lineRule="auto"/>
              <w:rPr>
                <w:rFonts w:ascii="Candara" w:eastAsia="Candara" w:hAnsi="Candara" w:cs="Candara"/>
                <w:sz w:val="18"/>
                <w:szCs w:val="18"/>
              </w:rPr>
            </w:pPr>
            <w:r>
              <w:rPr>
                <w:rFonts w:ascii="Candara" w:eastAsia="Candara" w:hAnsi="Candara" w:cs="Candara"/>
                <w:sz w:val="18"/>
                <w:szCs w:val="18"/>
              </w:rPr>
              <w:t>Nav noteikti stimuli šim rādītājam</w:t>
            </w:r>
          </w:p>
        </w:tc>
        <w:tc>
          <w:tcPr>
            <w:tcW w:w="3060" w:type="dxa"/>
            <w:shd w:val="clear" w:color="auto" w:fill="FFFFFF"/>
            <w:vAlign w:val="center"/>
          </w:tcPr>
          <w:p w:rsidR="003F6159" w:rsidP="00860A6B" w14:paraId="1BC28D51"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Rādītājs nav attiecināms konkrētajai programmai</w:t>
            </w:r>
          </w:p>
        </w:tc>
      </w:tr>
      <w:tr w14:paraId="68569706" w14:textId="77777777" w:rsidTr="00324F94">
        <w:tblPrEx>
          <w:tblW w:w="13948" w:type="dxa"/>
          <w:tblInd w:w="-115" w:type="dxa"/>
          <w:tblLayout w:type="fixed"/>
          <w:tblLook w:val="0400"/>
        </w:tblPrEx>
        <w:trPr>
          <w:trHeight w:val="260"/>
        </w:trPr>
        <w:tc>
          <w:tcPr>
            <w:tcW w:w="1858" w:type="dxa"/>
            <w:vMerge/>
            <w:shd w:val="clear" w:color="auto" w:fill="FFFFFF"/>
            <w:vAlign w:val="center"/>
          </w:tcPr>
          <w:p w:rsidR="003F6159" w:rsidP="003F6159" w14:paraId="4511F43C"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3F6159" w:rsidP="003F6159" w14:paraId="5CD37E1B"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F6159" w:rsidP="00860A6B" w14:paraId="3899C99F" w14:textId="77777777">
            <w:pPr>
              <w:spacing w:after="0" w:line="240" w:lineRule="auto"/>
              <w:rPr>
                <w:rFonts w:ascii="Candara" w:eastAsia="Candara" w:hAnsi="Candara" w:cs="Candara"/>
                <w:sz w:val="18"/>
                <w:szCs w:val="18"/>
              </w:rPr>
            </w:pPr>
            <w:r>
              <w:rPr>
                <w:rFonts w:ascii="Candara" w:eastAsia="Candara" w:hAnsi="Candara" w:cs="Candara"/>
                <w:sz w:val="18"/>
                <w:szCs w:val="18"/>
              </w:rPr>
              <w:t>Valsts pētījumu programmas 2014-2017</w:t>
            </w:r>
          </w:p>
        </w:tc>
        <w:tc>
          <w:tcPr>
            <w:tcW w:w="5700" w:type="dxa"/>
            <w:shd w:val="clear" w:color="auto" w:fill="FFFFFF"/>
            <w:vAlign w:val="center"/>
          </w:tcPr>
          <w:p w:rsidR="003F6159" w:rsidP="00860A6B" w14:paraId="7ED89D3E" w14:textId="77777777">
            <w:pPr>
              <w:spacing w:after="0" w:line="240" w:lineRule="auto"/>
              <w:rPr>
                <w:rFonts w:ascii="Candara" w:eastAsia="Candara" w:hAnsi="Candara" w:cs="Candara"/>
                <w:sz w:val="18"/>
                <w:szCs w:val="18"/>
              </w:rPr>
            </w:pPr>
            <w:r>
              <w:rPr>
                <w:rFonts w:ascii="Candara" w:eastAsia="Candara" w:hAnsi="Candara" w:cs="Candara"/>
                <w:sz w:val="18"/>
                <w:szCs w:val="18"/>
              </w:rPr>
              <w:t>Nav noteikti stimuli šim rādītājam</w:t>
            </w:r>
          </w:p>
        </w:tc>
        <w:tc>
          <w:tcPr>
            <w:tcW w:w="3060" w:type="dxa"/>
            <w:shd w:val="clear" w:color="auto" w:fill="FFFFFF"/>
            <w:vAlign w:val="center"/>
          </w:tcPr>
          <w:p w:rsidR="003F6159" w:rsidP="00860A6B" w14:paraId="57155479"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Rādītājs nav attiecināms konkrētajai programmai</w:t>
            </w:r>
          </w:p>
        </w:tc>
      </w:tr>
      <w:tr w14:paraId="00C4C6D6" w14:textId="77777777" w:rsidTr="00324F94">
        <w:tblPrEx>
          <w:tblW w:w="13948" w:type="dxa"/>
          <w:tblInd w:w="-115" w:type="dxa"/>
          <w:tblLayout w:type="fixed"/>
          <w:tblLook w:val="0400"/>
        </w:tblPrEx>
        <w:trPr>
          <w:trHeight w:val="640"/>
        </w:trPr>
        <w:tc>
          <w:tcPr>
            <w:tcW w:w="1858" w:type="dxa"/>
            <w:vMerge/>
            <w:shd w:val="clear" w:color="auto" w:fill="FFFFFF"/>
            <w:vAlign w:val="center"/>
          </w:tcPr>
          <w:p w:rsidR="003F6159" w:rsidP="003F6159" w14:paraId="5CEC9EB0"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3F6159" w:rsidP="003F6159" w14:paraId="7C90BA26"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F6159" w:rsidP="00860A6B" w14:paraId="57423971" w14:textId="77777777">
            <w:pPr>
              <w:spacing w:after="0" w:line="240" w:lineRule="auto"/>
              <w:rPr>
                <w:rFonts w:ascii="Candara" w:eastAsia="Candara" w:hAnsi="Candara" w:cs="Candara"/>
                <w:sz w:val="18"/>
                <w:szCs w:val="18"/>
              </w:rPr>
            </w:pPr>
            <w:r>
              <w:rPr>
                <w:rFonts w:ascii="Candara" w:eastAsia="Candara" w:hAnsi="Candara" w:cs="Candara"/>
                <w:sz w:val="18"/>
                <w:szCs w:val="18"/>
              </w:rPr>
              <w:t>FLPP</w:t>
            </w:r>
          </w:p>
        </w:tc>
        <w:tc>
          <w:tcPr>
            <w:tcW w:w="5700" w:type="dxa"/>
            <w:shd w:val="clear" w:color="auto" w:fill="FFFFFF"/>
            <w:vAlign w:val="center"/>
          </w:tcPr>
          <w:p w:rsidR="003F6159" w:rsidP="00860A6B" w14:paraId="22A284C9" w14:textId="77777777">
            <w:pPr>
              <w:spacing w:after="0" w:line="240" w:lineRule="auto"/>
              <w:rPr>
                <w:rFonts w:ascii="Candara" w:eastAsia="Candara" w:hAnsi="Candara" w:cs="Candara"/>
                <w:sz w:val="18"/>
                <w:szCs w:val="18"/>
              </w:rPr>
            </w:pPr>
            <w:r>
              <w:rPr>
                <w:rFonts w:ascii="Candara" w:eastAsia="Candara" w:hAnsi="Candara" w:cs="Candara"/>
                <w:sz w:val="18"/>
                <w:szCs w:val="18"/>
              </w:rPr>
              <w:t>Nav noteikti stimuli šim rādītājam</w:t>
            </w:r>
          </w:p>
        </w:tc>
        <w:tc>
          <w:tcPr>
            <w:tcW w:w="3060" w:type="dxa"/>
            <w:shd w:val="clear" w:color="auto" w:fill="FFFFFF"/>
            <w:vAlign w:val="center"/>
          </w:tcPr>
          <w:p w:rsidR="003F6159" w:rsidP="00860A6B" w14:paraId="4FCCD99A"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Rādītājs nav attiecināms konkrētajai programmai</w:t>
            </w:r>
          </w:p>
        </w:tc>
      </w:tr>
      <w:tr w14:paraId="6C3A5960" w14:textId="77777777" w:rsidTr="00324F94">
        <w:tblPrEx>
          <w:tblW w:w="13948" w:type="dxa"/>
          <w:tblInd w:w="-115" w:type="dxa"/>
          <w:tblLayout w:type="fixed"/>
          <w:tblLook w:val="0400"/>
        </w:tblPrEx>
        <w:trPr>
          <w:trHeight w:val="416"/>
        </w:trPr>
        <w:tc>
          <w:tcPr>
            <w:tcW w:w="1858" w:type="dxa"/>
            <w:shd w:val="clear" w:color="auto" w:fill="FFFFFF"/>
            <w:vAlign w:val="center"/>
          </w:tcPr>
          <w:p w:rsidR="003F6159" w:rsidP="003F6159" w14:paraId="180CA3B6"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Atbalstīto jaunizveidoto komersantu skaits</w:t>
            </w:r>
          </w:p>
        </w:tc>
        <w:tc>
          <w:tcPr>
            <w:tcW w:w="946" w:type="dxa"/>
            <w:shd w:val="clear" w:color="auto" w:fill="FFFFFF"/>
            <w:vAlign w:val="center"/>
          </w:tcPr>
          <w:p w:rsidR="003F6159" w:rsidP="003F6159" w14:paraId="37F137CA"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tc>
        <w:tc>
          <w:tcPr>
            <w:tcW w:w="2384" w:type="dxa"/>
            <w:shd w:val="clear" w:color="auto" w:fill="FFFFFF"/>
            <w:vAlign w:val="center"/>
          </w:tcPr>
          <w:p w:rsidR="003F6159" w:rsidP="00860A6B" w14:paraId="3BF607FA" w14:textId="77777777">
            <w:pPr>
              <w:spacing w:after="0" w:line="240" w:lineRule="auto"/>
              <w:rPr>
                <w:rFonts w:ascii="Candara" w:eastAsia="Candara" w:hAnsi="Candara" w:cs="Candara"/>
                <w:sz w:val="18"/>
                <w:szCs w:val="18"/>
              </w:rPr>
            </w:pPr>
            <w:r w:rsidRPr="005944CC">
              <w:rPr>
                <w:rFonts w:ascii="Candara" w:eastAsia="Times New Roman" w:hAnsi="Candara" w:cs="Times New Roman"/>
                <w:sz w:val="18"/>
                <w:szCs w:val="18"/>
                <w:lang w:eastAsia="lv-LV"/>
              </w:rPr>
              <w:t>Biznesa inkubatori (3116), Finanšu instrumenti (312), Inovāciju motivācijas programma (1222)</w:t>
            </w:r>
          </w:p>
        </w:tc>
        <w:tc>
          <w:tcPr>
            <w:tcW w:w="5700" w:type="dxa"/>
            <w:shd w:val="clear" w:color="auto" w:fill="FFFFFF"/>
            <w:vAlign w:val="center"/>
          </w:tcPr>
          <w:p w:rsidR="003F6159" w:rsidRPr="00852583" w:rsidP="00860A6B" w14:paraId="689CDDD5" w14:textId="77777777">
            <w:pPr>
              <w:spacing w:after="0" w:line="240" w:lineRule="auto"/>
              <w:rPr>
                <w:rFonts w:ascii="Candara" w:eastAsia="Times New Roman" w:hAnsi="Candara" w:cs="Times New Roman"/>
                <w:b/>
                <w:sz w:val="18"/>
                <w:szCs w:val="18"/>
                <w:lang w:eastAsia="lv-LV"/>
              </w:rPr>
            </w:pPr>
            <w:r w:rsidRPr="00852583">
              <w:rPr>
                <w:rFonts w:ascii="Candara" w:eastAsia="Times New Roman" w:hAnsi="Candara" w:cs="Times New Roman"/>
                <w:b/>
                <w:sz w:val="18"/>
                <w:szCs w:val="18"/>
                <w:lang w:eastAsia="lv-LV"/>
              </w:rPr>
              <w:t>BI programma:</w:t>
            </w:r>
          </w:p>
          <w:p w:rsidR="003F6159" w:rsidRPr="00186CF8" w:rsidP="00860A6B" w14:paraId="64F71050" w14:textId="77777777">
            <w:pPr>
              <w:spacing w:after="0" w:line="240" w:lineRule="auto"/>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Pirmsinkubācijas atbalstu var saņemt fiziskas personas (biznesa ideju autori), kuriem sniedz atbalstu biznesa modeļa izstrādē, tirgus izpētē un uzņēmējdarbības pamatzināšanu pilnveidošanā. Atbalsta intensitāte pirmsinkubācijā ir 100%.</w:t>
            </w:r>
          </w:p>
          <w:p w:rsidR="003F6159" w:rsidRPr="00186CF8" w:rsidP="00860A6B" w14:paraId="7539C864" w14:textId="77777777">
            <w:pPr>
              <w:spacing w:after="0" w:line="240" w:lineRule="auto"/>
              <w:rPr>
                <w:rFonts w:ascii="Candara" w:eastAsia="Times New Roman" w:hAnsi="Candara" w:cs="Times New Roman"/>
                <w:sz w:val="18"/>
                <w:szCs w:val="18"/>
                <w:lang w:eastAsia="lv-LV"/>
              </w:rPr>
            </w:pPr>
          </w:p>
          <w:p w:rsidR="003F6159" w:rsidRPr="00186CF8" w:rsidP="00860A6B" w14:paraId="44C9A3C8" w14:textId="77777777">
            <w:pPr>
              <w:spacing w:after="0" w:line="240" w:lineRule="auto"/>
              <w:rPr>
                <w:rFonts w:ascii="Candara" w:eastAsia="Times New Roman" w:hAnsi="Candara" w:cs="Times New Roman"/>
                <w:sz w:val="18"/>
                <w:szCs w:val="18"/>
                <w:lang w:eastAsia="lv-LV"/>
              </w:rPr>
            </w:pPr>
          </w:p>
          <w:p w:rsidR="003F6159" w:rsidRPr="00186CF8" w:rsidP="00860A6B" w14:paraId="069D0873" w14:textId="77777777">
            <w:pPr>
              <w:spacing w:after="0" w:line="240" w:lineRule="auto"/>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Motivācijas programmas ietvaros tiek atbalstāmas šādas uz jaunu uzņēmumu veidošanu orientētas darbības:</w:t>
            </w:r>
          </w:p>
          <w:p w:rsidR="003F6159" w:rsidRPr="00186CF8" w:rsidP="00860A6B" w14:paraId="5159E09E" w14:textId="77777777">
            <w:pPr>
              <w:spacing w:after="0" w:line="240" w:lineRule="auto"/>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1) atbalsta pasākumu nodrošināšana inovatīvas uzņēmējdarbības uzsācēju un esošo inovatīvo uzņēmumu motivācijai;</w:t>
            </w:r>
          </w:p>
          <w:p w:rsidR="003F6159" w:rsidRPr="00186CF8" w:rsidP="00860A6B" w14:paraId="000AFA20" w14:textId="77777777">
            <w:pPr>
              <w:spacing w:after="0" w:line="240" w:lineRule="auto"/>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 xml:space="preserve">2) inovāciju mārketinga un reklāmas aktivitātes, audio un vizuālās publicitātes nodrošināšana (piemēram, inovāciju un uzņēmējdarbības portāla attīstība un izmantošana informācijas izplatīšanai, pārraides, sižeti, reportāžas Latvijas radio un televīzijas kanālos, preses relīzes un publikācijas Latvijas populārākajos plašsaziņas līdzekļos, sociālo tīklu kontu izveide un uzturēšana, informācijas aktualizēšana, informācijas apkopošana un brošūru izdošana par veiksmes stāstiem un labās prakses piemēriem uzņēmējdarbības izglītībā un komercdarbībā </w:t>
            </w:r>
            <w:r w:rsidRPr="00186CF8">
              <w:rPr>
                <w:rFonts w:ascii="Candara" w:eastAsia="Times New Roman" w:hAnsi="Candara" w:cs="Times New Roman"/>
                <w:sz w:val="18"/>
                <w:szCs w:val="18"/>
                <w:lang w:eastAsia="lv-LV"/>
              </w:rPr>
              <w:t>sabiedrības intereses rosināšanai par inovāciju un tehnoloģiju lietojumu konkurētspējas palielināšanai);</w:t>
            </w:r>
          </w:p>
          <w:p w:rsidR="003F6159" w:rsidRPr="00186CF8" w:rsidP="00860A6B" w14:paraId="402A403E" w14:textId="77777777">
            <w:pPr>
              <w:spacing w:after="0" w:line="240" w:lineRule="auto"/>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3) tādu programmu īstenošana, kuras vērstas uz uzņēmējdarbības un inovāciju attīstību (piemēram, izglītojošas programmas skolu jaunatnei, apmācību programmas un kursi jauniem (start-up) un esošiem uzņēmējiem par aktuāliem uzņēmējdarbības jautājumiem);</w:t>
            </w:r>
          </w:p>
          <w:p w:rsidR="003F6159" w:rsidP="00860A6B" w14:paraId="2FEF6138" w14:textId="77777777">
            <w:pPr>
              <w:spacing w:after="0" w:line="240" w:lineRule="auto"/>
              <w:rPr>
                <w:rFonts w:ascii="Candara" w:eastAsia="Candara" w:hAnsi="Candara" w:cs="Candara"/>
                <w:sz w:val="18"/>
                <w:szCs w:val="18"/>
              </w:rPr>
            </w:pPr>
            <w:r w:rsidRPr="00186CF8">
              <w:rPr>
                <w:rFonts w:ascii="Candara" w:eastAsia="Times New Roman" w:hAnsi="Candara" w:cs="Times New Roman"/>
                <w:sz w:val="18"/>
                <w:szCs w:val="18"/>
                <w:lang w:eastAsia="lv-LV"/>
              </w:rPr>
              <w:t>4) tehnoloģiskās intereses un jaunrades veicināšanas pasākumi (piemēram, praktiski apmācību semināri par zināšanu komercializāciju, intelektuālā īpašuma aizsardzību, kontaktbiržas ar riska kapitāla un citiem investoru pārstāvjiem);</w:t>
            </w:r>
          </w:p>
        </w:tc>
        <w:tc>
          <w:tcPr>
            <w:tcW w:w="3060" w:type="dxa"/>
            <w:shd w:val="clear" w:color="auto" w:fill="FFFFFF"/>
          </w:tcPr>
          <w:p w:rsidR="003F6159" w:rsidRPr="00852583" w:rsidP="00860A6B" w14:paraId="0D716887" w14:textId="77777777">
            <w:pPr>
              <w:spacing w:after="0" w:line="240" w:lineRule="auto"/>
              <w:jc w:val="both"/>
              <w:rPr>
                <w:rFonts w:ascii="Candara" w:eastAsia="Times New Roman" w:hAnsi="Candara" w:cs="Times New Roman"/>
                <w:b/>
                <w:sz w:val="18"/>
                <w:szCs w:val="18"/>
                <w:lang w:eastAsia="lv-LV"/>
              </w:rPr>
            </w:pPr>
            <w:r w:rsidRPr="00852583">
              <w:rPr>
                <w:rFonts w:ascii="Candara" w:eastAsia="Times New Roman" w:hAnsi="Candara" w:cs="Times New Roman"/>
                <w:b/>
                <w:sz w:val="18"/>
                <w:szCs w:val="18"/>
                <w:lang w:eastAsia="lv-LV"/>
              </w:rPr>
              <w:t>BI programma:</w:t>
            </w:r>
          </w:p>
          <w:p w:rsidR="003F6159" w:rsidRPr="00186CF8" w:rsidP="00860A6B" w14:paraId="52C3CBF3" w14:textId="69E064C5">
            <w:pPr>
              <w:spacing w:after="0" w:line="240" w:lineRule="auto"/>
              <w:jc w:val="both"/>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Dati uz 10.</w:t>
            </w:r>
            <w:r w:rsidR="00DD0EB8">
              <w:rPr>
                <w:rFonts w:ascii="Candara" w:eastAsia="Times New Roman" w:hAnsi="Candara" w:cs="Times New Roman"/>
                <w:sz w:val="18"/>
                <w:szCs w:val="18"/>
                <w:lang w:eastAsia="lv-LV"/>
              </w:rPr>
              <w:t>12</w:t>
            </w:r>
            <w:r w:rsidRPr="00186CF8">
              <w:rPr>
                <w:rFonts w:ascii="Candara" w:eastAsia="Times New Roman" w:hAnsi="Candara" w:cs="Times New Roman"/>
                <w:sz w:val="18"/>
                <w:szCs w:val="18"/>
                <w:lang w:eastAsia="lv-LV"/>
              </w:rPr>
              <w:t>.2017.:</w:t>
            </w:r>
          </w:p>
          <w:p w:rsidR="003F6159" w:rsidRPr="00186CF8" w:rsidP="00860A6B" w14:paraId="3C73F900" w14:textId="6086D26D">
            <w:pPr>
              <w:spacing w:after="0" w:line="240" w:lineRule="auto"/>
              <w:jc w:val="both"/>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 xml:space="preserve">pirmsinkubācijas ietvaros atbalstu saņēmuši </w:t>
            </w:r>
            <w:r w:rsidR="00DD0EB8">
              <w:rPr>
                <w:rFonts w:ascii="Candara" w:eastAsia="Times New Roman" w:hAnsi="Candara" w:cs="Times New Roman"/>
                <w:sz w:val="18"/>
                <w:szCs w:val="18"/>
                <w:lang w:eastAsia="lv-LV"/>
              </w:rPr>
              <w:t>373</w:t>
            </w:r>
            <w:r w:rsidRPr="00186CF8">
              <w:rPr>
                <w:rFonts w:ascii="Candara" w:eastAsia="Times New Roman" w:hAnsi="Candara" w:cs="Times New Roman"/>
                <w:sz w:val="18"/>
                <w:szCs w:val="18"/>
                <w:lang w:eastAsia="lv-LV"/>
              </w:rPr>
              <w:t xml:space="preserve"> fiziskas personas (t.sk. 18 radošajā inkubatorā), kas potenciāli var izveidoties par uzņēmumiem</w:t>
            </w:r>
          </w:p>
          <w:p w:rsidR="003F6159" w:rsidRPr="00186CF8" w:rsidP="00860A6B" w14:paraId="48245907" w14:textId="77777777">
            <w:pPr>
              <w:spacing w:after="0" w:line="240" w:lineRule="auto"/>
              <w:jc w:val="both"/>
              <w:rPr>
                <w:rFonts w:ascii="Candara" w:eastAsia="Times New Roman" w:hAnsi="Candara" w:cs="Times New Roman"/>
                <w:sz w:val="18"/>
                <w:szCs w:val="18"/>
                <w:lang w:eastAsia="lv-LV"/>
              </w:rPr>
            </w:pPr>
          </w:p>
          <w:p w:rsidR="003F6159" w:rsidRPr="00186CF8" w:rsidP="00860A6B" w14:paraId="35784E31" w14:textId="77777777">
            <w:pPr>
              <w:spacing w:after="0" w:line="240" w:lineRule="auto"/>
              <w:jc w:val="both"/>
              <w:rPr>
                <w:rFonts w:ascii="Candara" w:eastAsia="Times New Roman" w:hAnsi="Candara" w:cs="Times New Roman"/>
                <w:sz w:val="18"/>
                <w:szCs w:val="18"/>
                <w:lang w:eastAsia="lv-LV"/>
              </w:rPr>
            </w:pPr>
          </w:p>
          <w:p w:rsidR="003F6159" w:rsidP="00860A6B" w14:paraId="635C6FD0" w14:textId="77777777">
            <w:pPr>
              <w:spacing w:after="0" w:line="240" w:lineRule="auto"/>
              <w:jc w:val="both"/>
              <w:rPr>
                <w:rFonts w:ascii="Candara" w:eastAsia="Candara" w:hAnsi="Candara" w:cs="Candara"/>
                <w:sz w:val="18"/>
                <w:szCs w:val="18"/>
              </w:rPr>
            </w:pPr>
          </w:p>
        </w:tc>
      </w:tr>
      <w:tr w14:paraId="4A17C776" w14:textId="77777777" w:rsidTr="00324F94">
        <w:tblPrEx>
          <w:tblW w:w="13948" w:type="dxa"/>
          <w:tblInd w:w="-115" w:type="dxa"/>
          <w:tblLayout w:type="fixed"/>
          <w:tblLook w:val="0400"/>
        </w:tblPrEx>
        <w:trPr>
          <w:trHeight w:val="640"/>
        </w:trPr>
        <w:tc>
          <w:tcPr>
            <w:tcW w:w="1858" w:type="dxa"/>
            <w:shd w:val="clear" w:color="auto" w:fill="FFFFFF"/>
            <w:vAlign w:val="center"/>
          </w:tcPr>
          <w:p w:rsidR="003F6159" w:rsidP="003F6159" w14:paraId="15839769"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Atbalstīto jauno zinātnieku skaits pēcdoktorantūras pētījumu īstenošanai</w:t>
            </w:r>
          </w:p>
        </w:tc>
        <w:tc>
          <w:tcPr>
            <w:tcW w:w="946" w:type="dxa"/>
            <w:shd w:val="clear" w:color="auto" w:fill="FFFFFF"/>
            <w:vAlign w:val="center"/>
          </w:tcPr>
          <w:p w:rsidR="003F6159" w:rsidP="003F6159" w14:paraId="74546165"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tc>
        <w:tc>
          <w:tcPr>
            <w:tcW w:w="2384" w:type="dxa"/>
            <w:shd w:val="clear" w:color="auto" w:fill="FFFFFF"/>
            <w:vAlign w:val="center"/>
          </w:tcPr>
          <w:p w:rsidR="003F6159" w:rsidP="00860A6B" w14:paraId="6429601E" w14:textId="77777777">
            <w:pPr>
              <w:spacing w:after="0" w:line="240" w:lineRule="auto"/>
              <w:rPr>
                <w:rFonts w:ascii="Candara" w:eastAsia="Candara" w:hAnsi="Candara" w:cs="Candara"/>
                <w:sz w:val="18"/>
                <w:szCs w:val="18"/>
              </w:rPr>
            </w:pPr>
            <w:r>
              <w:rPr>
                <w:rFonts w:ascii="Candara" w:eastAsia="Candara" w:hAnsi="Candara" w:cs="Candara"/>
                <w:sz w:val="18"/>
                <w:szCs w:val="18"/>
              </w:rPr>
              <w:t>Post-dok (1112)</w:t>
            </w:r>
          </w:p>
        </w:tc>
        <w:tc>
          <w:tcPr>
            <w:tcW w:w="5700" w:type="dxa"/>
            <w:shd w:val="clear" w:color="auto" w:fill="FFFFFF"/>
            <w:vAlign w:val="center"/>
          </w:tcPr>
          <w:p w:rsidR="003F6159" w:rsidP="00860A6B" w14:paraId="225945A1" w14:textId="77777777">
            <w:pPr>
              <w:spacing w:after="0" w:line="240" w:lineRule="auto"/>
              <w:rPr>
                <w:rFonts w:ascii="Candara" w:eastAsia="Candara" w:hAnsi="Candara" w:cs="Candara"/>
                <w:sz w:val="18"/>
                <w:szCs w:val="18"/>
              </w:rPr>
            </w:pPr>
            <w:r>
              <w:rPr>
                <w:rFonts w:ascii="Candara" w:eastAsia="Candara" w:hAnsi="Candara" w:cs="Candara"/>
                <w:sz w:val="18"/>
                <w:szCs w:val="18"/>
              </w:rPr>
              <w:t>- pasākuma mērķis – atbalsts jauno zinātnieku karjeras uzsākšanai īstenojot individuālu pēcdoktorantūras pētījumu</w:t>
            </w:r>
          </w:p>
        </w:tc>
        <w:tc>
          <w:tcPr>
            <w:tcW w:w="3060" w:type="dxa"/>
            <w:shd w:val="clear" w:color="auto" w:fill="FFFFFF"/>
            <w:vAlign w:val="center"/>
          </w:tcPr>
          <w:p w:rsidR="00665B3B" w:rsidP="00665B3B" w14:paraId="0C60EC0C" w14:textId="7D4C3430">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Post-dok (1112) - </w:t>
            </w:r>
            <w:r w:rsidRPr="005C41A3">
              <w:rPr>
                <w:rFonts w:ascii="Candara" w:eastAsia="Candara" w:hAnsi="Candara" w:cs="Candara"/>
                <w:b/>
                <w:sz w:val="18"/>
                <w:szCs w:val="18"/>
              </w:rPr>
              <w:t>124</w:t>
            </w:r>
          </w:p>
          <w:p w:rsidR="003F6159" w:rsidP="00665B3B" w14:paraId="55D0E616" w14:textId="2784F922">
            <w:pPr>
              <w:spacing w:after="0" w:line="240" w:lineRule="auto"/>
              <w:jc w:val="both"/>
              <w:rPr>
                <w:rFonts w:ascii="Candara" w:eastAsia="Candara" w:hAnsi="Candara" w:cs="Candara"/>
                <w:b/>
                <w:sz w:val="18"/>
                <w:szCs w:val="18"/>
              </w:rPr>
            </w:pPr>
            <w:r>
              <w:rPr>
                <w:rFonts w:ascii="Candara" w:eastAsia="Candara" w:hAnsi="Candara" w:cs="Candara"/>
                <w:sz w:val="18"/>
                <w:szCs w:val="18"/>
              </w:rPr>
              <w:t>2017.g. IV ceturksnī noslēgti līgumi par 124 pētniecības pieteikumu īstenošanu (kopējais publiskais fin. 15,7 MEUR) , kuru ietvaros atbalstu saņems 124 pēcdoktoranti</w:t>
            </w:r>
          </w:p>
        </w:tc>
      </w:tr>
      <w:tr w14:paraId="23D019BF" w14:textId="77777777" w:rsidTr="00324F94">
        <w:tblPrEx>
          <w:tblW w:w="13948" w:type="dxa"/>
          <w:tblInd w:w="-115" w:type="dxa"/>
          <w:tblLayout w:type="fixed"/>
          <w:tblLook w:val="0400"/>
        </w:tblPrEx>
        <w:trPr>
          <w:trHeight w:val="1140"/>
        </w:trPr>
        <w:tc>
          <w:tcPr>
            <w:tcW w:w="1858" w:type="dxa"/>
            <w:vMerge w:val="restart"/>
            <w:shd w:val="clear" w:color="auto" w:fill="FFFFFF"/>
            <w:vAlign w:val="center"/>
          </w:tcPr>
          <w:p w:rsidR="00BD4C4B" w:rsidP="003F6159" w14:paraId="0D4BE22C"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Jaunradītās darba vietas, t.sk. tās, kurās nodarbināti zinātniskie darbinieki publiskā sektorā/ uzņēmējdarbības sektorā</w:t>
            </w:r>
          </w:p>
        </w:tc>
        <w:tc>
          <w:tcPr>
            <w:tcW w:w="946" w:type="dxa"/>
            <w:vMerge w:val="restart"/>
            <w:shd w:val="clear" w:color="auto" w:fill="FFFFFF"/>
            <w:vAlign w:val="center"/>
          </w:tcPr>
          <w:p w:rsidR="00BD4C4B" w:rsidP="003F6159" w14:paraId="33305F78"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p w:rsidR="00BD4C4B" w:rsidP="003F6159" w14:paraId="61CB3BE2" w14:textId="77777777">
            <w:pPr>
              <w:spacing w:after="0" w:line="240" w:lineRule="auto"/>
              <w:rPr>
                <w:rFonts w:ascii="Candara" w:eastAsia="Candara" w:hAnsi="Candara" w:cs="Candara"/>
                <w:sz w:val="18"/>
                <w:szCs w:val="18"/>
              </w:rPr>
            </w:pPr>
          </w:p>
          <w:p w:rsidR="00BD4C4B" w:rsidP="003F6159" w14:paraId="4CC53D45"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45CC56AF" w14:textId="77777777">
            <w:pPr>
              <w:spacing w:after="0" w:line="240" w:lineRule="auto"/>
              <w:rPr>
                <w:rFonts w:ascii="Candara" w:eastAsia="Candara" w:hAnsi="Candara" w:cs="Candara"/>
                <w:sz w:val="18"/>
                <w:szCs w:val="18"/>
              </w:rPr>
            </w:pPr>
            <w:r>
              <w:rPr>
                <w:rFonts w:ascii="Candara" w:eastAsia="Candara" w:hAnsi="Candara" w:cs="Candara"/>
                <w:sz w:val="18"/>
                <w:szCs w:val="18"/>
              </w:rPr>
              <w:t>Praktiskie pētījumi (1111), Post-dok (1112), Starpt. sadarbība zinātnē (1115)</w:t>
            </w:r>
          </w:p>
        </w:tc>
        <w:tc>
          <w:tcPr>
            <w:tcW w:w="5700" w:type="dxa"/>
            <w:shd w:val="clear" w:color="auto" w:fill="FFFFFF"/>
            <w:vAlign w:val="center"/>
          </w:tcPr>
          <w:p w:rsidR="00BD4C4B" w:rsidP="00860A6B" w14:paraId="4B265084" w14:textId="77777777">
            <w:pPr>
              <w:spacing w:after="0" w:line="240" w:lineRule="auto"/>
              <w:rPr>
                <w:rFonts w:ascii="Candara" w:eastAsia="Candara" w:hAnsi="Candara" w:cs="Candara"/>
                <w:sz w:val="18"/>
                <w:szCs w:val="18"/>
              </w:rPr>
            </w:pPr>
            <w:r>
              <w:rPr>
                <w:rFonts w:ascii="Candara" w:eastAsia="Candara" w:hAnsi="Candara" w:cs="Candara"/>
                <w:sz w:val="18"/>
                <w:szCs w:val="18"/>
              </w:rPr>
              <w:t>- vērtēšanas nosacījumi paredz vienāda punktu skaita gadījumā priekšroku īstenošanai tam pētniecības projektam, kurā paredzēts lielāks (PLE izteiksmē) jauno zinātnieku iesaistes līmenis;</w:t>
            </w:r>
            <w:r>
              <w:rPr>
                <w:rFonts w:ascii="Candara" w:eastAsia="Candara" w:hAnsi="Candara" w:cs="Candara"/>
                <w:sz w:val="18"/>
                <w:szCs w:val="18"/>
              </w:rPr>
              <w:br/>
              <w:t xml:space="preserve"> - vērtēšanas nosacījumi paredz vērtēt pētījuma projekta ekonomisko un sociālo ietekmi, tai skaitā vērtējot pētījuma projekta institucionālo ilgtspēju </w:t>
            </w:r>
          </w:p>
        </w:tc>
        <w:tc>
          <w:tcPr>
            <w:tcW w:w="3060" w:type="dxa"/>
            <w:shd w:val="clear" w:color="auto" w:fill="FFFFFF"/>
            <w:vAlign w:val="center"/>
          </w:tcPr>
          <w:p w:rsidR="00BD4C4B" w:rsidP="00860A6B" w14:paraId="17EBA2BC" w14:textId="77777777">
            <w:pPr>
              <w:spacing w:after="0" w:line="240" w:lineRule="auto"/>
              <w:jc w:val="both"/>
              <w:rPr>
                <w:rFonts w:ascii="Candara" w:eastAsia="Candara" w:hAnsi="Candara" w:cs="Candara"/>
                <w:b/>
                <w:sz w:val="18"/>
                <w:szCs w:val="18"/>
              </w:rPr>
            </w:pPr>
            <w:r>
              <w:rPr>
                <w:rFonts w:ascii="Candara" w:eastAsia="Candara" w:hAnsi="Candara" w:cs="Candara"/>
                <w:b/>
                <w:sz w:val="18"/>
                <w:szCs w:val="18"/>
              </w:rPr>
              <w:t>Praktiskie pētījum</w:t>
            </w:r>
            <w:r>
              <w:rPr>
                <w:rFonts w:ascii="Candara" w:eastAsia="Candara" w:hAnsi="Candara" w:cs="Candara"/>
                <w:sz w:val="18"/>
                <w:szCs w:val="18"/>
              </w:rPr>
              <w:t xml:space="preserve">i (1111) </w:t>
            </w:r>
            <w:r>
              <w:rPr>
                <w:rFonts w:ascii="Candara" w:eastAsia="Candara" w:hAnsi="Candara" w:cs="Candara"/>
                <w:b/>
                <w:sz w:val="18"/>
                <w:szCs w:val="18"/>
              </w:rPr>
              <w:t xml:space="preserve">- </w:t>
            </w:r>
            <w:r w:rsidR="00A03C12">
              <w:rPr>
                <w:rFonts w:ascii="Candara" w:eastAsia="Candara" w:hAnsi="Candara" w:cs="Candara"/>
                <w:b/>
                <w:sz w:val="18"/>
                <w:szCs w:val="18"/>
              </w:rPr>
              <w:t xml:space="preserve">43 </w:t>
            </w:r>
            <w:r>
              <w:rPr>
                <w:rFonts w:ascii="Candara" w:eastAsia="Candara" w:hAnsi="Candara" w:cs="Candara"/>
                <w:b/>
                <w:sz w:val="18"/>
                <w:szCs w:val="18"/>
              </w:rPr>
              <w:t>(PLE)</w:t>
            </w:r>
          </w:p>
          <w:p w:rsidR="00BD4C4B" w:rsidP="00860A6B" w14:paraId="45CEC46A" w14:textId="33565B4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2017.g. II ceturksnī noslēgti līgumi par </w:t>
            </w:r>
            <w:r w:rsidR="00BF4CEA">
              <w:rPr>
                <w:rFonts w:ascii="Candara" w:eastAsia="Candara" w:hAnsi="Candara" w:cs="Candara"/>
                <w:sz w:val="18"/>
                <w:szCs w:val="18"/>
              </w:rPr>
              <w:t xml:space="preserve">74 </w:t>
            </w:r>
            <w:r>
              <w:rPr>
                <w:rFonts w:ascii="Candara" w:eastAsia="Candara" w:hAnsi="Candara" w:cs="Candara"/>
                <w:sz w:val="18"/>
                <w:szCs w:val="18"/>
              </w:rPr>
              <w:t>pētniecības projektu īstenošanu (kopējais publiskais fin</w:t>
            </w:r>
            <w:r w:rsidR="00133ACC">
              <w:rPr>
                <w:rFonts w:ascii="Candara" w:eastAsia="Candara" w:hAnsi="Candara" w:cs="Candara"/>
                <w:sz w:val="18"/>
                <w:szCs w:val="18"/>
              </w:rPr>
              <w:t>. 39,</w:t>
            </w:r>
            <w:r w:rsidR="00BF4CEA">
              <w:rPr>
                <w:rFonts w:ascii="Candara" w:eastAsia="Candara" w:hAnsi="Candara" w:cs="Candara"/>
                <w:sz w:val="18"/>
                <w:szCs w:val="18"/>
              </w:rPr>
              <w:t xml:space="preserve">77 </w:t>
            </w:r>
            <w:r w:rsidR="00133ACC">
              <w:rPr>
                <w:rFonts w:ascii="Candara" w:eastAsia="Candara" w:hAnsi="Candara" w:cs="Candara"/>
                <w:sz w:val="18"/>
                <w:szCs w:val="18"/>
              </w:rPr>
              <w:t>MEUR), kuru īstenošanas ietvaros</w:t>
            </w:r>
            <w:r>
              <w:rPr>
                <w:rFonts w:ascii="Candara" w:eastAsia="Candara" w:hAnsi="Candara" w:cs="Candara"/>
                <w:sz w:val="18"/>
                <w:szCs w:val="18"/>
              </w:rPr>
              <w:t xml:space="preserve"> izveidot </w:t>
            </w:r>
            <w:r w:rsidR="00A03C12">
              <w:rPr>
                <w:rFonts w:ascii="Candara" w:eastAsia="Candara" w:hAnsi="Candara" w:cs="Candara"/>
                <w:b/>
                <w:sz w:val="18"/>
                <w:szCs w:val="18"/>
              </w:rPr>
              <w:t>4</w:t>
            </w:r>
            <w:r w:rsidR="00665B3B">
              <w:rPr>
                <w:rFonts w:ascii="Candara" w:eastAsia="Candara" w:hAnsi="Candara" w:cs="Candara"/>
                <w:b/>
                <w:sz w:val="18"/>
                <w:szCs w:val="18"/>
              </w:rPr>
              <w:t>3</w:t>
            </w:r>
            <w:r w:rsidR="00A03C12">
              <w:rPr>
                <w:rFonts w:ascii="Candara" w:eastAsia="Candara" w:hAnsi="Candara" w:cs="Candara"/>
                <w:b/>
                <w:sz w:val="18"/>
                <w:szCs w:val="18"/>
              </w:rPr>
              <w:t xml:space="preserve"> </w:t>
            </w:r>
            <w:r>
              <w:rPr>
                <w:rFonts w:ascii="Candara" w:eastAsia="Candara" w:hAnsi="Candara" w:cs="Candara"/>
                <w:b/>
                <w:sz w:val="18"/>
                <w:szCs w:val="18"/>
              </w:rPr>
              <w:t>jaunizveidotas</w:t>
            </w:r>
            <w:r>
              <w:rPr>
                <w:rFonts w:ascii="Candara" w:eastAsia="Candara" w:hAnsi="Candara" w:cs="Candara"/>
                <w:sz w:val="18"/>
                <w:szCs w:val="18"/>
              </w:rPr>
              <w:t xml:space="preserve"> zinātnisko darbinieku darba vietas;</w:t>
            </w:r>
          </w:p>
          <w:p w:rsidR="00BD4C4B" w:rsidP="00860A6B" w14:paraId="2851E03D" w14:textId="77777777">
            <w:pPr>
              <w:spacing w:after="0" w:line="240" w:lineRule="auto"/>
              <w:jc w:val="both"/>
              <w:rPr>
                <w:rFonts w:ascii="Candara" w:eastAsia="Candara" w:hAnsi="Candara" w:cs="Candara"/>
                <w:sz w:val="18"/>
                <w:szCs w:val="18"/>
              </w:rPr>
            </w:pPr>
          </w:p>
          <w:p w:rsidR="00BD4C4B" w:rsidP="00860A6B" w14:paraId="681453CF" w14:textId="63ADFABB">
            <w:pPr>
              <w:spacing w:after="0" w:line="240" w:lineRule="auto"/>
              <w:jc w:val="both"/>
              <w:rPr>
                <w:rFonts w:ascii="Candara" w:eastAsia="Candara" w:hAnsi="Candara" w:cs="Candara"/>
                <w:b/>
                <w:sz w:val="18"/>
                <w:szCs w:val="18"/>
              </w:rPr>
            </w:pPr>
            <w:r>
              <w:rPr>
                <w:rFonts w:ascii="Candara" w:eastAsia="Candara" w:hAnsi="Candara" w:cs="Candara"/>
                <w:b/>
                <w:sz w:val="18"/>
                <w:szCs w:val="18"/>
              </w:rPr>
              <w:t xml:space="preserve">Post-dok (1112) </w:t>
            </w:r>
            <w:r w:rsidR="00995810">
              <w:rPr>
                <w:rFonts w:ascii="Candara" w:eastAsia="Candara" w:hAnsi="Candara" w:cs="Candara"/>
                <w:b/>
                <w:sz w:val="18"/>
                <w:szCs w:val="18"/>
              </w:rPr>
              <w:t>–</w:t>
            </w:r>
            <w:r>
              <w:rPr>
                <w:rFonts w:ascii="Candara" w:eastAsia="Candara" w:hAnsi="Candara" w:cs="Candara"/>
                <w:b/>
                <w:sz w:val="18"/>
                <w:szCs w:val="18"/>
              </w:rPr>
              <w:t xml:space="preserve"> </w:t>
            </w:r>
            <w:r w:rsidR="00665B3B">
              <w:rPr>
                <w:rFonts w:ascii="Candara" w:eastAsia="Candara" w:hAnsi="Candara" w:cs="Candara"/>
                <w:b/>
                <w:sz w:val="18"/>
                <w:szCs w:val="18"/>
              </w:rPr>
              <w:t xml:space="preserve">124 </w:t>
            </w:r>
            <w:r>
              <w:rPr>
                <w:rFonts w:ascii="Candara" w:eastAsia="Candara" w:hAnsi="Candara" w:cs="Candara"/>
                <w:b/>
                <w:sz w:val="18"/>
                <w:szCs w:val="18"/>
              </w:rPr>
              <w:t>(PLE)</w:t>
            </w:r>
          </w:p>
          <w:p w:rsidR="00BD4C4B" w:rsidP="00665B3B" w14:paraId="6EE00942" w14:textId="457461D0">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2017.g. IV ceturksnī noslēgti līgumi par 124 pētniecības pieteikumu īstenošanu (kopējais publiskais fin. 15,7 MEUR), kuru </w:t>
            </w:r>
            <w:r w:rsidR="00133ACC">
              <w:rPr>
                <w:rFonts w:ascii="Candara" w:eastAsia="Candara" w:hAnsi="Candara" w:cs="Candara"/>
                <w:sz w:val="18"/>
                <w:szCs w:val="18"/>
              </w:rPr>
              <w:t xml:space="preserve">īstenošanas ietvaros </w:t>
            </w:r>
            <w:r>
              <w:rPr>
                <w:rFonts w:ascii="Candara" w:eastAsia="Candara" w:hAnsi="Candara" w:cs="Candara"/>
                <w:sz w:val="18"/>
                <w:szCs w:val="18"/>
              </w:rPr>
              <w:t xml:space="preserve">paredzēts </w:t>
            </w:r>
            <w:r w:rsidR="00A03C12">
              <w:rPr>
                <w:rFonts w:ascii="Candara" w:eastAsia="Candara" w:hAnsi="Candara" w:cs="Candara"/>
                <w:sz w:val="18"/>
                <w:szCs w:val="18"/>
              </w:rPr>
              <w:t>jaun</w:t>
            </w:r>
            <w:r>
              <w:rPr>
                <w:rFonts w:ascii="Candara" w:eastAsia="Candara" w:hAnsi="Candara" w:cs="Candara"/>
                <w:sz w:val="18"/>
                <w:szCs w:val="18"/>
              </w:rPr>
              <w:t xml:space="preserve">izveidot </w:t>
            </w:r>
            <w:r>
              <w:rPr>
                <w:rFonts w:ascii="Candara" w:eastAsia="Candara" w:hAnsi="Candara" w:cs="Candara"/>
                <w:sz w:val="18"/>
                <w:szCs w:val="18"/>
              </w:rPr>
              <w:t>124</w:t>
            </w:r>
            <w:r w:rsidR="00D9709D">
              <w:rPr>
                <w:rFonts w:ascii="Candara" w:eastAsia="Candara" w:hAnsi="Candara" w:cs="Candara"/>
                <w:sz w:val="18"/>
                <w:szCs w:val="18"/>
              </w:rPr>
              <w:t xml:space="preserve"> </w:t>
            </w:r>
            <w:r>
              <w:rPr>
                <w:rFonts w:ascii="Candara" w:eastAsia="Candara" w:hAnsi="Candara" w:cs="Candara"/>
                <w:sz w:val="18"/>
                <w:szCs w:val="18"/>
              </w:rPr>
              <w:t>jauno zinātnieku (pēcdoktorantu) darba vietas)</w:t>
            </w:r>
          </w:p>
        </w:tc>
      </w:tr>
      <w:tr w14:paraId="43B5B499" w14:textId="77777777" w:rsidTr="00324F94">
        <w:tblPrEx>
          <w:tblW w:w="13948" w:type="dxa"/>
          <w:tblInd w:w="-115" w:type="dxa"/>
          <w:tblLayout w:type="fixed"/>
          <w:tblLook w:val="0400"/>
        </w:tblPrEx>
        <w:trPr>
          <w:trHeight w:val="1680"/>
        </w:trPr>
        <w:tc>
          <w:tcPr>
            <w:tcW w:w="1858" w:type="dxa"/>
            <w:vMerge/>
            <w:shd w:val="clear" w:color="auto" w:fill="FFFFFF"/>
            <w:vAlign w:val="center"/>
          </w:tcPr>
          <w:p w:rsidR="00BD4C4B" w:rsidP="003F6159" w14:paraId="0178761A"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3F6159" w14:paraId="05578264"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0931D9A0" w14:textId="77777777">
            <w:pPr>
              <w:spacing w:after="0" w:line="240" w:lineRule="auto"/>
              <w:rPr>
                <w:rFonts w:ascii="Candara" w:eastAsia="Candara" w:hAnsi="Candara" w:cs="Candara"/>
                <w:sz w:val="18"/>
                <w:szCs w:val="18"/>
              </w:rPr>
            </w:pPr>
            <w:r>
              <w:rPr>
                <w:rFonts w:ascii="Candara" w:eastAsia="Candara" w:hAnsi="Candara" w:cs="Candara"/>
                <w:sz w:val="18"/>
                <w:szCs w:val="18"/>
              </w:rPr>
              <w:t>KC programma (1211); TPP (Tehnoloģiju pārnese, Inovāciju vaučeri, augstas kvalif. darbinieki) (1212), Biznesa inkubatori (3116), Finanšu instrumenti (312)</w:t>
            </w:r>
          </w:p>
        </w:tc>
        <w:tc>
          <w:tcPr>
            <w:tcW w:w="5700" w:type="dxa"/>
            <w:shd w:val="clear" w:color="auto" w:fill="FFFFFF"/>
            <w:vAlign w:val="center"/>
          </w:tcPr>
          <w:p w:rsidR="00BD4C4B" w:rsidP="00860A6B" w14:paraId="58767CF0" w14:textId="77777777">
            <w:pPr>
              <w:spacing w:after="0" w:line="240" w:lineRule="auto"/>
              <w:rPr>
                <w:rFonts w:ascii="Candara" w:eastAsia="Candara" w:hAnsi="Candara" w:cs="Candara"/>
                <w:b/>
                <w:sz w:val="18"/>
                <w:szCs w:val="18"/>
              </w:rPr>
            </w:pPr>
            <w:r>
              <w:rPr>
                <w:rFonts w:ascii="Candara" w:eastAsia="Candara" w:hAnsi="Candara" w:cs="Candara"/>
                <w:b/>
                <w:sz w:val="18"/>
                <w:szCs w:val="18"/>
              </w:rPr>
              <w:t> KC programma:</w:t>
            </w:r>
          </w:p>
          <w:p w:rsidR="00BD4C4B" w:rsidP="00860A6B" w14:paraId="54A3EB65" w14:textId="77777777">
            <w:pPr>
              <w:spacing w:after="0" w:line="240" w:lineRule="auto"/>
              <w:rPr>
                <w:rFonts w:ascii="Candara" w:eastAsia="Candara" w:hAnsi="Candara" w:cs="Candara"/>
                <w:sz w:val="18"/>
                <w:szCs w:val="18"/>
              </w:rPr>
            </w:pPr>
            <w:r>
              <w:rPr>
                <w:rFonts w:ascii="Candara" w:eastAsia="Candara" w:hAnsi="Candara" w:cs="Candara"/>
                <w:sz w:val="18"/>
                <w:szCs w:val="18"/>
              </w:rPr>
              <w:t>1) Pētījuma kvalitātes nodrošināšana;</w:t>
            </w:r>
          </w:p>
          <w:p w:rsidR="00BD4C4B" w:rsidP="00860A6B" w14:paraId="2F8A5670" w14:textId="77777777">
            <w:pPr>
              <w:spacing w:after="0" w:line="240" w:lineRule="auto"/>
              <w:rPr>
                <w:rFonts w:ascii="Candara" w:eastAsia="Candara" w:hAnsi="Candara" w:cs="Candara"/>
                <w:sz w:val="18"/>
                <w:szCs w:val="18"/>
              </w:rPr>
            </w:pPr>
            <w:r>
              <w:rPr>
                <w:rFonts w:ascii="Candara" w:eastAsia="Candara" w:hAnsi="Candara" w:cs="Candara"/>
                <w:sz w:val="18"/>
                <w:szCs w:val="18"/>
              </w:rPr>
              <w:t>2) Komersantu noslēgtie licences līgumi intelektuālā īpašuma komercializēšanai</w:t>
            </w:r>
          </w:p>
          <w:p w:rsidR="00BD4C4B" w:rsidP="00860A6B" w14:paraId="6922CADF" w14:textId="77777777">
            <w:pPr>
              <w:spacing w:after="0" w:line="240" w:lineRule="auto"/>
              <w:rPr>
                <w:rFonts w:ascii="Candara" w:eastAsia="Candara" w:hAnsi="Candara" w:cs="Candara"/>
                <w:sz w:val="18"/>
                <w:szCs w:val="18"/>
              </w:rPr>
            </w:pPr>
          </w:p>
          <w:p w:rsidR="00BD4C4B" w:rsidP="00860A6B" w14:paraId="76CDB216" w14:textId="77777777">
            <w:pPr>
              <w:spacing w:after="0" w:line="240" w:lineRule="auto"/>
              <w:rPr>
                <w:rFonts w:ascii="Candara" w:eastAsia="Candara" w:hAnsi="Candara" w:cs="Candara"/>
                <w:b/>
                <w:sz w:val="18"/>
                <w:szCs w:val="18"/>
              </w:rPr>
            </w:pPr>
            <w:r>
              <w:rPr>
                <w:rFonts w:ascii="Candara" w:eastAsia="Candara" w:hAnsi="Candara" w:cs="Candara"/>
                <w:b/>
                <w:sz w:val="18"/>
                <w:szCs w:val="18"/>
              </w:rPr>
              <w:t>BI programma:</w:t>
            </w:r>
          </w:p>
          <w:p w:rsidR="00BD4C4B" w:rsidP="00860A6B" w14:paraId="4C35F778" w14:textId="77777777">
            <w:pPr>
              <w:spacing w:after="0" w:line="240" w:lineRule="auto"/>
              <w:rPr>
                <w:rFonts w:ascii="Candara" w:eastAsia="Candara" w:hAnsi="Candara" w:cs="Candara"/>
                <w:sz w:val="18"/>
                <w:szCs w:val="18"/>
              </w:rPr>
            </w:pPr>
            <w:r>
              <w:rPr>
                <w:rFonts w:ascii="Candara" w:eastAsia="Candara" w:hAnsi="Candara" w:cs="Candara"/>
                <w:sz w:val="18"/>
                <w:szCs w:val="18"/>
              </w:rPr>
              <w:t>Programmas ietvaros var tikt radītas darba vietas zinātniskajiem darbiniekiem</w:t>
            </w:r>
          </w:p>
          <w:p w:rsidR="00BD4C4B" w:rsidP="00860A6B" w14:paraId="4D638BA3" w14:textId="77777777">
            <w:pPr>
              <w:spacing w:after="0" w:line="240" w:lineRule="auto"/>
              <w:rPr>
                <w:rFonts w:ascii="Candara" w:eastAsia="Candara" w:hAnsi="Candara" w:cs="Candara"/>
                <w:sz w:val="18"/>
                <w:szCs w:val="18"/>
              </w:rPr>
            </w:pPr>
          </w:p>
          <w:p w:rsidR="00BD4C4B" w:rsidP="00860A6B" w14:paraId="7EF0CC45" w14:textId="77777777">
            <w:pPr>
              <w:spacing w:after="0" w:line="240" w:lineRule="auto"/>
              <w:rPr>
                <w:rFonts w:ascii="Candara" w:eastAsia="Candara" w:hAnsi="Candara" w:cs="Candara"/>
                <w:b/>
                <w:sz w:val="18"/>
                <w:szCs w:val="18"/>
              </w:rPr>
            </w:pPr>
            <w:r>
              <w:rPr>
                <w:rFonts w:ascii="Candara" w:eastAsia="Candara" w:hAnsi="Candara" w:cs="Candara"/>
                <w:b/>
                <w:sz w:val="18"/>
                <w:szCs w:val="18"/>
              </w:rPr>
              <w:t>JPIR programma:</w:t>
            </w:r>
          </w:p>
          <w:p w:rsidR="00BD4C4B" w:rsidP="00860A6B" w14:paraId="76D96E05" w14:textId="77777777">
            <w:pPr>
              <w:spacing w:after="0" w:line="240" w:lineRule="auto"/>
              <w:rPr>
                <w:rFonts w:ascii="Candara" w:eastAsia="Candara" w:hAnsi="Candara" w:cs="Candara"/>
                <w:sz w:val="18"/>
                <w:szCs w:val="18"/>
              </w:rPr>
            </w:pPr>
            <w:r>
              <w:rPr>
                <w:rFonts w:ascii="Candara" w:eastAsia="Candara" w:hAnsi="Candara" w:cs="Candara"/>
                <w:sz w:val="18"/>
                <w:szCs w:val="18"/>
              </w:rPr>
              <w:t>Kvalitātes kritērijā "Komersantā radītās P&amp;A darba vietas" iespējams saņemt papildus punktus, ja projekta iesniegumā ir apliecināts, ka komersantā tiks radītas jaunas pilna laika P&amp;A darba vietas ar nozarē vidējo algu projektu iesniegšanas brīdī un tās tiks uzturētas visu projekta uzraudzības periodu</w:t>
            </w:r>
          </w:p>
        </w:tc>
        <w:tc>
          <w:tcPr>
            <w:tcW w:w="3060" w:type="dxa"/>
            <w:shd w:val="clear" w:color="auto" w:fill="FFFFFF"/>
          </w:tcPr>
          <w:p w:rsidR="00BD4C4B" w:rsidP="00860A6B" w14:paraId="0E5EB8DF" w14:textId="77777777">
            <w:pPr>
              <w:spacing w:after="0" w:line="240" w:lineRule="auto"/>
              <w:jc w:val="both"/>
              <w:rPr>
                <w:rFonts w:ascii="Candara" w:eastAsia="Candara" w:hAnsi="Candara" w:cs="Candara"/>
                <w:b/>
                <w:sz w:val="18"/>
                <w:szCs w:val="18"/>
              </w:rPr>
            </w:pPr>
            <w:r>
              <w:rPr>
                <w:rFonts w:ascii="Candara" w:eastAsia="Candara" w:hAnsi="Candara" w:cs="Candara"/>
                <w:b/>
                <w:sz w:val="18"/>
                <w:szCs w:val="18"/>
              </w:rPr>
              <w:t>KC programma:</w:t>
            </w:r>
          </w:p>
          <w:p w:rsidR="00BD4C4B" w:rsidP="00860A6B" w14:paraId="62E6EAA6" w14:textId="536B36E5">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Komersantu skaits, kuri sadarbojas ar pētniecības institūcijām - </w:t>
            </w:r>
            <w:r w:rsidR="007B0E5C">
              <w:rPr>
                <w:rFonts w:ascii="Candara" w:eastAsia="Candara" w:hAnsi="Candara" w:cs="Candara"/>
                <w:sz w:val="18"/>
                <w:szCs w:val="18"/>
              </w:rPr>
              <w:t xml:space="preserve">66 </w:t>
            </w:r>
            <w:r>
              <w:rPr>
                <w:rFonts w:ascii="Candara" w:eastAsia="Candara" w:hAnsi="Candara" w:cs="Candara"/>
                <w:sz w:val="18"/>
                <w:szCs w:val="18"/>
              </w:rPr>
              <w:t>(201</w:t>
            </w:r>
            <w:r w:rsidR="00D43AE0">
              <w:rPr>
                <w:rFonts w:ascii="Candara" w:eastAsia="Candara" w:hAnsi="Candara" w:cs="Candara"/>
                <w:sz w:val="18"/>
                <w:szCs w:val="18"/>
              </w:rPr>
              <w:t>7</w:t>
            </w:r>
            <w:r>
              <w:rPr>
                <w:rFonts w:ascii="Candara" w:eastAsia="Candara" w:hAnsi="Candara" w:cs="Candara"/>
                <w:sz w:val="18"/>
                <w:szCs w:val="18"/>
              </w:rPr>
              <w:t>.g</w:t>
            </w:r>
            <w:r w:rsidR="00DD0EB8">
              <w:rPr>
                <w:rFonts w:ascii="Candara" w:eastAsia="Candara" w:hAnsi="Candara" w:cs="Candara"/>
                <w:sz w:val="18"/>
                <w:szCs w:val="18"/>
              </w:rPr>
              <w:t>ada beigas</w:t>
            </w:r>
            <w:r>
              <w:rPr>
                <w:rFonts w:ascii="Candara" w:eastAsia="Candara" w:hAnsi="Candara" w:cs="Candara"/>
                <w:sz w:val="18"/>
                <w:szCs w:val="18"/>
              </w:rPr>
              <w:t>)</w:t>
            </w:r>
          </w:p>
          <w:p w:rsidR="00BD4C4B" w:rsidP="00860A6B" w14:paraId="4FC4BF84" w14:textId="77777777">
            <w:pPr>
              <w:spacing w:after="0" w:line="240" w:lineRule="auto"/>
              <w:jc w:val="both"/>
              <w:rPr>
                <w:rFonts w:ascii="Candara" w:eastAsia="Candara" w:hAnsi="Candara" w:cs="Candara"/>
                <w:sz w:val="18"/>
                <w:szCs w:val="18"/>
              </w:rPr>
            </w:pPr>
          </w:p>
          <w:p w:rsidR="00133ACC" w:rsidP="00860A6B" w14:paraId="49F4034B" w14:textId="77777777">
            <w:pPr>
              <w:spacing w:after="0" w:line="240" w:lineRule="auto"/>
              <w:jc w:val="both"/>
              <w:rPr>
                <w:rFonts w:ascii="Candara" w:eastAsia="Candara" w:hAnsi="Candara" w:cs="Candara"/>
                <w:b/>
                <w:sz w:val="18"/>
                <w:szCs w:val="18"/>
              </w:rPr>
            </w:pPr>
          </w:p>
          <w:p w:rsidR="00BD4C4B" w:rsidP="00860A6B" w14:paraId="312F3401" w14:textId="77777777">
            <w:pPr>
              <w:spacing w:after="0" w:line="240" w:lineRule="auto"/>
              <w:jc w:val="both"/>
              <w:rPr>
                <w:rFonts w:ascii="Candara" w:eastAsia="Candara" w:hAnsi="Candara" w:cs="Candara"/>
                <w:b/>
                <w:sz w:val="18"/>
                <w:szCs w:val="18"/>
              </w:rPr>
            </w:pPr>
            <w:r>
              <w:rPr>
                <w:rFonts w:ascii="Candara" w:eastAsia="Candara" w:hAnsi="Candara" w:cs="Candara"/>
                <w:b/>
                <w:sz w:val="18"/>
                <w:szCs w:val="18"/>
              </w:rPr>
              <w:t>BI programma:</w:t>
            </w:r>
          </w:p>
          <w:p w:rsidR="00BD4C4B" w:rsidP="00860A6B" w14:paraId="210AA783" w14:textId="6C19A404">
            <w:pPr>
              <w:spacing w:after="0" w:line="240" w:lineRule="auto"/>
              <w:jc w:val="both"/>
              <w:rPr>
                <w:rFonts w:ascii="Candara" w:eastAsia="Candara" w:hAnsi="Candara" w:cs="Candara"/>
                <w:sz w:val="18"/>
                <w:szCs w:val="18"/>
              </w:rPr>
            </w:pPr>
            <w:r w:rsidRPr="00DD0EB8">
              <w:rPr>
                <w:rFonts w:ascii="Candara" w:eastAsia="Candara" w:hAnsi="Candara" w:cs="Candara"/>
                <w:sz w:val="18"/>
                <w:szCs w:val="18"/>
              </w:rPr>
              <w:t>Jaunizveidoto komersantu skaits - 62</w:t>
            </w:r>
            <w:r>
              <w:rPr>
                <w:rFonts w:ascii="Candara" w:eastAsia="Candara" w:hAnsi="Candara" w:cs="Candara"/>
                <w:sz w:val="18"/>
                <w:szCs w:val="18"/>
              </w:rPr>
              <w:t xml:space="preserve"> (2017.gada beigas)</w:t>
            </w:r>
          </w:p>
          <w:p w:rsidR="00BD4C4B" w:rsidP="00860A6B" w14:paraId="30C9120D" w14:textId="77777777">
            <w:pPr>
              <w:spacing w:after="0" w:line="240" w:lineRule="auto"/>
              <w:jc w:val="both"/>
              <w:rPr>
                <w:rFonts w:ascii="Candara" w:eastAsia="Candara" w:hAnsi="Candara" w:cs="Candara"/>
                <w:sz w:val="18"/>
                <w:szCs w:val="18"/>
              </w:rPr>
            </w:pPr>
          </w:p>
          <w:p w:rsidR="00BD4C4B" w:rsidP="00860A6B" w14:paraId="2CC63ED0" w14:textId="77777777">
            <w:pPr>
              <w:spacing w:after="0" w:line="240" w:lineRule="auto"/>
              <w:jc w:val="both"/>
              <w:rPr>
                <w:rFonts w:ascii="Candara" w:eastAsia="Candara" w:hAnsi="Candara" w:cs="Candara"/>
                <w:b/>
                <w:sz w:val="18"/>
                <w:szCs w:val="18"/>
              </w:rPr>
            </w:pPr>
            <w:r>
              <w:rPr>
                <w:rFonts w:ascii="Candara" w:eastAsia="Candara" w:hAnsi="Candara" w:cs="Candara"/>
                <w:b/>
                <w:sz w:val="18"/>
                <w:szCs w:val="18"/>
              </w:rPr>
              <w:t>JPIR programma:</w:t>
            </w:r>
          </w:p>
          <w:p w:rsidR="00BD4C4B" w:rsidP="00860A6B" w14:paraId="4C646CFB" w14:textId="2EB61574">
            <w:pPr>
              <w:spacing w:after="0" w:line="240" w:lineRule="auto"/>
              <w:jc w:val="both"/>
              <w:rPr>
                <w:rFonts w:ascii="Candara" w:eastAsia="Candara" w:hAnsi="Candara" w:cs="Candara"/>
                <w:sz w:val="18"/>
                <w:szCs w:val="18"/>
              </w:rPr>
            </w:pPr>
            <w:r>
              <w:rPr>
                <w:rFonts w:ascii="Candara" w:eastAsia="Candara" w:hAnsi="Candara" w:cs="Candara"/>
                <w:sz w:val="18"/>
                <w:szCs w:val="18"/>
              </w:rPr>
              <w:t>Šobrīd apstiprinātajos 1</w:t>
            </w:r>
            <w:r w:rsidR="00D43AE0">
              <w:rPr>
                <w:rFonts w:ascii="Candara" w:eastAsia="Candara" w:hAnsi="Candara" w:cs="Candara"/>
                <w:sz w:val="18"/>
                <w:szCs w:val="18"/>
              </w:rPr>
              <w:t>7</w:t>
            </w:r>
            <w:r>
              <w:rPr>
                <w:rFonts w:ascii="Candara" w:eastAsia="Candara" w:hAnsi="Candara" w:cs="Candara"/>
                <w:sz w:val="18"/>
                <w:szCs w:val="18"/>
              </w:rPr>
              <w:t xml:space="preserve"> uzņēmumu projektos izveidotas </w:t>
            </w:r>
            <w:r>
              <w:rPr>
                <w:rFonts w:ascii="Candara" w:eastAsia="Candara" w:hAnsi="Candara" w:cs="Candara"/>
                <w:b/>
                <w:sz w:val="18"/>
                <w:szCs w:val="18"/>
              </w:rPr>
              <w:t>39 darba vieta</w:t>
            </w:r>
            <w:r>
              <w:rPr>
                <w:rFonts w:ascii="Candara" w:eastAsia="Candara" w:hAnsi="Candara" w:cs="Candara"/>
                <w:sz w:val="18"/>
                <w:szCs w:val="18"/>
              </w:rPr>
              <w:t>s, kurās nodarbināti pārējie zinātniskie darbinieki (PLE)</w:t>
            </w:r>
          </w:p>
        </w:tc>
      </w:tr>
      <w:tr w14:paraId="4ACB8123" w14:textId="77777777" w:rsidTr="00324F94">
        <w:tblPrEx>
          <w:tblW w:w="13948" w:type="dxa"/>
          <w:tblInd w:w="-115" w:type="dxa"/>
          <w:tblLayout w:type="fixed"/>
          <w:tblLook w:val="0400"/>
        </w:tblPrEx>
        <w:trPr>
          <w:trHeight w:val="860"/>
        </w:trPr>
        <w:tc>
          <w:tcPr>
            <w:tcW w:w="1858" w:type="dxa"/>
            <w:vMerge/>
            <w:shd w:val="clear" w:color="auto" w:fill="FFFFFF"/>
            <w:vAlign w:val="center"/>
          </w:tcPr>
          <w:p w:rsidR="00BD4C4B" w:rsidP="003F6159" w14:paraId="2CDE1C23" w14:textId="77777777">
            <w:pPr>
              <w:spacing w:after="0" w:line="240" w:lineRule="auto"/>
              <w:rPr>
                <w:rFonts w:ascii="Candara" w:eastAsia="Candara" w:hAnsi="Candara" w:cs="Candara"/>
                <w:sz w:val="18"/>
                <w:szCs w:val="18"/>
              </w:rPr>
            </w:pPr>
          </w:p>
        </w:tc>
        <w:tc>
          <w:tcPr>
            <w:tcW w:w="946" w:type="dxa"/>
            <w:vMerge w:val="restart"/>
            <w:shd w:val="clear" w:color="auto" w:fill="FFFFFF"/>
            <w:vAlign w:val="center"/>
          </w:tcPr>
          <w:p w:rsidR="00BD4C4B" w:rsidP="003F6159" w14:paraId="5FEA3A49"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767EBA" w:rsidP="003F6159" w14:paraId="37CAFEFA"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(IZM)</w:t>
            </w:r>
          </w:p>
        </w:tc>
        <w:tc>
          <w:tcPr>
            <w:tcW w:w="2384" w:type="dxa"/>
            <w:shd w:val="clear" w:color="auto" w:fill="FFFFFF"/>
            <w:vAlign w:val="center"/>
          </w:tcPr>
          <w:p w:rsidR="00BD4C4B" w:rsidP="00860A6B" w14:paraId="01A48B59" w14:textId="77777777">
            <w:pPr>
              <w:spacing w:after="0" w:line="240" w:lineRule="auto"/>
              <w:rPr>
                <w:rFonts w:ascii="Candara" w:eastAsia="Candara" w:hAnsi="Candara" w:cs="Candara"/>
                <w:sz w:val="18"/>
                <w:szCs w:val="18"/>
              </w:rPr>
            </w:pPr>
            <w:r>
              <w:rPr>
                <w:rFonts w:ascii="Candara" w:eastAsia="Candara" w:hAnsi="Candara" w:cs="Candara"/>
                <w:sz w:val="18"/>
                <w:szCs w:val="18"/>
              </w:rPr>
              <w:t>Valsts pētījumu programmas 2014-2017</w:t>
            </w:r>
          </w:p>
        </w:tc>
        <w:tc>
          <w:tcPr>
            <w:tcW w:w="5700" w:type="dxa"/>
            <w:shd w:val="clear" w:color="auto" w:fill="FFFFFF"/>
            <w:vAlign w:val="center"/>
          </w:tcPr>
          <w:p w:rsidR="00BD4C4B" w:rsidP="00860A6B" w14:paraId="20829699" w14:textId="77777777">
            <w:pPr>
              <w:spacing w:after="0" w:line="240" w:lineRule="auto"/>
              <w:rPr>
                <w:rFonts w:ascii="Candara" w:eastAsia="Candara" w:hAnsi="Candara" w:cs="Candara"/>
                <w:sz w:val="18"/>
                <w:szCs w:val="18"/>
              </w:rPr>
            </w:pPr>
            <w:r>
              <w:rPr>
                <w:rFonts w:ascii="Candara" w:eastAsia="Candara" w:hAnsi="Candara" w:cs="Candara"/>
                <w:sz w:val="18"/>
                <w:szCs w:val="18"/>
              </w:rPr>
              <w:t>Noteikumos nav noteikti stimuli šim rādītājam</w:t>
            </w:r>
          </w:p>
          <w:p w:rsidR="00BD4C4B" w:rsidP="00860A6B" w14:paraId="4CD82713" w14:textId="77777777">
            <w:pPr>
              <w:spacing w:after="0" w:line="240" w:lineRule="auto"/>
              <w:rPr>
                <w:rFonts w:ascii="Candara" w:eastAsia="Candara" w:hAnsi="Candara" w:cs="Candara"/>
                <w:sz w:val="18"/>
                <w:szCs w:val="18"/>
              </w:rPr>
            </w:pPr>
          </w:p>
        </w:tc>
        <w:tc>
          <w:tcPr>
            <w:tcW w:w="3060" w:type="dxa"/>
            <w:shd w:val="clear" w:color="auto" w:fill="FFFFFF"/>
            <w:vAlign w:val="center"/>
          </w:tcPr>
          <w:p w:rsidR="00BD4C4B" w:rsidP="00860A6B" w14:paraId="1B5FF1CA" w14:textId="77777777">
            <w:pPr>
              <w:spacing w:after="0" w:line="240" w:lineRule="auto"/>
              <w:jc w:val="both"/>
              <w:rPr>
                <w:rFonts w:ascii="Candara" w:eastAsia="Candara" w:hAnsi="Candara" w:cs="Candara"/>
                <w:sz w:val="18"/>
                <w:szCs w:val="18"/>
              </w:rPr>
            </w:pPr>
            <w:r>
              <w:rPr>
                <w:rFonts w:ascii="Candara" w:eastAsia="Candara" w:hAnsi="Candara" w:cs="Candara"/>
                <w:b/>
                <w:sz w:val="18"/>
                <w:szCs w:val="18"/>
              </w:rPr>
              <w:t xml:space="preserve">5 </w:t>
            </w:r>
            <w:r>
              <w:rPr>
                <w:rFonts w:ascii="Candara" w:eastAsia="Candara" w:hAnsi="Candara" w:cs="Candara"/>
                <w:sz w:val="18"/>
                <w:szCs w:val="18"/>
              </w:rPr>
              <w:t>privātajā sektorā jaunizveidotās darba vietas, kurās nodarbināts zinātniskais personāls.</w:t>
            </w:r>
          </w:p>
        </w:tc>
      </w:tr>
      <w:tr w14:paraId="6E3F3167" w14:textId="77777777" w:rsidTr="00324F94">
        <w:tblPrEx>
          <w:tblW w:w="13948" w:type="dxa"/>
          <w:tblInd w:w="-115" w:type="dxa"/>
          <w:tblLayout w:type="fixed"/>
          <w:tblLook w:val="0400"/>
        </w:tblPrEx>
        <w:trPr>
          <w:trHeight w:val="540"/>
        </w:trPr>
        <w:tc>
          <w:tcPr>
            <w:tcW w:w="1858" w:type="dxa"/>
            <w:vMerge/>
            <w:shd w:val="clear" w:color="auto" w:fill="FFFFFF"/>
            <w:vAlign w:val="center"/>
          </w:tcPr>
          <w:p w:rsidR="00BD4C4B" w:rsidP="00BD4C4B" w14:paraId="7C2602BD" w14:textId="77777777">
            <w:pPr>
              <w:spacing w:after="0" w:line="240" w:lineRule="auto"/>
              <w:rPr>
                <w:rFonts w:ascii="Candara" w:eastAsia="Candara" w:hAnsi="Candara" w:cs="Candara"/>
                <w:sz w:val="18"/>
                <w:szCs w:val="18"/>
              </w:rPr>
            </w:pPr>
          </w:p>
        </w:tc>
        <w:tc>
          <w:tcPr>
            <w:tcW w:w="946" w:type="dxa"/>
            <w:vMerge/>
            <w:shd w:val="clear" w:color="auto" w:fill="FFFFFF"/>
            <w:vAlign w:val="center"/>
          </w:tcPr>
          <w:p w:rsidR="00BD4C4B" w:rsidP="00BD4C4B" w14:paraId="5944037F"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BD4C4B" w:rsidP="00860A6B" w14:paraId="2146FC46" w14:textId="77777777">
            <w:pPr>
              <w:spacing w:after="0" w:line="240" w:lineRule="auto"/>
              <w:rPr>
                <w:rFonts w:ascii="Candara" w:eastAsia="Candara" w:hAnsi="Candara" w:cs="Candara"/>
                <w:sz w:val="18"/>
                <w:szCs w:val="18"/>
              </w:rPr>
            </w:pPr>
            <w:r>
              <w:rPr>
                <w:rFonts w:ascii="Candara" w:eastAsia="Candara" w:hAnsi="Candara" w:cs="Candara"/>
                <w:sz w:val="18"/>
                <w:szCs w:val="18"/>
              </w:rPr>
              <w:t>Starptautiskās sadarbības programmas zinātnē un tehnoloģiju attīstībā</w:t>
            </w:r>
          </w:p>
        </w:tc>
        <w:tc>
          <w:tcPr>
            <w:tcW w:w="5700" w:type="dxa"/>
            <w:shd w:val="clear" w:color="auto" w:fill="FFFFFF"/>
            <w:vAlign w:val="center"/>
          </w:tcPr>
          <w:p w:rsidR="00BD4C4B" w:rsidP="00860A6B" w14:paraId="3B48DACD"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Saskaņā </w:t>
            </w:r>
            <w:r>
              <w:rPr>
                <w:rFonts w:ascii="Candara" w:eastAsia="Candara" w:hAnsi="Candara" w:cs="Candara"/>
                <w:sz w:val="18"/>
                <w:szCs w:val="18"/>
              </w:rPr>
              <w:t>ar katras programmas ieviešanas nosacījumiem</w:t>
            </w:r>
          </w:p>
        </w:tc>
        <w:tc>
          <w:tcPr>
            <w:tcW w:w="3060" w:type="dxa"/>
            <w:shd w:val="clear" w:color="auto" w:fill="FFFFFF"/>
            <w:vAlign w:val="center"/>
          </w:tcPr>
          <w:p w:rsidR="00BD4C4B" w:rsidP="002231F4" w14:paraId="74FECE59"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Laika posmā no 2014. līdz 2017. gadam noslēgti </w:t>
            </w:r>
            <w:r w:rsidR="002231F4">
              <w:rPr>
                <w:rFonts w:ascii="Candara" w:eastAsia="Candara" w:hAnsi="Candara" w:cs="Candara"/>
                <w:sz w:val="18"/>
                <w:szCs w:val="18"/>
              </w:rPr>
              <w:t>104</w:t>
            </w:r>
            <w:r>
              <w:rPr>
                <w:rFonts w:ascii="Candara" w:eastAsia="Candara" w:hAnsi="Candara" w:cs="Candara"/>
                <w:sz w:val="18"/>
                <w:szCs w:val="18"/>
              </w:rPr>
              <w:t xml:space="preserve"> līgumi ar kopējo valsts budžeta finansējuma apmēru – </w:t>
            </w:r>
            <w:r w:rsidR="002231F4">
              <w:rPr>
                <w:rFonts w:ascii="Candara" w:eastAsia="Candara" w:hAnsi="Candara" w:cs="Candara"/>
                <w:sz w:val="18"/>
                <w:szCs w:val="18"/>
              </w:rPr>
              <w:t>11,18</w:t>
            </w:r>
            <w:r w:rsidR="000D1418">
              <w:rPr>
                <w:rFonts w:ascii="Candara" w:eastAsia="Candara" w:hAnsi="Candara" w:cs="Candara"/>
                <w:sz w:val="18"/>
                <w:szCs w:val="18"/>
              </w:rPr>
              <w:t> </w:t>
            </w:r>
            <w:r>
              <w:rPr>
                <w:rFonts w:ascii="Candara" w:eastAsia="Candara" w:hAnsi="Candara" w:cs="Candara"/>
                <w:sz w:val="18"/>
                <w:szCs w:val="18"/>
              </w:rPr>
              <w:t xml:space="preserve">MEUR </w:t>
            </w:r>
            <w:r>
              <w:rPr>
                <w:rFonts w:ascii="Candara" w:eastAsia="Candara" w:hAnsi="Candara" w:cs="Candara"/>
                <w:sz w:val="18"/>
                <w:szCs w:val="18"/>
              </w:rPr>
              <w:t xml:space="preserve">un </w:t>
            </w:r>
            <w:r>
              <w:rPr>
                <w:rFonts w:ascii="Candara" w:eastAsia="Candara" w:hAnsi="Candara" w:cs="Candara"/>
                <w:sz w:val="18"/>
                <w:szCs w:val="18"/>
              </w:rPr>
              <w:t>to ietvaros</w:t>
            </w:r>
            <w:r>
              <w:rPr>
                <w:rFonts w:ascii="Candara" w:eastAsia="Candara" w:hAnsi="Candara" w:cs="Candara"/>
                <w:sz w:val="18"/>
                <w:szCs w:val="18"/>
              </w:rPr>
              <w:t xml:space="preserve"> jaunizveidotas </w:t>
            </w:r>
            <w:r w:rsidR="002231F4">
              <w:rPr>
                <w:rFonts w:ascii="Candara" w:eastAsia="Candara" w:hAnsi="Candara" w:cs="Candara"/>
                <w:sz w:val="18"/>
                <w:szCs w:val="18"/>
              </w:rPr>
              <w:t>32,42</w:t>
            </w:r>
            <w:r>
              <w:rPr>
                <w:rFonts w:ascii="Candara" w:eastAsia="Candara" w:hAnsi="Candara" w:cs="Candara"/>
                <w:sz w:val="18"/>
                <w:szCs w:val="18"/>
              </w:rPr>
              <w:t xml:space="preserve"> zinātnisko darbinieku darba vietas</w:t>
            </w:r>
            <w:r w:rsidR="00133ACC">
              <w:rPr>
                <w:rFonts w:ascii="Candara" w:eastAsia="Candara" w:hAnsi="Candara" w:cs="Candara"/>
                <w:sz w:val="18"/>
                <w:szCs w:val="18"/>
              </w:rPr>
              <w:t>.</w:t>
            </w:r>
          </w:p>
        </w:tc>
      </w:tr>
      <w:tr w14:paraId="36CD26D1" w14:textId="77777777" w:rsidTr="00324F94">
        <w:tblPrEx>
          <w:tblW w:w="13948" w:type="dxa"/>
          <w:tblInd w:w="-115" w:type="dxa"/>
          <w:tblLayout w:type="fixed"/>
          <w:tblLook w:val="0400"/>
        </w:tblPrEx>
        <w:trPr>
          <w:trHeight w:val="540"/>
        </w:trPr>
        <w:tc>
          <w:tcPr>
            <w:tcW w:w="1858" w:type="dxa"/>
            <w:vMerge/>
            <w:shd w:val="clear" w:color="auto" w:fill="FFFFFF"/>
            <w:vAlign w:val="center"/>
          </w:tcPr>
          <w:p w:rsidR="00BD4C4B" w:rsidP="00BD4C4B" w14:paraId="09572D0A" w14:textId="77777777">
            <w:pPr>
              <w:spacing w:after="0" w:line="240" w:lineRule="auto"/>
              <w:rPr>
                <w:rFonts w:ascii="Candara" w:eastAsia="Candara" w:hAnsi="Candara" w:cs="Candara"/>
                <w:sz w:val="18"/>
                <w:szCs w:val="18"/>
              </w:rPr>
            </w:pPr>
          </w:p>
        </w:tc>
        <w:tc>
          <w:tcPr>
            <w:tcW w:w="946" w:type="dxa"/>
            <w:vMerge/>
            <w:shd w:val="clear" w:color="auto" w:fill="FFFFFF"/>
            <w:vAlign w:val="center"/>
          </w:tcPr>
          <w:p w:rsidR="00BD4C4B" w:rsidP="00BD4C4B" w14:paraId="70678C68"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BD4C4B" w:rsidP="00860A6B" w14:paraId="4F825F53" w14:textId="77777777">
            <w:pPr>
              <w:spacing w:after="0" w:line="240" w:lineRule="auto"/>
              <w:rPr>
                <w:rFonts w:ascii="Candara" w:eastAsia="Candara" w:hAnsi="Candara" w:cs="Candara"/>
                <w:sz w:val="18"/>
                <w:szCs w:val="18"/>
              </w:rPr>
            </w:pPr>
            <w:r>
              <w:rPr>
                <w:rFonts w:ascii="Candara" w:eastAsia="Candara" w:hAnsi="Candara" w:cs="Candara"/>
                <w:sz w:val="18"/>
                <w:szCs w:val="18"/>
              </w:rPr>
              <w:t>FLPP</w:t>
            </w:r>
          </w:p>
        </w:tc>
        <w:tc>
          <w:tcPr>
            <w:tcW w:w="5700" w:type="dxa"/>
            <w:shd w:val="clear" w:color="auto" w:fill="FFFFFF"/>
            <w:vAlign w:val="center"/>
          </w:tcPr>
          <w:p w:rsidR="00BD4C4B" w:rsidP="00860A6B" w14:paraId="578FE292" w14:textId="77777777">
            <w:pPr>
              <w:spacing w:after="0" w:line="240" w:lineRule="auto"/>
              <w:rPr>
                <w:rFonts w:ascii="Candara" w:eastAsia="Candara" w:hAnsi="Candara" w:cs="Candara"/>
                <w:sz w:val="18"/>
                <w:szCs w:val="18"/>
              </w:rPr>
            </w:pPr>
            <w:r>
              <w:rPr>
                <w:rFonts w:ascii="Candara" w:eastAsia="Candara" w:hAnsi="Candara" w:cs="Candara"/>
                <w:sz w:val="18"/>
                <w:szCs w:val="18"/>
              </w:rPr>
              <w:t>Projektu pieteikumi, kas nodoti vērtēšanai, jau ietver projekta vadītāju, galvenos izpildītājus un izpildītājus. To zinātniskā kvalifikācija ir viens no projektu pieteikumu vērtēšanas kritērijiem. Netiek uzskaitīts</w:t>
            </w:r>
            <w:r w:rsidR="005E51CA">
              <w:rPr>
                <w:rFonts w:ascii="Candara" w:eastAsia="Candara" w:hAnsi="Candara" w:cs="Candara"/>
                <w:sz w:val="18"/>
                <w:szCs w:val="18"/>
              </w:rPr>
              <w:t>,</w:t>
            </w:r>
            <w:r>
              <w:rPr>
                <w:rFonts w:ascii="Candara" w:eastAsia="Candara" w:hAnsi="Candara" w:cs="Candara"/>
                <w:sz w:val="18"/>
                <w:szCs w:val="18"/>
              </w:rPr>
              <w:t xml:space="preserve"> vai šie darbinieki ir jau darba attiecībās ar ZI,  vai arī darba attiecības ar ZI izveidos no jauna  vai atjaunos. Tikai atsevišķos gadījumos projekts paredz piesaistīt doktorantūras studentus kā izpildītājus, iepriekš viņus nenosaucot</w:t>
            </w:r>
          </w:p>
        </w:tc>
        <w:tc>
          <w:tcPr>
            <w:tcW w:w="3060" w:type="dxa"/>
            <w:shd w:val="clear" w:color="auto" w:fill="FFFFFF"/>
            <w:vAlign w:val="center"/>
          </w:tcPr>
          <w:p w:rsidR="00BD4C4B" w:rsidP="00860A6B" w14:paraId="45F3D8B3"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Nav iegūti rezultāti šajā rādītājā</w:t>
            </w:r>
          </w:p>
        </w:tc>
      </w:tr>
      <w:tr w14:paraId="793163AE" w14:textId="77777777" w:rsidTr="00324F94">
        <w:tblPrEx>
          <w:tblW w:w="13948" w:type="dxa"/>
          <w:tblInd w:w="-115" w:type="dxa"/>
          <w:tblLayout w:type="fixed"/>
          <w:tblLook w:val="0400"/>
        </w:tblPrEx>
        <w:trPr>
          <w:trHeight w:val="620"/>
        </w:trPr>
        <w:tc>
          <w:tcPr>
            <w:tcW w:w="1858" w:type="dxa"/>
            <w:vMerge w:val="restart"/>
            <w:shd w:val="clear" w:color="auto" w:fill="FFFFFF"/>
            <w:vAlign w:val="center"/>
          </w:tcPr>
          <w:p w:rsidR="00BD4C4B" w:rsidP="00BD4C4B" w14:paraId="7756E6F4"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H2020 apstiprināto projektu iesniegumu piesaistītais finansējums (LV daļa; EUR)</w:t>
            </w:r>
          </w:p>
        </w:tc>
        <w:tc>
          <w:tcPr>
            <w:tcW w:w="946" w:type="dxa"/>
            <w:vMerge w:val="restart"/>
            <w:shd w:val="clear" w:color="auto" w:fill="FFFFFF"/>
            <w:vAlign w:val="center"/>
          </w:tcPr>
          <w:p w:rsidR="00BD4C4B" w:rsidP="00BD4C4B" w14:paraId="5BE72656"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p w:rsidR="00BD4C4B" w:rsidP="00BD4C4B" w14:paraId="4DB68948" w14:textId="77777777">
            <w:pPr>
              <w:spacing w:after="0" w:line="240" w:lineRule="auto"/>
              <w:rPr>
                <w:rFonts w:ascii="Candara" w:eastAsia="Candara" w:hAnsi="Candara" w:cs="Candara"/>
                <w:sz w:val="18"/>
                <w:szCs w:val="18"/>
              </w:rPr>
            </w:pPr>
          </w:p>
          <w:p w:rsidR="00BD4C4B" w:rsidP="00BD4C4B" w14:paraId="6EBD7967"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75E753FC" w14:textId="77777777">
            <w:pPr>
              <w:spacing w:after="0" w:line="240" w:lineRule="auto"/>
              <w:rPr>
                <w:rFonts w:ascii="Candara" w:eastAsia="Candara" w:hAnsi="Candara" w:cs="Candara"/>
                <w:sz w:val="18"/>
                <w:szCs w:val="18"/>
              </w:rPr>
            </w:pPr>
            <w:r>
              <w:rPr>
                <w:rFonts w:ascii="Candara" w:eastAsia="Candara" w:hAnsi="Candara" w:cs="Candara"/>
                <w:sz w:val="18"/>
                <w:szCs w:val="18"/>
              </w:rPr>
              <w:t>Starptautiskā sadarbība zinātnē (1115)</w:t>
            </w:r>
          </w:p>
        </w:tc>
        <w:tc>
          <w:tcPr>
            <w:tcW w:w="5700" w:type="dxa"/>
            <w:shd w:val="clear" w:color="auto" w:fill="FFFFFF"/>
            <w:vAlign w:val="center"/>
          </w:tcPr>
          <w:p w:rsidR="00BD4C4B" w:rsidP="00860A6B" w14:paraId="468DD638" w14:textId="77777777">
            <w:pPr>
              <w:spacing w:after="0" w:line="240" w:lineRule="auto"/>
              <w:rPr>
                <w:rFonts w:ascii="Candara" w:eastAsia="Candara" w:hAnsi="Candara" w:cs="Candara"/>
                <w:sz w:val="18"/>
                <w:szCs w:val="18"/>
              </w:rPr>
            </w:pPr>
            <w:r>
              <w:rPr>
                <w:rFonts w:ascii="Candara" w:eastAsia="Candara" w:hAnsi="Candara" w:cs="Candara"/>
                <w:sz w:val="18"/>
                <w:szCs w:val="18"/>
              </w:rPr>
              <w:t>- atbalsts virs kvalitātes sliekšņa novērtētu projektu pieteikumu izstrādei programmā “Apvārsnis 2020”, t.sk. lielāku atbalsta paredzot projektu pieteikumu izstrādei, kuros Latvijas dalībnieks ir projekta koordinators;</w:t>
            </w:r>
          </w:p>
          <w:p w:rsidR="00BD4C4B" w:rsidP="00860A6B" w14:paraId="4A5FFCEF"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 atbalsts programmā “Apvārsnis 2020” ECSEL kopuzņēmuma ietvaros apstiprināta projekta atsevišķas  darba paketes īstenošanai </w:t>
            </w:r>
          </w:p>
        </w:tc>
        <w:tc>
          <w:tcPr>
            <w:tcW w:w="3060" w:type="dxa"/>
            <w:shd w:val="clear" w:color="auto" w:fill="FFFFFF"/>
            <w:vAlign w:val="center"/>
          </w:tcPr>
          <w:p w:rsidR="00BD4C4B" w:rsidP="00665B3B" w14:paraId="5F772774" w14:textId="3813D319">
            <w:pPr>
              <w:spacing w:after="0" w:line="240" w:lineRule="auto"/>
              <w:jc w:val="both"/>
              <w:rPr>
                <w:rFonts w:ascii="Candara" w:eastAsia="Candara" w:hAnsi="Candara" w:cs="Candara"/>
                <w:sz w:val="18"/>
                <w:szCs w:val="18"/>
              </w:rPr>
            </w:pPr>
            <w:r>
              <w:rPr>
                <w:rFonts w:ascii="Candara" w:eastAsia="Candara" w:hAnsi="Candara" w:cs="Candara"/>
                <w:sz w:val="18"/>
                <w:szCs w:val="18"/>
              </w:rPr>
              <w:t>I</w:t>
            </w:r>
            <w:r>
              <w:rPr>
                <w:rFonts w:ascii="Candara" w:eastAsia="Candara" w:hAnsi="Candara" w:cs="Candara"/>
                <w:sz w:val="18"/>
                <w:szCs w:val="18"/>
              </w:rPr>
              <w:t xml:space="preserve">evērojot, ka projektu uzsākšanas indikatīvais termiņš 2018.g. </w:t>
            </w:r>
            <w:r w:rsidR="00665B3B">
              <w:rPr>
                <w:rFonts w:ascii="Candara" w:eastAsia="Candara" w:hAnsi="Candara" w:cs="Candara"/>
                <w:sz w:val="18"/>
                <w:szCs w:val="18"/>
              </w:rPr>
              <w:t>II</w:t>
            </w:r>
            <w:r>
              <w:rPr>
                <w:rFonts w:ascii="Candara" w:eastAsia="Candara" w:hAnsi="Candara" w:cs="Candara"/>
                <w:sz w:val="18"/>
                <w:szCs w:val="18"/>
              </w:rPr>
              <w:t xml:space="preserve"> ceturksnis, vēl nav sasniegti rezultāti vai uzņemtas saistības</w:t>
            </w:r>
          </w:p>
        </w:tc>
      </w:tr>
      <w:tr w14:paraId="6B00B98F" w14:textId="77777777" w:rsidTr="00324F94">
        <w:tblPrEx>
          <w:tblW w:w="13948" w:type="dxa"/>
          <w:tblInd w:w="-115" w:type="dxa"/>
          <w:tblLayout w:type="fixed"/>
          <w:tblLook w:val="0400"/>
        </w:tblPrEx>
        <w:trPr>
          <w:trHeight w:val="840"/>
        </w:trPr>
        <w:tc>
          <w:tcPr>
            <w:tcW w:w="1858" w:type="dxa"/>
            <w:vMerge/>
            <w:shd w:val="clear" w:color="auto" w:fill="FFFFFF"/>
            <w:vAlign w:val="center"/>
          </w:tcPr>
          <w:p w:rsidR="00BD4C4B" w:rsidP="00BD4C4B" w14:paraId="76CA028B"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3ED083E9"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60614D65" w14:textId="77777777">
            <w:pPr>
              <w:spacing w:after="0" w:line="240" w:lineRule="auto"/>
              <w:rPr>
                <w:rFonts w:ascii="Candara" w:eastAsia="Candara" w:hAnsi="Candara" w:cs="Candara"/>
                <w:sz w:val="18"/>
                <w:szCs w:val="18"/>
              </w:rPr>
            </w:pPr>
            <w:r>
              <w:rPr>
                <w:rFonts w:ascii="Candara" w:eastAsia="Candara" w:hAnsi="Candara" w:cs="Candara"/>
                <w:sz w:val="18"/>
                <w:szCs w:val="18"/>
              </w:rPr>
              <w:t>TPP (Tehnoloģiju pārnese, Inovāciju vaučeri, augstas kvalif. darbinieki) (1212)</w:t>
            </w:r>
          </w:p>
        </w:tc>
        <w:tc>
          <w:tcPr>
            <w:tcW w:w="5700" w:type="dxa"/>
            <w:shd w:val="clear" w:color="auto" w:fill="FFFFFF"/>
            <w:vAlign w:val="center"/>
          </w:tcPr>
          <w:p w:rsidR="00BD4C4B" w:rsidP="00860A6B" w14:paraId="0FE30E09" w14:textId="77777777">
            <w:pPr>
              <w:spacing w:after="0" w:line="240" w:lineRule="auto"/>
              <w:rPr>
                <w:rFonts w:ascii="Candara" w:eastAsia="Candara" w:hAnsi="Candara" w:cs="Candara"/>
                <w:sz w:val="18"/>
                <w:szCs w:val="18"/>
              </w:rPr>
            </w:pPr>
            <w:r>
              <w:rPr>
                <w:rFonts w:ascii="Candara" w:eastAsia="Candara" w:hAnsi="Candara" w:cs="Candara"/>
                <w:sz w:val="18"/>
                <w:szCs w:val="18"/>
              </w:rPr>
              <w:t>Inovāciju vaučeris:</w:t>
            </w:r>
          </w:p>
          <w:p w:rsidR="00BD4C4B" w:rsidP="00860A6B" w14:paraId="149E29CB" w14:textId="77777777">
            <w:pPr>
              <w:spacing w:after="0" w:line="240" w:lineRule="auto"/>
              <w:rPr>
                <w:rFonts w:ascii="Candara" w:eastAsia="Candara" w:hAnsi="Candara" w:cs="Candara"/>
                <w:sz w:val="18"/>
                <w:szCs w:val="18"/>
              </w:rPr>
            </w:pPr>
            <w:r>
              <w:rPr>
                <w:rFonts w:ascii="Candara" w:eastAsia="Candara" w:hAnsi="Candara" w:cs="Candara"/>
                <w:sz w:val="18"/>
                <w:szCs w:val="18"/>
              </w:rPr>
              <w:t>Programmas kvalitātes kritērijos papildus punktus iespējams saņemt, ja projekts iepriekš H2020 programmas ietvaros ticis novērtēts virs kvalitātes sliekšņa  un saņēmis Seal of excellence apliecinājumu</w:t>
            </w:r>
          </w:p>
        </w:tc>
        <w:tc>
          <w:tcPr>
            <w:tcW w:w="3060" w:type="dxa"/>
            <w:shd w:val="clear" w:color="auto" w:fill="FFFFFF"/>
            <w:vAlign w:val="center"/>
          </w:tcPr>
          <w:p w:rsidR="00BD4C4B" w:rsidP="00860A6B" w14:paraId="12B5FEE8" w14:textId="7B7E70AA">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Programmas </w:t>
            </w:r>
            <w:r w:rsidR="00D43AE0">
              <w:rPr>
                <w:rFonts w:ascii="Candara" w:eastAsia="Candara" w:hAnsi="Candara" w:cs="Candara"/>
                <w:sz w:val="18"/>
                <w:szCs w:val="18"/>
              </w:rPr>
              <w:t>ietvaros sākot ar 2018.gada aprīli būs iespējams saņemt atbalstu H2020 SME instrumenta 1.fāzes Seal of Excellence projektiem</w:t>
            </w:r>
          </w:p>
        </w:tc>
      </w:tr>
      <w:tr w14:paraId="71E7070F" w14:textId="77777777" w:rsidTr="00324F94">
        <w:tblPrEx>
          <w:tblW w:w="13948" w:type="dxa"/>
          <w:tblInd w:w="-115" w:type="dxa"/>
          <w:tblLayout w:type="fixed"/>
          <w:tblLook w:val="0400"/>
        </w:tblPrEx>
        <w:trPr>
          <w:trHeight w:val="420"/>
        </w:trPr>
        <w:tc>
          <w:tcPr>
            <w:tcW w:w="1858" w:type="dxa"/>
            <w:vMerge/>
            <w:shd w:val="clear" w:color="auto" w:fill="FFFFFF"/>
            <w:vAlign w:val="center"/>
          </w:tcPr>
          <w:p w:rsidR="00BD4C4B" w:rsidP="00BD4C4B" w14:paraId="15DB9465" w14:textId="77777777">
            <w:pPr>
              <w:spacing w:after="0" w:line="240" w:lineRule="auto"/>
              <w:rPr>
                <w:rFonts w:ascii="Candara" w:eastAsia="Candara" w:hAnsi="Candara" w:cs="Candara"/>
                <w:sz w:val="18"/>
                <w:szCs w:val="18"/>
              </w:rPr>
            </w:pPr>
          </w:p>
        </w:tc>
        <w:tc>
          <w:tcPr>
            <w:tcW w:w="946" w:type="dxa"/>
            <w:vMerge w:val="restart"/>
            <w:shd w:val="clear" w:color="auto" w:fill="FFFFFF"/>
            <w:vAlign w:val="center"/>
          </w:tcPr>
          <w:p w:rsidR="00BD4C4B" w:rsidP="00BD4C4B" w14:paraId="23D89A78"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767EBA" w:rsidP="00BD4C4B" w14:paraId="47AAB4C7"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(IZM)</w:t>
            </w:r>
          </w:p>
          <w:p w:rsidR="00BD4C4B" w:rsidP="00BD4C4B" w14:paraId="7AE5FF32"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BD4C4B" w:rsidP="00860A6B" w14:paraId="647C1740" w14:textId="77777777">
            <w:pPr>
              <w:spacing w:after="0" w:line="240" w:lineRule="auto"/>
              <w:rPr>
                <w:rFonts w:ascii="Candara" w:eastAsia="Candara" w:hAnsi="Candara" w:cs="Candara"/>
                <w:sz w:val="18"/>
                <w:szCs w:val="18"/>
              </w:rPr>
            </w:pPr>
            <w:r>
              <w:rPr>
                <w:rFonts w:ascii="Candara" w:eastAsia="Candara" w:hAnsi="Candara" w:cs="Candara"/>
                <w:sz w:val="18"/>
                <w:szCs w:val="18"/>
              </w:rPr>
              <w:t>“Baltic Bonus” iniciatīva</w:t>
            </w:r>
          </w:p>
        </w:tc>
        <w:tc>
          <w:tcPr>
            <w:tcW w:w="5700" w:type="dxa"/>
            <w:shd w:val="clear" w:color="auto" w:fill="FFFFFF"/>
            <w:vAlign w:val="center"/>
          </w:tcPr>
          <w:p w:rsidR="00BD4C4B" w:rsidP="00860A6B" w14:paraId="0794D648"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 - 2014.-2016. gadā īstenotajā Baltic Bonus programmā atbalsta apmērs par virs kvalitātes sliekšņa novērtētu projekta pieteikumu programmā “Apvārsnis 2020” diferencēts, atkarībā no (a) apakšprogrammas, kurā iesniegts projekts; (b) Latvijas dalībnieka kā projekta iesniedzēja statusa (koordinators/partneris) - apjomīgāku projekta izstrādes atbalstu paredzot finansiāli ietilpīgajiem projektiem un koordinatoru projektiem</w:t>
            </w:r>
          </w:p>
        </w:tc>
        <w:tc>
          <w:tcPr>
            <w:tcW w:w="3060" w:type="dxa"/>
            <w:shd w:val="clear" w:color="auto" w:fill="FFFFFF"/>
            <w:vAlign w:val="center"/>
          </w:tcPr>
          <w:p w:rsidR="00BD4C4B" w:rsidP="00860A6B" w14:paraId="73ED4E70"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Sniegts projekta pieteikuma izstrādes atbalsts 19 programmā “Apvārsnis 2020” īstenošanai apstiprinātiem projektiem, kas kopsummā īstenošanai ieguvuši </w:t>
            </w:r>
            <w:r>
              <w:rPr>
                <w:rFonts w:ascii="Candara" w:eastAsia="Candara" w:hAnsi="Candara" w:cs="Candara"/>
                <w:b/>
                <w:sz w:val="18"/>
                <w:szCs w:val="18"/>
              </w:rPr>
              <w:t>1,71 MEUR</w:t>
            </w:r>
            <w:r>
              <w:rPr>
                <w:rFonts w:ascii="Candara" w:eastAsia="Candara" w:hAnsi="Candara" w:cs="Candara"/>
                <w:sz w:val="18"/>
                <w:szCs w:val="18"/>
              </w:rPr>
              <w:t xml:space="preserve"> starptautiskā finansējuma  (8 projekti 2015. gadā ar 0,37 MEUR EK līdzfinansējuma un 11 - 2016. gadā ar </w:t>
            </w:r>
            <w:r>
              <w:rPr>
                <w:rFonts w:ascii="Candara" w:eastAsia="Candara" w:hAnsi="Candara" w:cs="Candara"/>
                <w:sz w:val="18"/>
                <w:szCs w:val="18"/>
              </w:rPr>
              <w:t>1,34 MEUR EK līdzfinansējuma to īstenošanai)</w:t>
            </w:r>
          </w:p>
        </w:tc>
      </w:tr>
      <w:tr w14:paraId="3C32B5D2" w14:textId="77777777" w:rsidTr="00324F94">
        <w:tblPrEx>
          <w:tblW w:w="13948" w:type="dxa"/>
          <w:tblInd w:w="-115" w:type="dxa"/>
          <w:tblLayout w:type="fixed"/>
          <w:tblLook w:val="0400"/>
        </w:tblPrEx>
        <w:trPr>
          <w:trHeight w:val="420"/>
        </w:trPr>
        <w:tc>
          <w:tcPr>
            <w:tcW w:w="1858" w:type="dxa"/>
            <w:vMerge/>
            <w:shd w:val="clear" w:color="auto" w:fill="FFFFFF"/>
            <w:vAlign w:val="center"/>
          </w:tcPr>
          <w:p w:rsidR="00BD4C4B" w:rsidP="00BD4C4B" w14:paraId="4706CBB3" w14:textId="77777777">
            <w:pPr>
              <w:spacing w:after="0" w:line="240" w:lineRule="auto"/>
              <w:rPr>
                <w:rFonts w:ascii="Candara" w:eastAsia="Candara" w:hAnsi="Candara" w:cs="Candara"/>
                <w:sz w:val="18"/>
                <w:szCs w:val="18"/>
              </w:rPr>
            </w:pPr>
          </w:p>
        </w:tc>
        <w:tc>
          <w:tcPr>
            <w:tcW w:w="946" w:type="dxa"/>
            <w:vMerge/>
            <w:shd w:val="clear" w:color="auto" w:fill="FFFFFF"/>
            <w:vAlign w:val="center"/>
          </w:tcPr>
          <w:p w:rsidR="00BD4C4B" w:rsidP="00BD4C4B" w14:paraId="6AC1789A"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BD4C4B" w:rsidP="00860A6B" w14:paraId="1B3C9F56" w14:textId="77777777">
            <w:pPr>
              <w:spacing w:after="0" w:line="240" w:lineRule="auto"/>
              <w:rPr>
                <w:rFonts w:ascii="Candara" w:eastAsia="Candara" w:hAnsi="Candara" w:cs="Candara"/>
                <w:sz w:val="18"/>
                <w:szCs w:val="18"/>
              </w:rPr>
            </w:pPr>
            <w:r>
              <w:rPr>
                <w:rFonts w:ascii="Candara" w:eastAsia="Candara" w:hAnsi="Candara" w:cs="Candara"/>
                <w:sz w:val="18"/>
                <w:szCs w:val="18"/>
              </w:rPr>
              <w:t>Valsts pētījumu programmas 2014-2017</w:t>
            </w:r>
          </w:p>
        </w:tc>
        <w:tc>
          <w:tcPr>
            <w:tcW w:w="57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D4C4B" w:rsidP="00860A6B" w14:paraId="7FB97596" w14:textId="77777777">
            <w:pPr>
              <w:spacing w:after="0" w:line="276" w:lineRule="auto"/>
              <w:rPr>
                <w:rFonts w:ascii="Candara" w:eastAsia="Candara" w:hAnsi="Candara" w:cs="Candara"/>
                <w:sz w:val="18"/>
                <w:szCs w:val="18"/>
              </w:rPr>
            </w:pPr>
            <w:r>
              <w:rPr>
                <w:rFonts w:ascii="Candara" w:eastAsia="Candara" w:hAnsi="Candara" w:cs="Candara"/>
                <w:sz w:val="18"/>
                <w:szCs w:val="18"/>
              </w:rPr>
              <w:t>Vērtēšanas nosacījumi paredz Latvijas integrācijas procesu vienotā Eiropas pētniecības telpā un zinātniskās kvalitātes starpposmu vērtēšanā kā rezultatīvo rādītāju iesniegto pieteikumu H2020 skaitu</w:t>
            </w:r>
          </w:p>
        </w:tc>
        <w:tc>
          <w:tcPr>
            <w:tcW w:w="30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D4C4B" w:rsidP="00860A6B" w14:paraId="08E10969" w14:textId="77777777">
            <w:pPr>
              <w:spacing w:after="0" w:line="276" w:lineRule="auto"/>
              <w:jc w:val="both"/>
              <w:rPr>
                <w:rFonts w:ascii="Candara" w:eastAsia="Candara" w:hAnsi="Candara" w:cs="Candara"/>
                <w:sz w:val="18"/>
                <w:szCs w:val="18"/>
              </w:rPr>
            </w:pPr>
            <w:r>
              <w:rPr>
                <w:rFonts w:ascii="Candara" w:eastAsia="Candara" w:hAnsi="Candara" w:cs="Candara"/>
                <w:sz w:val="18"/>
                <w:szCs w:val="18"/>
              </w:rPr>
              <w:t>Iesniegti 34 pieteikumi, nav informācijas par apstiprināto pieteikumu skaitu</w:t>
            </w:r>
          </w:p>
        </w:tc>
      </w:tr>
      <w:tr w14:paraId="63842784" w14:textId="77777777" w:rsidTr="00324F94">
        <w:tblPrEx>
          <w:tblW w:w="13948" w:type="dxa"/>
          <w:tblInd w:w="-115" w:type="dxa"/>
          <w:tblLayout w:type="fixed"/>
          <w:tblLook w:val="0400"/>
        </w:tblPrEx>
        <w:trPr>
          <w:trHeight w:val="420"/>
        </w:trPr>
        <w:tc>
          <w:tcPr>
            <w:tcW w:w="1858" w:type="dxa"/>
            <w:vMerge/>
            <w:shd w:val="clear" w:color="auto" w:fill="FFFFFF"/>
            <w:vAlign w:val="center"/>
          </w:tcPr>
          <w:p w:rsidR="00BD4C4B" w:rsidP="00BD4C4B" w14:paraId="0076075E" w14:textId="77777777">
            <w:pPr>
              <w:spacing w:after="0" w:line="240" w:lineRule="auto"/>
              <w:rPr>
                <w:rFonts w:ascii="Candara" w:eastAsia="Candara" w:hAnsi="Candara" w:cs="Candara"/>
                <w:sz w:val="18"/>
                <w:szCs w:val="18"/>
              </w:rPr>
            </w:pPr>
          </w:p>
        </w:tc>
        <w:tc>
          <w:tcPr>
            <w:tcW w:w="946" w:type="dxa"/>
            <w:vMerge/>
            <w:shd w:val="clear" w:color="auto" w:fill="FFFFFF"/>
            <w:vAlign w:val="center"/>
          </w:tcPr>
          <w:p w:rsidR="00BD4C4B" w:rsidP="00BD4C4B" w14:paraId="4B055EF7"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BD4C4B" w:rsidP="00860A6B" w14:paraId="2818FDF4" w14:textId="77777777">
            <w:pPr>
              <w:spacing w:after="0" w:line="240" w:lineRule="auto"/>
              <w:rPr>
                <w:rFonts w:ascii="Candara" w:eastAsia="Candara" w:hAnsi="Candara" w:cs="Candara"/>
                <w:sz w:val="18"/>
                <w:szCs w:val="18"/>
              </w:rPr>
            </w:pPr>
            <w:r>
              <w:rPr>
                <w:rFonts w:ascii="Candara" w:eastAsia="Candara" w:hAnsi="Candara" w:cs="Candara"/>
                <w:sz w:val="18"/>
                <w:szCs w:val="18"/>
              </w:rPr>
              <w:t>FLPP</w:t>
            </w:r>
          </w:p>
        </w:tc>
        <w:tc>
          <w:tcPr>
            <w:tcW w:w="5700" w:type="dxa"/>
            <w:shd w:val="clear" w:color="auto" w:fill="FFFFFF"/>
            <w:vAlign w:val="center"/>
          </w:tcPr>
          <w:p w:rsidR="00BD4C4B" w:rsidP="00860A6B" w14:paraId="61D33EDF" w14:textId="77777777">
            <w:pPr>
              <w:spacing w:after="0" w:line="240" w:lineRule="auto"/>
              <w:rPr>
                <w:rFonts w:ascii="Candara" w:eastAsia="Candara" w:hAnsi="Candara" w:cs="Candara"/>
                <w:sz w:val="18"/>
                <w:szCs w:val="18"/>
              </w:rPr>
            </w:pPr>
            <w:r>
              <w:rPr>
                <w:rFonts w:ascii="Candara" w:eastAsia="Candara" w:hAnsi="Candara" w:cs="Candara"/>
                <w:sz w:val="18"/>
                <w:szCs w:val="18"/>
              </w:rPr>
              <w:t>Projektu pieteikumi tiek izvērtēti kā atsevišķi zinātniskie projekti, provizoriski paredzot</w:t>
            </w:r>
            <w:r w:rsidR="005E51CA">
              <w:rPr>
                <w:rFonts w:ascii="Candara" w:eastAsia="Candara" w:hAnsi="Candara" w:cs="Candara"/>
                <w:sz w:val="18"/>
                <w:szCs w:val="18"/>
              </w:rPr>
              <w:t>,</w:t>
            </w:r>
            <w:r>
              <w:rPr>
                <w:rFonts w:ascii="Candara" w:eastAsia="Candara" w:hAnsi="Candara" w:cs="Candara"/>
                <w:sz w:val="18"/>
                <w:szCs w:val="18"/>
              </w:rPr>
              <w:t xml:space="preserve"> ka to sekmīga īstenošanas uzsākšana un pabeigšana sekmēto iesaistīto zinātnieku konkurētspējas pieaugumu H2020 konkursos</w:t>
            </w:r>
          </w:p>
        </w:tc>
        <w:tc>
          <w:tcPr>
            <w:tcW w:w="3060" w:type="dxa"/>
            <w:shd w:val="clear" w:color="auto" w:fill="FFFFFF"/>
            <w:vAlign w:val="center"/>
          </w:tcPr>
          <w:p w:rsidR="00BD4C4B" w:rsidP="00860A6B" w14:paraId="001FEAED"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Nav iegūti rezultāti šajā rādītājā</w:t>
            </w:r>
          </w:p>
        </w:tc>
      </w:tr>
      <w:tr w14:paraId="0D3A5035" w14:textId="77777777" w:rsidTr="00324F94">
        <w:tblPrEx>
          <w:tblW w:w="13948" w:type="dxa"/>
          <w:tblInd w:w="-115" w:type="dxa"/>
          <w:tblLayout w:type="fixed"/>
          <w:tblLook w:val="0400"/>
        </w:tblPrEx>
        <w:trPr>
          <w:trHeight w:val="1020"/>
        </w:trPr>
        <w:tc>
          <w:tcPr>
            <w:tcW w:w="1858" w:type="dxa"/>
            <w:vMerge w:val="restart"/>
            <w:shd w:val="clear" w:color="auto" w:fill="FFFFFF"/>
            <w:vAlign w:val="center"/>
          </w:tcPr>
          <w:p w:rsidR="00BD4C4B" w:rsidP="00BD4C4B" w14:paraId="5FECCD3E"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Zinātniskie raksti, kas publicēti starptautiskās datu bāzēs indeksētos žurnālos </w:t>
            </w:r>
            <w:r>
              <w:rPr>
                <w:rFonts w:ascii="Candara" w:eastAsia="Candara" w:hAnsi="Candara" w:cs="Candara"/>
                <w:i/>
                <w:sz w:val="18"/>
                <w:szCs w:val="18"/>
              </w:rPr>
              <w:t>(Scopus, Web of Science)</w:t>
            </w:r>
          </w:p>
        </w:tc>
        <w:tc>
          <w:tcPr>
            <w:tcW w:w="946" w:type="dxa"/>
            <w:vMerge w:val="restart"/>
            <w:shd w:val="clear" w:color="auto" w:fill="FFFFFF"/>
            <w:vAlign w:val="center"/>
          </w:tcPr>
          <w:p w:rsidR="00BD4C4B" w:rsidP="00BD4C4B" w14:paraId="1A8AA708"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p w:rsidR="00BD4C4B" w:rsidP="00BD4C4B" w14:paraId="543699C6" w14:textId="77777777">
            <w:pPr>
              <w:spacing w:after="0" w:line="240" w:lineRule="auto"/>
              <w:rPr>
                <w:rFonts w:ascii="Candara" w:eastAsia="Candara" w:hAnsi="Candara" w:cs="Candara"/>
                <w:sz w:val="18"/>
                <w:szCs w:val="18"/>
              </w:rPr>
            </w:pPr>
          </w:p>
          <w:p w:rsidR="00BD4C4B" w:rsidP="00BD4C4B" w14:paraId="4DB61FCA" w14:textId="77777777">
            <w:pPr>
              <w:spacing w:after="0" w:line="240" w:lineRule="auto"/>
              <w:rPr>
                <w:rFonts w:ascii="Candara" w:eastAsia="Candara" w:hAnsi="Candara" w:cs="Candara"/>
                <w:sz w:val="18"/>
                <w:szCs w:val="18"/>
              </w:rPr>
            </w:pPr>
          </w:p>
          <w:p w:rsidR="00BD4C4B" w:rsidP="00BD4C4B" w14:paraId="5EEE6092" w14:textId="77777777">
            <w:pPr>
              <w:spacing w:after="0" w:line="240" w:lineRule="auto"/>
              <w:rPr>
                <w:rFonts w:ascii="Candara" w:eastAsia="Candara" w:hAnsi="Candara" w:cs="Candara"/>
                <w:sz w:val="18"/>
                <w:szCs w:val="18"/>
              </w:rPr>
            </w:pPr>
          </w:p>
          <w:p w:rsidR="00BD4C4B" w:rsidP="00BD4C4B" w14:paraId="79FBB939"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48FDA708" w14:textId="77777777">
            <w:pPr>
              <w:spacing w:after="0" w:line="240" w:lineRule="auto"/>
              <w:rPr>
                <w:rFonts w:ascii="Candara" w:eastAsia="Candara" w:hAnsi="Candara" w:cs="Candara"/>
                <w:sz w:val="18"/>
                <w:szCs w:val="18"/>
              </w:rPr>
            </w:pPr>
            <w:r>
              <w:rPr>
                <w:rFonts w:ascii="Candara" w:eastAsia="Candara" w:hAnsi="Candara" w:cs="Candara"/>
                <w:sz w:val="18"/>
                <w:szCs w:val="18"/>
              </w:rPr>
              <w:t>Praktiskie pētījumi (1111), Post-dok (1112), Starpt. sadarbība zinātnē (1115)</w:t>
            </w:r>
          </w:p>
        </w:tc>
        <w:tc>
          <w:tcPr>
            <w:tcW w:w="5700" w:type="dxa"/>
            <w:shd w:val="clear" w:color="auto" w:fill="FFFFFF"/>
            <w:vAlign w:val="center"/>
          </w:tcPr>
          <w:p w:rsidR="00BD4C4B" w:rsidP="00860A6B" w14:paraId="45FDCA54" w14:textId="77777777">
            <w:pPr>
              <w:spacing w:after="0" w:line="240" w:lineRule="auto"/>
              <w:rPr>
                <w:rFonts w:ascii="Candara" w:eastAsia="Candara" w:hAnsi="Candara" w:cs="Candara"/>
                <w:sz w:val="18"/>
                <w:szCs w:val="18"/>
              </w:rPr>
            </w:pPr>
            <w:r>
              <w:rPr>
                <w:rFonts w:ascii="Candara" w:eastAsia="Candara" w:hAnsi="Candara" w:cs="Candara"/>
                <w:sz w:val="18"/>
                <w:szCs w:val="18"/>
              </w:rPr>
              <w:t>- kā viens no programmu iznākuma rādītājiem noteikts projektu ietvaros izstrādāto publikāciju skaits, kas publicētas Scopus un Web of Science datu bāzēs izstrādātos žurnālos</w:t>
            </w:r>
          </w:p>
          <w:p w:rsidR="00BD4C4B" w:rsidP="00860A6B" w14:paraId="3447CBFD" w14:textId="77777777">
            <w:pPr>
              <w:spacing w:after="0" w:line="240" w:lineRule="auto"/>
              <w:rPr>
                <w:rFonts w:ascii="Candara" w:eastAsia="Candara" w:hAnsi="Candara" w:cs="Candara"/>
                <w:sz w:val="18"/>
                <w:szCs w:val="18"/>
              </w:rPr>
            </w:pPr>
            <w:r>
              <w:rPr>
                <w:rFonts w:ascii="Candara" w:eastAsia="Candara" w:hAnsi="Candara" w:cs="Candara"/>
                <w:sz w:val="18"/>
                <w:szCs w:val="18"/>
              </w:rPr>
              <w:t>- vērtēšanas nosacījumi paredz vērtēt pētījuma projekta zinātnisko kvalitāti</w:t>
            </w:r>
          </w:p>
        </w:tc>
        <w:tc>
          <w:tcPr>
            <w:tcW w:w="3060" w:type="dxa"/>
            <w:shd w:val="clear" w:color="auto" w:fill="FFFFFF"/>
            <w:vAlign w:val="center"/>
          </w:tcPr>
          <w:p w:rsidR="00BD4C4B" w:rsidP="00860A6B" w14:paraId="416969B9" w14:textId="77777777">
            <w:pPr>
              <w:spacing w:after="0" w:line="240" w:lineRule="auto"/>
              <w:jc w:val="both"/>
              <w:rPr>
                <w:rFonts w:ascii="Candara" w:eastAsia="Candara" w:hAnsi="Candara" w:cs="Candara"/>
                <w:sz w:val="18"/>
                <w:szCs w:val="18"/>
              </w:rPr>
            </w:pPr>
            <w:r>
              <w:rPr>
                <w:rFonts w:ascii="Candara" w:eastAsia="Candara" w:hAnsi="Candara" w:cs="Candara"/>
                <w:b/>
                <w:sz w:val="18"/>
                <w:szCs w:val="18"/>
              </w:rPr>
              <w:t>Praktiskie pētījum</w:t>
            </w:r>
            <w:r>
              <w:rPr>
                <w:rFonts w:ascii="Candara" w:eastAsia="Candara" w:hAnsi="Candara" w:cs="Candara"/>
                <w:sz w:val="18"/>
                <w:szCs w:val="18"/>
              </w:rPr>
              <w:t xml:space="preserve">i (1111) </w:t>
            </w:r>
            <w:r>
              <w:rPr>
                <w:rFonts w:ascii="Candara" w:eastAsia="Candara" w:hAnsi="Candara" w:cs="Candara"/>
                <w:b/>
                <w:sz w:val="18"/>
                <w:szCs w:val="18"/>
              </w:rPr>
              <w:t xml:space="preserve">- </w:t>
            </w:r>
            <w:r w:rsidR="00A03C12">
              <w:rPr>
                <w:rFonts w:ascii="Candara" w:eastAsia="Candara" w:hAnsi="Candara" w:cs="Candara"/>
                <w:b/>
                <w:sz w:val="18"/>
                <w:szCs w:val="18"/>
              </w:rPr>
              <w:t xml:space="preserve">482  </w:t>
            </w:r>
            <w:r>
              <w:rPr>
                <w:rFonts w:ascii="Candara" w:eastAsia="Candara" w:hAnsi="Candara" w:cs="Candara"/>
                <w:sz w:val="18"/>
                <w:szCs w:val="18"/>
              </w:rPr>
              <w:t xml:space="preserve">2017.g. II ceturksnī noslēgti līgumi par </w:t>
            </w:r>
            <w:r w:rsidR="00BF4CEA">
              <w:rPr>
                <w:rFonts w:ascii="Candara" w:eastAsia="Candara" w:hAnsi="Candara" w:cs="Candara"/>
                <w:sz w:val="18"/>
                <w:szCs w:val="18"/>
              </w:rPr>
              <w:t xml:space="preserve">74 </w:t>
            </w:r>
            <w:r>
              <w:rPr>
                <w:rFonts w:ascii="Candara" w:eastAsia="Candara" w:hAnsi="Candara" w:cs="Candara"/>
                <w:sz w:val="18"/>
                <w:szCs w:val="18"/>
              </w:rPr>
              <w:t>pētniecības projektu īstenošanu (kopējais publiskais fin. 39,</w:t>
            </w:r>
            <w:r w:rsidR="00BF4CEA">
              <w:rPr>
                <w:rFonts w:ascii="Candara" w:eastAsia="Candara" w:hAnsi="Candara" w:cs="Candara"/>
                <w:sz w:val="18"/>
                <w:szCs w:val="18"/>
              </w:rPr>
              <w:t xml:space="preserve">77 </w:t>
            </w:r>
            <w:r>
              <w:rPr>
                <w:rFonts w:ascii="Candara" w:eastAsia="Candara" w:hAnsi="Candara" w:cs="Candara"/>
                <w:sz w:val="18"/>
                <w:szCs w:val="18"/>
              </w:rPr>
              <w:t xml:space="preserve">MEUR), kuru īstenošanas ietvaros paredzēts izstrādāt </w:t>
            </w:r>
            <w:r w:rsidR="00A03C12">
              <w:rPr>
                <w:rFonts w:ascii="Candara" w:eastAsia="Candara" w:hAnsi="Candara" w:cs="Candara"/>
                <w:sz w:val="18"/>
                <w:szCs w:val="18"/>
              </w:rPr>
              <w:t xml:space="preserve">482 </w:t>
            </w:r>
            <w:r>
              <w:rPr>
                <w:rFonts w:ascii="Candara" w:eastAsia="Candara" w:hAnsi="Candara" w:cs="Candara"/>
                <w:sz w:val="18"/>
                <w:szCs w:val="18"/>
              </w:rPr>
              <w:t>publikācijas (oriģinālus zinātniskos rakstus)</w:t>
            </w:r>
          </w:p>
          <w:p w:rsidR="00BD4C4B" w:rsidP="00860A6B" w14:paraId="0409BC9F" w14:textId="77777777">
            <w:pPr>
              <w:spacing w:after="0" w:line="240" w:lineRule="auto"/>
              <w:jc w:val="both"/>
              <w:rPr>
                <w:rFonts w:ascii="Candara" w:eastAsia="Candara" w:hAnsi="Candara" w:cs="Candara"/>
                <w:sz w:val="18"/>
                <w:szCs w:val="18"/>
              </w:rPr>
            </w:pPr>
          </w:p>
          <w:p w:rsidR="00BD4C4B" w:rsidP="00860A6B" w14:paraId="0495CE25" w14:textId="6E3475E5">
            <w:pPr>
              <w:spacing w:after="0" w:line="240" w:lineRule="auto"/>
              <w:jc w:val="both"/>
              <w:rPr>
                <w:rFonts w:ascii="Candara" w:eastAsia="Candara" w:hAnsi="Candara" w:cs="Candara"/>
                <w:b/>
                <w:sz w:val="18"/>
                <w:szCs w:val="18"/>
              </w:rPr>
            </w:pPr>
            <w:r>
              <w:rPr>
                <w:rFonts w:ascii="Candara" w:eastAsia="Candara" w:hAnsi="Candara" w:cs="Candara"/>
                <w:b/>
                <w:sz w:val="18"/>
                <w:szCs w:val="18"/>
              </w:rPr>
              <w:t xml:space="preserve">Post-dok (1112) - </w:t>
            </w:r>
            <w:r w:rsidR="00665B3B">
              <w:rPr>
                <w:rFonts w:ascii="Candara" w:eastAsia="Candara" w:hAnsi="Candara" w:cs="Candara"/>
                <w:b/>
                <w:sz w:val="18"/>
                <w:szCs w:val="18"/>
              </w:rPr>
              <w:t xml:space="preserve">488  </w:t>
            </w:r>
          </w:p>
          <w:p w:rsidR="00665B3B" w:rsidP="00665B3B" w14:paraId="021225A1" w14:textId="06D16312">
            <w:pPr>
              <w:spacing w:after="0" w:line="240" w:lineRule="auto"/>
              <w:jc w:val="both"/>
              <w:rPr>
                <w:rFonts w:ascii="Candara" w:eastAsia="Candara" w:hAnsi="Candara" w:cs="Candara"/>
                <w:sz w:val="18"/>
                <w:szCs w:val="18"/>
              </w:rPr>
            </w:pPr>
            <w:r>
              <w:rPr>
                <w:rFonts w:ascii="Candara" w:eastAsia="Candara" w:hAnsi="Candara" w:cs="Candara"/>
                <w:sz w:val="18"/>
                <w:szCs w:val="18"/>
              </w:rPr>
              <w:t>2017.g. IV ceturksnī noslēgti līgumi par 124 pētniecības pieteikumu īstenošanu (kopējais publiskais fin. 15,7 MEUR), kuru īstenošanas ietvaros paredzēts izstrādāt 488 oriģinālus zinātniskos rakstus.</w:t>
            </w:r>
          </w:p>
        </w:tc>
      </w:tr>
      <w:tr w14:paraId="778410B9" w14:textId="77777777" w:rsidTr="00324F94">
        <w:tblPrEx>
          <w:tblW w:w="13948" w:type="dxa"/>
          <w:tblInd w:w="-115" w:type="dxa"/>
          <w:tblLayout w:type="fixed"/>
          <w:tblLook w:val="0400"/>
        </w:tblPrEx>
        <w:trPr>
          <w:trHeight w:val="420"/>
        </w:trPr>
        <w:tc>
          <w:tcPr>
            <w:tcW w:w="1858" w:type="dxa"/>
            <w:vMerge/>
            <w:shd w:val="clear" w:color="auto" w:fill="FFFFFF"/>
            <w:vAlign w:val="center"/>
          </w:tcPr>
          <w:p w:rsidR="00BD4C4B" w:rsidP="00BD4C4B" w14:paraId="1123B602"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220A3067"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7BEFA729" w14:textId="77777777">
            <w:pPr>
              <w:spacing w:after="0" w:line="240" w:lineRule="auto"/>
              <w:rPr>
                <w:rFonts w:ascii="Candara" w:eastAsia="Candara" w:hAnsi="Candara" w:cs="Candara"/>
                <w:sz w:val="18"/>
                <w:szCs w:val="18"/>
              </w:rPr>
            </w:pPr>
            <w:r>
              <w:rPr>
                <w:rFonts w:ascii="Candara" w:eastAsia="Candara" w:hAnsi="Candara" w:cs="Candara"/>
                <w:sz w:val="18"/>
                <w:szCs w:val="18"/>
              </w:rPr>
              <w:t>Inovācijas granti studentiem (1113)</w:t>
            </w:r>
          </w:p>
        </w:tc>
        <w:tc>
          <w:tcPr>
            <w:tcW w:w="5700" w:type="dxa"/>
            <w:shd w:val="clear" w:color="auto" w:fill="FFFFFF"/>
            <w:vAlign w:val="center"/>
          </w:tcPr>
          <w:p w:rsidR="00BD4C4B" w:rsidP="00860A6B" w14:paraId="33ECB9E2" w14:textId="068F10E5">
            <w:pPr>
              <w:spacing w:after="0" w:line="240" w:lineRule="auto"/>
              <w:rPr>
                <w:rFonts w:ascii="Candara" w:eastAsia="Candara" w:hAnsi="Candara" w:cs="Candara"/>
                <w:sz w:val="18"/>
                <w:szCs w:val="18"/>
              </w:rPr>
            </w:pPr>
            <w:r>
              <w:rPr>
                <w:rFonts w:ascii="Candara" w:eastAsia="Candara" w:hAnsi="Candara" w:cs="Candara"/>
                <w:sz w:val="18"/>
                <w:szCs w:val="18"/>
              </w:rPr>
              <w:t>- programmas ieviešanas nosacījumi paredz obligātu prasību studentiem, tostarp doktorantūrā studējošajiem un zinātniskā grāda pretendentiem, publicēt savu inovāciju projektu rezultātus</w:t>
            </w:r>
          </w:p>
        </w:tc>
        <w:tc>
          <w:tcPr>
            <w:tcW w:w="3060" w:type="dxa"/>
            <w:shd w:val="clear" w:color="auto" w:fill="FFFFFF"/>
            <w:vAlign w:val="center"/>
          </w:tcPr>
          <w:p w:rsidR="00BD4C4B" w:rsidP="00860A6B" w14:paraId="1BA3D737" w14:textId="10B3E331">
            <w:pPr>
              <w:spacing w:after="0" w:line="240" w:lineRule="auto"/>
              <w:jc w:val="both"/>
              <w:rPr>
                <w:rFonts w:ascii="Candara" w:eastAsia="Candara" w:hAnsi="Candara" w:cs="Candara"/>
                <w:sz w:val="18"/>
                <w:szCs w:val="18"/>
              </w:rPr>
            </w:pPr>
            <w:r>
              <w:rPr>
                <w:rFonts w:ascii="Candara" w:eastAsia="Candara" w:hAnsi="Candara" w:cs="Candara"/>
                <w:sz w:val="18"/>
                <w:szCs w:val="18"/>
              </w:rPr>
              <w:t>ievērojot, ka ieviešanas nosacījumi ir izstrādāti, bet šobrīd norisinās atlases dokumentācijas izstrāde, vēl nav sasniegti rezultāti vai uzņemtas saistības</w:t>
            </w:r>
          </w:p>
        </w:tc>
      </w:tr>
      <w:tr w14:paraId="25C515D4" w14:textId="77777777" w:rsidTr="00324F94">
        <w:tblPrEx>
          <w:tblW w:w="13948" w:type="dxa"/>
          <w:tblInd w:w="-115" w:type="dxa"/>
          <w:tblLayout w:type="fixed"/>
          <w:tblLook w:val="0400"/>
        </w:tblPrEx>
        <w:trPr>
          <w:trHeight w:val="260"/>
        </w:trPr>
        <w:tc>
          <w:tcPr>
            <w:tcW w:w="1858" w:type="dxa"/>
            <w:vMerge/>
            <w:shd w:val="clear" w:color="auto" w:fill="FFFFFF"/>
            <w:vAlign w:val="center"/>
          </w:tcPr>
          <w:p w:rsidR="00BD4C4B" w:rsidP="00BD4C4B" w14:paraId="20828ECE"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4BAD4994"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51EC9D50" w14:textId="77777777">
            <w:pPr>
              <w:spacing w:after="0" w:line="240" w:lineRule="auto"/>
              <w:rPr>
                <w:rFonts w:ascii="Candara" w:eastAsia="Candara" w:hAnsi="Candara" w:cs="Candara"/>
                <w:sz w:val="18"/>
                <w:szCs w:val="18"/>
              </w:rPr>
            </w:pPr>
            <w:r>
              <w:rPr>
                <w:rFonts w:ascii="Candara" w:eastAsia="Candara" w:hAnsi="Candara" w:cs="Candara"/>
                <w:sz w:val="18"/>
                <w:szCs w:val="18"/>
              </w:rPr>
              <w:t>KC programma (1211)</w:t>
            </w:r>
          </w:p>
        </w:tc>
        <w:tc>
          <w:tcPr>
            <w:tcW w:w="5700" w:type="dxa"/>
            <w:shd w:val="clear" w:color="auto" w:fill="FFFFFF"/>
            <w:vAlign w:val="center"/>
          </w:tcPr>
          <w:p w:rsidR="00BD4C4B" w:rsidP="00860A6B" w14:paraId="7D5BEB23" w14:textId="77777777">
            <w:pPr>
              <w:spacing w:after="0" w:line="240" w:lineRule="auto"/>
              <w:rPr>
                <w:rFonts w:ascii="Candara" w:eastAsia="Candara" w:hAnsi="Candara" w:cs="Candara"/>
                <w:sz w:val="18"/>
                <w:szCs w:val="18"/>
              </w:rPr>
            </w:pPr>
            <w:r>
              <w:rPr>
                <w:rFonts w:ascii="Candara" w:eastAsia="Candara" w:hAnsi="Candara" w:cs="Candara"/>
                <w:sz w:val="18"/>
                <w:szCs w:val="18"/>
              </w:rPr>
              <w:t> </w:t>
            </w:r>
            <w:r>
              <w:rPr>
                <w:rFonts w:ascii="Candara" w:eastAsia="Candara" w:hAnsi="Candara" w:cs="Candara"/>
                <w:b/>
                <w:sz w:val="18"/>
                <w:szCs w:val="18"/>
              </w:rPr>
              <w:t>KC programma</w:t>
            </w:r>
            <w:r>
              <w:rPr>
                <w:rFonts w:ascii="Candara" w:eastAsia="Candara" w:hAnsi="Candara" w:cs="Candara"/>
                <w:sz w:val="18"/>
                <w:szCs w:val="18"/>
              </w:rPr>
              <w:t xml:space="preserve"> - Darbības pakalpojumu nozarēs, kā arī programmatūras jomā tiek atzītas par atbalstāmām, ja pētījumu rezultātus publicē zinātniskos žurnālos, organizē zinātniskas konferences vai iesaistās zinātniskos pētījumos.</w:t>
            </w:r>
          </w:p>
          <w:p w:rsidR="00BD4C4B" w:rsidP="00860A6B" w14:paraId="4A589F31" w14:textId="77777777">
            <w:pPr>
              <w:spacing w:after="0" w:line="240" w:lineRule="auto"/>
              <w:rPr>
                <w:rFonts w:ascii="Candara" w:eastAsia="Candara" w:hAnsi="Candara" w:cs="Candara"/>
                <w:sz w:val="18"/>
                <w:szCs w:val="18"/>
              </w:rPr>
            </w:pPr>
          </w:p>
          <w:p w:rsidR="00BD4C4B" w:rsidP="00860A6B" w14:paraId="44DFEFD8" w14:textId="77777777">
            <w:pPr>
              <w:spacing w:after="0" w:line="240" w:lineRule="auto"/>
              <w:rPr>
                <w:rFonts w:ascii="Candara" w:eastAsia="Candara" w:hAnsi="Candara" w:cs="Candara"/>
                <w:sz w:val="18"/>
                <w:szCs w:val="18"/>
              </w:rPr>
            </w:pPr>
            <w:r>
              <w:rPr>
                <w:rFonts w:ascii="Candara" w:eastAsia="Candara" w:hAnsi="Candara" w:cs="Candara"/>
                <w:sz w:val="18"/>
                <w:szCs w:val="18"/>
              </w:rPr>
              <w:t>Atbilstošo finansējuma intensitāti var palielināt par 15 procentpunktiem, ja pētījuma rezultāti pieņemti publicēšanai vismaz divos zinātniskos rakstos.</w:t>
            </w:r>
          </w:p>
        </w:tc>
        <w:tc>
          <w:tcPr>
            <w:tcW w:w="3060" w:type="dxa"/>
            <w:shd w:val="clear" w:color="auto" w:fill="FFFFFF"/>
          </w:tcPr>
          <w:p w:rsidR="00BD4C4B" w:rsidP="00860A6B" w14:paraId="5E011186" w14:textId="77777777">
            <w:pPr>
              <w:spacing w:after="0" w:line="240" w:lineRule="auto"/>
              <w:jc w:val="both"/>
              <w:rPr>
                <w:rFonts w:ascii="Candara" w:eastAsia="Candara" w:hAnsi="Candara" w:cs="Candara"/>
                <w:sz w:val="18"/>
                <w:szCs w:val="18"/>
              </w:rPr>
            </w:pPr>
            <w:r>
              <w:rPr>
                <w:rFonts w:ascii="Candara" w:eastAsia="Candara" w:hAnsi="Candara" w:cs="Candara"/>
                <w:b/>
                <w:sz w:val="18"/>
                <w:szCs w:val="18"/>
              </w:rPr>
              <w:t>KC programm</w:t>
            </w:r>
            <w:r>
              <w:rPr>
                <w:rFonts w:ascii="Candara" w:eastAsia="Candara" w:hAnsi="Candara" w:cs="Candara"/>
                <w:sz w:val="18"/>
                <w:szCs w:val="18"/>
              </w:rPr>
              <w:t>a:</w:t>
            </w:r>
          </w:p>
          <w:p w:rsidR="00BD4C4B" w:rsidP="00860A6B" w14:paraId="6A0A3CA3" w14:textId="350C2180">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Komersanta un zināšanu izplatīšanas organizācijas pētnieku </w:t>
            </w:r>
            <w:r>
              <w:rPr>
                <w:rFonts w:ascii="Candara" w:eastAsia="Candara" w:hAnsi="Candara" w:cs="Candara"/>
                <w:b/>
                <w:sz w:val="18"/>
                <w:szCs w:val="18"/>
              </w:rPr>
              <w:t xml:space="preserve">koppublikāciju skaits - </w:t>
            </w:r>
            <w:r w:rsidR="002E4D9D">
              <w:rPr>
                <w:rFonts w:ascii="Candara" w:eastAsia="Candara" w:hAnsi="Candara" w:cs="Candara"/>
                <w:b/>
                <w:sz w:val="18"/>
                <w:szCs w:val="18"/>
              </w:rPr>
              <w:t>35</w:t>
            </w:r>
            <w:r>
              <w:rPr>
                <w:rFonts w:ascii="Candara" w:eastAsia="Candara" w:hAnsi="Candara" w:cs="Candara"/>
                <w:b/>
                <w:sz w:val="18"/>
                <w:szCs w:val="18"/>
              </w:rPr>
              <w:t xml:space="preserve"> </w:t>
            </w:r>
            <w:r>
              <w:rPr>
                <w:rFonts w:ascii="Candara" w:eastAsia="Candara" w:hAnsi="Candara" w:cs="Candara"/>
                <w:sz w:val="18"/>
                <w:szCs w:val="18"/>
              </w:rPr>
              <w:t>(201</w:t>
            </w:r>
            <w:r w:rsidR="002E4D9D">
              <w:rPr>
                <w:rFonts w:ascii="Candara" w:eastAsia="Candara" w:hAnsi="Candara" w:cs="Candara"/>
                <w:sz w:val="18"/>
                <w:szCs w:val="18"/>
              </w:rPr>
              <w:t>7</w:t>
            </w:r>
            <w:r>
              <w:rPr>
                <w:rFonts w:ascii="Candara" w:eastAsia="Candara" w:hAnsi="Candara" w:cs="Candara"/>
                <w:sz w:val="18"/>
                <w:szCs w:val="18"/>
              </w:rPr>
              <w:t>.g)</w:t>
            </w:r>
          </w:p>
        </w:tc>
      </w:tr>
      <w:tr w14:paraId="53D30A67" w14:textId="77777777" w:rsidTr="00324F94">
        <w:tblPrEx>
          <w:tblW w:w="13948" w:type="dxa"/>
          <w:tblInd w:w="-115" w:type="dxa"/>
          <w:tblLayout w:type="fixed"/>
          <w:tblLook w:val="0400"/>
        </w:tblPrEx>
        <w:trPr>
          <w:trHeight w:val="260"/>
        </w:trPr>
        <w:tc>
          <w:tcPr>
            <w:tcW w:w="1858" w:type="dxa"/>
            <w:vMerge/>
            <w:shd w:val="clear" w:color="auto" w:fill="FFFFFF"/>
            <w:vAlign w:val="center"/>
          </w:tcPr>
          <w:p w:rsidR="00BD4C4B" w:rsidP="00BD4C4B" w14:paraId="14E32CFA"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6A4126D1"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607B2260"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Sadarbība (atbalsts EIP darba grupām; atbalsts jaunu produktu, metožu un tehnoloģiju izstrādei) (EFLA)  </w:t>
            </w:r>
          </w:p>
        </w:tc>
        <w:tc>
          <w:tcPr>
            <w:tcW w:w="5700" w:type="dxa"/>
            <w:shd w:val="clear" w:color="auto" w:fill="FFFFFF"/>
            <w:vAlign w:val="center"/>
          </w:tcPr>
          <w:p w:rsidR="00BD4C4B" w:rsidP="00860A6B" w14:paraId="6EE29FC7" w14:textId="77777777">
            <w:pPr>
              <w:spacing w:after="0" w:line="240" w:lineRule="auto"/>
              <w:rPr>
                <w:rFonts w:ascii="Candara" w:eastAsia="Candara" w:hAnsi="Candara" w:cs="Candara"/>
                <w:sz w:val="18"/>
                <w:szCs w:val="18"/>
              </w:rPr>
            </w:pPr>
            <w:r>
              <w:rPr>
                <w:rFonts w:ascii="Candara" w:eastAsia="Candara" w:hAnsi="Candara" w:cs="Candara"/>
                <w:sz w:val="18"/>
                <w:szCs w:val="18"/>
              </w:rPr>
              <w:t> Programmas ieviešanas nosacījumi nosaka projekta ietvaros veiktā pētījuma un rezultātu publicēšanu (vismaz Zemkopības ministrijas tīmekļa vietnē vai Eiropas Inovāciju partnerības lauksaimniecības ražīgumam un ilgtspējai darba grupas tīklā</w:t>
            </w:r>
          </w:p>
        </w:tc>
        <w:tc>
          <w:tcPr>
            <w:tcW w:w="3060" w:type="dxa"/>
            <w:shd w:val="clear" w:color="auto" w:fill="FFFFFF"/>
            <w:vAlign w:val="center"/>
          </w:tcPr>
          <w:p w:rsidR="00BD4C4B" w:rsidP="00860A6B" w14:paraId="07188C82"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I</w:t>
            </w:r>
            <w:r>
              <w:rPr>
                <w:rFonts w:ascii="Candara" w:eastAsia="Candara" w:hAnsi="Candara" w:cs="Candara"/>
                <w:sz w:val="18"/>
                <w:szCs w:val="18"/>
              </w:rPr>
              <w:t>evērojot, ka projektu īstenošana vēl nav uzsākta, vēl nav sasniegti rezultāti vai uzņemtas saistības</w:t>
            </w:r>
          </w:p>
        </w:tc>
      </w:tr>
      <w:tr w14:paraId="08AFD562" w14:textId="77777777" w:rsidTr="00324F94">
        <w:tblPrEx>
          <w:tblW w:w="13948" w:type="dxa"/>
          <w:tblInd w:w="-115" w:type="dxa"/>
          <w:tblLayout w:type="fixed"/>
          <w:tblLook w:val="0400"/>
        </w:tblPrEx>
        <w:trPr>
          <w:trHeight w:val="1260"/>
        </w:trPr>
        <w:tc>
          <w:tcPr>
            <w:tcW w:w="1858" w:type="dxa"/>
            <w:vMerge/>
            <w:shd w:val="clear" w:color="auto" w:fill="FFFFFF"/>
            <w:vAlign w:val="center"/>
          </w:tcPr>
          <w:p w:rsidR="00BD4C4B" w:rsidP="00BD4C4B" w14:paraId="6242ED94" w14:textId="77777777">
            <w:pPr>
              <w:spacing w:after="0" w:line="240" w:lineRule="auto"/>
              <w:rPr>
                <w:rFonts w:ascii="Candara" w:eastAsia="Candara" w:hAnsi="Candara" w:cs="Candara"/>
                <w:sz w:val="18"/>
                <w:szCs w:val="18"/>
              </w:rPr>
            </w:pPr>
          </w:p>
        </w:tc>
        <w:tc>
          <w:tcPr>
            <w:tcW w:w="946" w:type="dxa"/>
            <w:vMerge w:val="restart"/>
            <w:shd w:val="clear" w:color="auto" w:fill="FFFFFF"/>
            <w:vAlign w:val="center"/>
          </w:tcPr>
          <w:p w:rsidR="00BD4C4B" w:rsidP="00BD4C4B" w14:paraId="3CA130A4"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767EBA" w:rsidP="00BD4C4B" w14:paraId="0ED3D04F"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(IZM)</w:t>
            </w:r>
          </w:p>
          <w:p w:rsidR="00BD4C4B" w:rsidP="00BD4C4B" w14:paraId="6EEB1A2C" w14:textId="77777777">
            <w:pPr>
              <w:spacing w:after="0" w:line="240" w:lineRule="auto"/>
              <w:rPr>
                <w:rFonts w:ascii="Candara" w:eastAsia="Candara" w:hAnsi="Candara" w:cs="Candara"/>
                <w:sz w:val="18"/>
                <w:szCs w:val="18"/>
              </w:rPr>
            </w:pPr>
          </w:p>
          <w:p w:rsidR="00BD4C4B" w:rsidP="00BD4C4B" w14:paraId="4C580205" w14:textId="77777777">
            <w:pPr>
              <w:spacing w:after="0" w:line="240" w:lineRule="auto"/>
              <w:rPr>
                <w:rFonts w:ascii="Candara" w:eastAsia="Candara" w:hAnsi="Candara" w:cs="Candara"/>
                <w:sz w:val="18"/>
                <w:szCs w:val="18"/>
              </w:rPr>
            </w:pPr>
          </w:p>
          <w:p w:rsidR="00BD4C4B" w:rsidP="00BD4C4B" w14:paraId="6752535B"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5C54A638" w14:textId="77777777">
            <w:pPr>
              <w:spacing w:after="0" w:line="240" w:lineRule="auto"/>
              <w:rPr>
                <w:rFonts w:ascii="Candara" w:eastAsia="Candara" w:hAnsi="Candara" w:cs="Candara"/>
                <w:sz w:val="18"/>
                <w:szCs w:val="18"/>
              </w:rPr>
            </w:pPr>
            <w:r>
              <w:rPr>
                <w:rFonts w:ascii="Candara" w:eastAsia="Candara" w:hAnsi="Candara" w:cs="Candara"/>
                <w:sz w:val="18"/>
                <w:szCs w:val="18"/>
              </w:rPr>
              <w:t>Bāzes finansējums</w:t>
            </w:r>
          </w:p>
        </w:tc>
        <w:tc>
          <w:tcPr>
            <w:tcW w:w="5700" w:type="dxa"/>
            <w:shd w:val="clear" w:color="auto" w:fill="FFFFFF"/>
            <w:vAlign w:val="center"/>
          </w:tcPr>
          <w:p w:rsidR="00BD4C4B" w:rsidP="00860A6B" w14:paraId="36799C38"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Zinātnes bāzes finansējuma aprēķināšanā kā viens no rezultatīvajiem rādītājiem ir noteikts zinātniskās institūcijas zinātniskā </w:t>
            </w:r>
            <w:r w:rsidRPr="005E51CA">
              <w:rPr>
                <w:rFonts w:ascii="Candara" w:eastAsia="Candara" w:hAnsi="Candara" w:cs="Candara"/>
                <w:sz w:val="18"/>
                <w:szCs w:val="18"/>
              </w:rPr>
              <w:t>personāla</w:t>
            </w:r>
            <w:r w:rsidRPr="00D07467">
              <w:rPr>
                <w:rFonts w:ascii="Candara" w:eastAsia="Candara" w:hAnsi="Candara" w:cs="Candara"/>
                <w:i/>
                <w:sz w:val="18"/>
                <w:szCs w:val="18"/>
              </w:rPr>
              <w:t xml:space="preserve"> Web of Science</w:t>
            </w:r>
            <w:r>
              <w:rPr>
                <w:rFonts w:ascii="Candara" w:eastAsia="Candara" w:hAnsi="Candara" w:cs="Candara"/>
                <w:sz w:val="18"/>
                <w:szCs w:val="18"/>
              </w:rPr>
              <w:t xml:space="preserve"> vai </w:t>
            </w:r>
            <w:r w:rsidRPr="00D07467">
              <w:rPr>
                <w:rFonts w:ascii="Candara" w:eastAsia="Candara" w:hAnsi="Candara" w:cs="Candara"/>
                <w:i/>
                <w:sz w:val="18"/>
                <w:szCs w:val="18"/>
              </w:rPr>
              <w:t>SCOPUS</w:t>
            </w:r>
            <w:r>
              <w:rPr>
                <w:rFonts w:ascii="Candara" w:eastAsia="Candara" w:hAnsi="Candara" w:cs="Candara"/>
                <w:sz w:val="18"/>
                <w:szCs w:val="18"/>
              </w:rPr>
              <w:t xml:space="preserve"> publikācijas. Noteikumi arī nosaka, ka </w:t>
            </w:r>
            <w:r w:rsidR="005E51CA">
              <w:rPr>
                <w:rFonts w:ascii="Candara" w:eastAsia="Candara" w:hAnsi="Candara" w:cs="Candara"/>
                <w:sz w:val="18"/>
                <w:szCs w:val="18"/>
              </w:rPr>
              <w:t xml:space="preserve">IZM </w:t>
            </w:r>
            <w:r>
              <w:rPr>
                <w:rFonts w:ascii="Candara" w:eastAsia="Candara" w:hAnsi="Candara" w:cs="Candara"/>
                <w:sz w:val="18"/>
                <w:szCs w:val="18"/>
              </w:rPr>
              <w:t>nodrošina piekļuvi šīm datubāzēm</w:t>
            </w:r>
          </w:p>
        </w:tc>
        <w:tc>
          <w:tcPr>
            <w:tcW w:w="3060" w:type="dxa"/>
            <w:shd w:val="clear" w:color="auto" w:fill="FFFFFF"/>
            <w:vAlign w:val="center"/>
          </w:tcPr>
          <w:p w:rsidR="00BD4C4B" w:rsidP="00860A6B" w14:paraId="726ADD11"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No 2013 - 2016.gadam Latvijas Web of Science publikāciju skaits ir pieaudzis no 1 656 uz 2 172, </w:t>
            </w:r>
            <w:r w:rsidRPr="00D07467">
              <w:rPr>
                <w:rFonts w:ascii="Candara" w:eastAsia="Candara" w:hAnsi="Candara" w:cs="Candara"/>
                <w:i/>
                <w:sz w:val="18"/>
                <w:szCs w:val="18"/>
              </w:rPr>
              <w:t>SCOPUS</w:t>
            </w:r>
            <w:r>
              <w:rPr>
                <w:rFonts w:ascii="Candara" w:eastAsia="Candara" w:hAnsi="Candara" w:cs="Candara"/>
                <w:sz w:val="18"/>
                <w:szCs w:val="18"/>
              </w:rPr>
              <w:t xml:space="preserve"> no 1 660 uz 1 820</w:t>
            </w:r>
          </w:p>
        </w:tc>
      </w:tr>
      <w:tr w14:paraId="5228F1B3" w14:textId="77777777" w:rsidTr="00324F94">
        <w:tblPrEx>
          <w:tblW w:w="13948" w:type="dxa"/>
          <w:tblInd w:w="-115" w:type="dxa"/>
          <w:tblLayout w:type="fixed"/>
          <w:tblLook w:val="0400"/>
        </w:tblPrEx>
        <w:trPr>
          <w:trHeight w:val="840"/>
        </w:trPr>
        <w:tc>
          <w:tcPr>
            <w:tcW w:w="1858" w:type="dxa"/>
            <w:vMerge/>
            <w:shd w:val="clear" w:color="auto" w:fill="FFFFFF"/>
            <w:vAlign w:val="center"/>
          </w:tcPr>
          <w:p w:rsidR="00BD4C4B" w:rsidP="00BD4C4B" w14:paraId="5C99BBFC"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10CD92E8"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39899863" w14:textId="77777777">
            <w:pPr>
              <w:spacing w:after="0" w:line="240" w:lineRule="auto"/>
              <w:rPr>
                <w:rFonts w:ascii="Candara" w:eastAsia="Candara" w:hAnsi="Candara" w:cs="Candara"/>
                <w:sz w:val="18"/>
                <w:szCs w:val="18"/>
              </w:rPr>
            </w:pPr>
            <w:r>
              <w:rPr>
                <w:rFonts w:ascii="Candara" w:eastAsia="Candara" w:hAnsi="Candara" w:cs="Candara"/>
                <w:sz w:val="18"/>
                <w:szCs w:val="18"/>
              </w:rPr>
              <w:t>Valsts pētījumu programmas 2014-2017</w:t>
            </w:r>
          </w:p>
        </w:tc>
        <w:tc>
          <w:tcPr>
            <w:tcW w:w="5700" w:type="dxa"/>
            <w:shd w:val="clear" w:color="auto" w:fill="FFFFFF"/>
            <w:vAlign w:val="center"/>
          </w:tcPr>
          <w:p w:rsidR="00BD4C4B" w:rsidP="00860A6B" w14:paraId="6EA7DA17"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VPP noteikumos pie rezultatīvajiem rādītājiem ir noteiktas </w:t>
            </w:r>
            <w:r w:rsidRPr="00D07467">
              <w:rPr>
                <w:rFonts w:ascii="Candara" w:eastAsia="Candara" w:hAnsi="Candara" w:cs="Candara"/>
                <w:i/>
                <w:sz w:val="18"/>
                <w:szCs w:val="18"/>
              </w:rPr>
              <w:t>SCOPUS</w:t>
            </w:r>
            <w:r>
              <w:rPr>
                <w:rFonts w:ascii="Candara" w:eastAsia="Candara" w:hAnsi="Candara" w:cs="Candara"/>
                <w:sz w:val="18"/>
                <w:szCs w:val="18"/>
              </w:rPr>
              <w:t xml:space="preserve"> publikācijas</w:t>
            </w:r>
          </w:p>
        </w:tc>
        <w:tc>
          <w:tcPr>
            <w:tcW w:w="3060" w:type="dxa"/>
            <w:shd w:val="clear" w:color="auto" w:fill="FFFFFF"/>
            <w:vAlign w:val="center"/>
          </w:tcPr>
          <w:p w:rsidR="00BD4C4B" w14:paraId="3866932D"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2014 - 2017 gadā ir izdota </w:t>
            </w:r>
            <w:r w:rsidR="003C0B5F">
              <w:rPr>
                <w:rFonts w:ascii="Candara" w:eastAsia="Candara" w:hAnsi="Candara" w:cs="Candara"/>
                <w:sz w:val="18"/>
                <w:szCs w:val="18"/>
              </w:rPr>
              <w:t xml:space="preserve">581 </w:t>
            </w:r>
            <w:r>
              <w:rPr>
                <w:rFonts w:ascii="Candara" w:eastAsia="Candara" w:hAnsi="Candara" w:cs="Candara"/>
                <w:sz w:val="18"/>
                <w:szCs w:val="18"/>
              </w:rPr>
              <w:t xml:space="preserve">publikācija </w:t>
            </w:r>
            <w:r w:rsidRPr="00D07467">
              <w:rPr>
                <w:rFonts w:ascii="Candara" w:eastAsia="Candara" w:hAnsi="Candara" w:cs="Candara"/>
                <w:i/>
                <w:sz w:val="18"/>
                <w:szCs w:val="18"/>
              </w:rPr>
              <w:t>Web of Science</w:t>
            </w:r>
            <w:r>
              <w:rPr>
                <w:rFonts w:ascii="Candara" w:eastAsia="Candara" w:hAnsi="Candara" w:cs="Candara"/>
                <w:sz w:val="18"/>
                <w:szCs w:val="18"/>
              </w:rPr>
              <w:t xml:space="preserve"> un </w:t>
            </w:r>
            <w:r w:rsidRPr="00D07467">
              <w:rPr>
                <w:rFonts w:ascii="Candara" w:eastAsia="Candara" w:hAnsi="Candara" w:cs="Candara"/>
                <w:i/>
                <w:sz w:val="18"/>
                <w:szCs w:val="18"/>
              </w:rPr>
              <w:t>SCOPUS</w:t>
            </w:r>
            <w:r>
              <w:rPr>
                <w:rFonts w:ascii="Candara" w:eastAsia="Candara" w:hAnsi="Candara" w:cs="Candara"/>
                <w:sz w:val="18"/>
                <w:szCs w:val="18"/>
              </w:rPr>
              <w:t xml:space="preserve"> datubāzēs</w:t>
            </w:r>
          </w:p>
        </w:tc>
      </w:tr>
      <w:tr w14:paraId="4A83D821" w14:textId="77777777" w:rsidTr="00324F94">
        <w:tblPrEx>
          <w:tblW w:w="13948" w:type="dxa"/>
          <w:tblInd w:w="-115" w:type="dxa"/>
          <w:tblLayout w:type="fixed"/>
          <w:tblLook w:val="0400"/>
        </w:tblPrEx>
        <w:trPr>
          <w:trHeight w:val="840"/>
        </w:trPr>
        <w:tc>
          <w:tcPr>
            <w:tcW w:w="1858" w:type="dxa"/>
            <w:vMerge/>
            <w:shd w:val="clear" w:color="auto" w:fill="FFFFFF"/>
            <w:vAlign w:val="center"/>
          </w:tcPr>
          <w:p w:rsidR="00BD4C4B" w:rsidP="00BD4C4B" w14:paraId="07CD3D64"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67B8E53D"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3B3F530A" w14:textId="77777777">
            <w:pPr>
              <w:spacing w:after="0" w:line="240" w:lineRule="auto"/>
              <w:rPr>
                <w:rFonts w:ascii="Candara" w:eastAsia="Candara" w:hAnsi="Candara" w:cs="Candara"/>
                <w:sz w:val="18"/>
                <w:szCs w:val="18"/>
              </w:rPr>
            </w:pPr>
            <w:r>
              <w:rPr>
                <w:rFonts w:ascii="Candara" w:eastAsia="Candara" w:hAnsi="Candara" w:cs="Candara"/>
                <w:sz w:val="18"/>
                <w:szCs w:val="18"/>
              </w:rPr>
              <w:t>Starptautiskās sadarbības programmas zinātnē un tehnoloģiju attīstībā</w:t>
            </w:r>
          </w:p>
        </w:tc>
        <w:tc>
          <w:tcPr>
            <w:tcW w:w="5700" w:type="dxa"/>
            <w:shd w:val="clear" w:color="auto" w:fill="FFFFFF"/>
            <w:vAlign w:val="center"/>
          </w:tcPr>
          <w:p w:rsidR="00BD4C4B" w:rsidP="00860A6B" w14:paraId="07618678" w14:textId="77777777">
            <w:pPr>
              <w:spacing w:after="0" w:line="240" w:lineRule="auto"/>
              <w:rPr>
                <w:rFonts w:ascii="Candara" w:eastAsia="Candara" w:hAnsi="Candara" w:cs="Candara"/>
                <w:sz w:val="18"/>
                <w:szCs w:val="18"/>
              </w:rPr>
            </w:pPr>
            <w:r>
              <w:rPr>
                <w:rFonts w:ascii="Candara" w:eastAsia="Candara" w:hAnsi="Candara" w:cs="Candara"/>
                <w:sz w:val="18"/>
                <w:szCs w:val="18"/>
              </w:rPr>
              <w:t>saskaņā ar katras programmas ieviešanas nosacījumiem</w:t>
            </w:r>
          </w:p>
        </w:tc>
        <w:tc>
          <w:tcPr>
            <w:tcW w:w="3060" w:type="dxa"/>
            <w:shd w:val="clear" w:color="auto" w:fill="FFFFFF"/>
            <w:vAlign w:val="center"/>
          </w:tcPr>
          <w:p w:rsidR="00BD4C4B" w:rsidP="000D1418" w14:paraId="43706948"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Laika posmā no 2014. līdz 2017. gadam noslēgti </w:t>
            </w:r>
            <w:r w:rsidR="002231F4">
              <w:rPr>
                <w:rFonts w:ascii="Candara" w:eastAsia="Candara" w:hAnsi="Candara" w:cs="Candara"/>
                <w:sz w:val="18"/>
                <w:szCs w:val="18"/>
              </w:rPr>
              <w:t>104</w:t>
            </w:r>
            <w:r>
              <w:rPr>
                <w:rFonts w:ascii="Candara" w:eastAsia="Candara" w:hAnsi="Candara" w:cs="Candara"/>
                <w:sz w:val="18"/>
                <w:szCs w:val="18"/>
              </w:rPr>
              <w:t xml:space="preserve"> līgumi ar kopējo valsts budžeta finansējuma apmēru – </w:t>
            </w:r>
            <w:r w:rsidR="002231F4">
              <w:rPr>
                <w:rFonts w:ascii="Candara" w:eastAsia="Candara" w:hAnsi="Candara" w:cs="Candara"/>
                <w:sz w:val="18"/>
                <w:szCs w:val="18"/>
              </w:rPr>
              <w:t>11,18 </w:t>
            </w:r>
            <w:r>
              <w:rPr>
                <w:rFonts w:ascii="Candara" w:eastAsia="Candara" w:hAnsi="Candara" w:cs="Candara"/>
                <w:sz w:val="18"/>
                <w:szCs w:val="18"/>
              </w:rPr>
              <w:t xml:space="preserve">MEUR un to ietvaros izdotas </w:t>
            </w:r>
            <w:r w:rsidR="000D1418">
              <w:rPr>
                <w:rFonts w:ascii="Candara" w:eastAsia="Candara" w:hAnsi="Candara" w:cs="Candara"/>
                <w:sz w:val="18"/>
                <w:szCs w:val="18"/>
              </w:rPr>
              <w:t>119</w:t>
            </w:r>
            <w:r>
              <w:rPr>
                <w:rFonts w:ascii="Candara" w:eastAsia="Candara" w:hAnsi="Candara" w:cs="Candara"/>
                <w:sz w:val="18"/>
                <w:szCs w:val="18"/>
              </w:rPr>
              <w:t xml:space="preserve"> publikācijas </w:t>
            </w:r>
            <w:r w:rsidRPr="00D07467">
              <w:rPr>
                <w:rFonts w:ascii="Candara" w:eastAsia="Candara" w:hAnsi="Candara" w:cs="Candara"/>
                <w:i/>
                <w:sz w:val="18"/>
                <w:szCs w:val="18"/>
              </w:rPr>
              <w:t>Web of Science</w:t>
            </w:r>
            <w:r>
              <w:rPr>
                <w:rFonts w:ascii="Candara" w:eastAsia="Candara" w:hAnsi="Candara" w:cs="Candara"/>
                <w:sz w:val="18"/>
                <w:szCs w:val="18"/>
              </w:rPr>
              <w:t xml:space="preserve"> un </w:t>
            </w:r>
            <w:r w:rsidRPr="00D07467">
              <w:rPr>
                <w:rFonts w:ascii="Candara" w:eastAsia="Candara" w:hAnsi="Candara" w:cs="Candara"/>
                <w:i/>
                <w:sz w:val="18"/>
                <w:szCs w:val="18"/>
              </w:rPr>
              <w:t>SCOPUS</w:t>
            </w:r>
            <w:r>
              <w:rPr>
                <w:rFonts w:ascii="Candara" w:eastAsia="Candara" w:hAnsi="Candara" w:cs="Candara"/>
                <w:sz w:val="18"/>
                <w:szCs w:val="18"/>
              </w:rPr>
              <w:t xml:space="preserve"> datubāzēs</w:t>
            </w:r>
          </w:p>
        </w:tc>
      </w:tr>
      <w:tr w14:paraId="44DE5838" w14:textId="77777777" w:rsidTr="00324F94">
        <w:tblPrEx>
          <w:tblW w:w="13948" w:type="dxa"/>
          <w:tblInd w:w="-115" w:type="dxa"/>
          <w:tblLayout w:type="fixed"/>
          <w:tblLook w:val="0400"/>
        </w:tblPrEx>
        <w:trPr>
          <w:trHeight w:val="840"/>
        </w:trPr>
        <w:tc>
          <w:tcPr>
            <w:tcW w:w="1858" w:type="dxa"/>
            <w:vMerge/>
            <w:shd w:val="clear" w:color="auto" w:fill="FFFFFF"/>
            <w:vAlign w:val="center"/>
          </w:tcPr>
          <w:p w:rsidR="00BD4C4B" w:rsidP="00BD4C4B" w14:paraId="3F07562F"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17822E01"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782BA989" w14:textId="77777777">
            <w:pPr>
              <w:spacing w:after="0" w:line="240" w:lineRule="auto"/>
              <w:rPr>
                <w:rFonts w:ascii="Candara" w:eastAsia="Candara" w:hAnsi="Candara" w:cs="Candara"/>
                <w:sz w:val="18"/>
                <w:szCs w:val="18"/>
              </w:rPr>
            </w:pPr>
            <w:r>
              <w:rPr>
                <w:rFonts w:ascii="Candara" w:eastAsia="Candara" w:hAnsi="Candara" w:cs="Candara"/>
                <w:sz w:val="18"/>
                <w:szCs w:val="18"/>
              </w:rPr>
              <w:t>FLPP</w:t>
            </w:r>
          </w:p>
        </w:tc>
        <w:tc>
          <w:tcPr>
            <w:tcW w:w="5700" w:type="dxa"/>
            <w:shd w:val="clear" w:color="auto" w:fill="FFFFFF"/>
            <w:vAlign w:val="center"/>
          </w:tcPr>
          <w:p w:rsidR="00BD4C4B" w:rsidP="00860A6B" w14:paraId="3E13F06B" w14:textId="77777777">
            <w:pPr>
              <w:spacing w:after="0" w:line="240" w:lineRule="auto"/>
              <w:rPr>
                <w:rFonts w:ascii="Candara" w:eastAsia="Candara" w:hAnsi="Candara" w:cs="Candara"/>
                <w:sz w:val="18"/>
                <w:szCs w:val="18"/>
              </w:rPr>
            </w:pPr>
            <w:r>
              <w:rPr>
                <w:rFonts w:ascii="Candara" w:eastAsia="Candara" w:hAnsi="Candara" w:cs="Candara"/>
                <w:sz w:val="18"/>
                <w:szCs w:val="18"/>
              </w:rPr>
              <w:t>FLPP noteikumos ir noteikts, ka finansējuma sadali veic arī pamatojoties uz zinātnisko publikāciju kvalitātes un atpazīstamības analīzi un vai projekta vadītāja publicēto zinātnisko darbu nozīmību starptautiskajā zinātniskajā apritē var apstiprināt kvantitatīvi indikatori, piemēram, raksta citēšanas indekss, Hirša indekss</w:t>
            </w:r>
          </w:p>
        </w:tc>
        <w:tc>
          <w:tcPr>
            <w:tcW w:w="3060" w:type="dxa"/>
            <w:shd w:val="clear" w:color="auto" w:fill="FFFFFF"/>
            <w:vAlign w:val="center"/>
          </w:tcPr>
          <w:p w:rsidR="00BD4C4B" w:rsidP="00860A6B" w14:paraId="1DFB1842"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2014. – 2017. gadā ir izdotas 560 publikācija Web of Science un SCOPUS datubāzēs</w:t>
            </w:r>
          </w:p>
        </w:tc>
      </w:tr>
      <w:tr w14:paraId="4B72E9BB" w14:textId="77777777" w:rsidTr="00324F94">
        <w:tblPrEx>
          <w:tblW w:w="13948" w:type="dxa"/>
          <w:tblInd w:w="-115" w:type="dxa"/>
          <w:tblLayout w:type="fixed"/>
          <w:tblLook w:val="0400"/>
        </w:tblPrEx>
        <w:trPr>
          <w:trHeight w:val="2100"/>
        </w:trPr>
        <w:tc>
          <w:tcPr>
            <w:tcW w:w="1858" w:type="dxa"/>
            <w:shd w:val="clear" w:color="auto" w:fill="FFFFFF"/>
            <w:vAlign w:val="center"/>
          </w:tcPr>
          <w:p w:rsidR="00BD4C4B" w:rsidP="00BD4C4B" w14:paraId="20EB37AF"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Apmācītie darbinieki</w:t>
            </w:r>
          </w:p>
        </w:tc>
        <w:tc>
          <w:tcPr>
            <w:tcW w:w="946" w:type="dxa"/>
            <w:shd w:val="clear" w:color="auto" w:fill="FFFFFF"/>
            <w:vAlign w:val="center"/>
          </w:tcPr>
          <w:p w:rsidR="00BD4C4B" w:rsidP="00BD4C4B" w14:paraId="7AC3F828"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tc>
        <w:tc>
          <w:tcPr>
            <w:tcW w:w="2384" w:type="dxa"/>
            <w:shd w:val="clear" w:color="auto" w:fill="FFFFFF"/>
            <w:vAlign w:val="center"/>
          </w:tcPr>
          <w:p w:rsidR="00BD4C4B" w:rsidP="00860A6B" w14:paraId="4B141097" w14:textId="77777777">
            <w:pPr>
              <w:spacing w:after="0" w:line="240" w:lineRule="auto"/>
              <w:rPr>
                <w:rFonts w:ascii="Candara" w:eastAsia="Candara" w:hAnsi="Candara" w:cs="Candara"/>
                <w:sz w:val="18"/>
                <w:szCs w:val="18"/>
              </w:rPr>
            </w:pPr>
            <w:r w:rsidRPr="005944CC">
              <w:rPr>
                <w:rFonts w:ascii="Candara" w:eastAsia="Times New Roman" w:hAnsi="Candara" w:cs="Times New Roman"/>
                <w:sz w:val="18"/>
                <w:szCs w:val="18"/>
                <w:lang w:eastAsia="lv-LV"/>
              </w:rPr>
              <w:t>Nodarbināto apmācības (1221; 1223), Zināšanu pārnese (EFLA)</w:t>
            </w:r>
          </w:p>
        </w:tc>
        <w:tc>
          <w:tcPr>
            <w:tcW w:w="5700" w:type="dxa"/>
            <w:shd w:val="clear" w:color="auto" w:fill="FFFFFF"/>
            <w:vAlign w:val="center"/>
          </w:tcPr>
          <w:p w:rsidR="00BD4C4B" w:rsidRPr="002D2715" w:rsidP="00860A6B" w14:paraId="5BCD46A6" w14:textId="77777777">
            <w:pPr>
              <w:spacing w:after="0" w:line="240" w:lineRule="auto"/>
              <w:rPr>
                <w:rFonts w:ascii="Candara" w:eastAsia="Times New Roman" w:hAnsi="Candara" w:cs="Times New Roman"/>
                <w:b/>
                <w:sz w:val="18"/>
                <w:szCs w:val="18"/>
                <w:lang w:eastAsia="lv-LV"/>
              </w:rPr>
            </w:pPr>
            <w:r w:rsidRPr="002D2715">
              <w:rPr>
                <w:rFonts w:ascii="Candara" w:eastAsia="Times New Roman" w:hAnsi="Candara" w:cs="Times New Roman"/>
                <w:b/>
                <w:sz w:val="18"/>
                <w:szCs w:val="18"/>
                <w:lang w:eastAsia="lv-LV"/>
              </w:rPr>
              <w:t>Nodarbināto apmācību programmas (1221; 1223)</w:t>
            </w:r>
          </w:p>
          <w:p w:rsidR="00BD4C4B" w:rsidP="00860A6B" w14:paraId="6D1C2751" w14:textId="77777777">
            <w:pPr>
              <w:spacing w:after="0" w:line="240" w:lineRule="auto"/>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Projekta kvalitātes kritērijs "Projektā apmācīto skaits" paredz, ka papildus punkti tiek piešķirti, ja projektā tiks apmācīti pēc iespējams vairāk nodarbināto</w:t>
            </w:r>
          </w:p>
          <w:p w:rsidR="00BD4C4B" w:rsidRPr="00186CF8" w:rsidP="00860A6B" w14:paraId="6C1D4689" w14:textId="77777777">
            <w:pPr>
              <w:spacing w:after="0" w:line="240" w:lineRule="auto"/>
              <w:rPr>
                <w:rFonts w:ascii="Candara" w:eastAsia="Times New Roman" w:hAnsi="Candara" w:cs="Times New Roman"/>
                <w:sz w:val="18"/>
                <w:szCs w:val="18"/>
                <w:lang w:eastAsia="lv-LV"/>
              </w:rPr>
            </w:pPr>
            <w:r w:rsidRPr="00186CF8">
              <w:rPr>
                <w:rFonts w:ascii="Candara" w:eastAsia="Times New Roman" w:hAnsi="Candara" w:cs="Times New Roman"/>
                <w:sz w:val="18"/>
                <w:szCs w:val="18"/>
                <w:lang w:eastAsia="lv-LV"/>
              </w:rPr>
              <w:t>Atbalsta intensitāte atkarīga no komersanta statusa. Jaundibinātiem mikro komersantiem atbalsta intensitāte 70%, savukārt ilgstoši strādājošiem lielajiem uzņēmumiem 30%.</w:t>
            </w:r>
          </w:p>
          <w:p w:rsidR="00BD4C4B" w:rsidP="00860A6B" w14:paraId="3A27D634" w14:textId="77777777">
            <w:pPr>
              <w:spacing w:after="0" w:line="240" w:lineRule="auto"/>
              <w:rPr>
                <w:rFonts w:ascii="Candara" w:eastAsia="Candara" w:hAnsi="Candara" w:cs="Candara"/>
                <w:sz w:val="18"/>
                <w:szCs w:val="18"/>
              </w:rPr>
            </w:pPr>
          </w:p>
        </w:tc>
        <w:tc>
          <w:tcPr>
            <w:tcW w:w="3060" w:type="dxa"/>
            <w:shd w:val="clear" w:color="auto" w:fill="FFFFFF"/>
          </w:tcPr>
          <w:p w:rsidR="00BD4C4B" w:rsidP="00860A6B" w14:paraId="25515A0A" w14:textId="77777777">
            <w:pPr>
              <w:spacing w:after="0" w:line="240" w:lineRule="auto"/>
              <w:jc w:val="both"/>
              <w:rPr>
                <w:rFonts w:ascii="Candara" w:eastAsia="Times New Roman" w:hAnsi="Candara" w:cs="Times New Roman"/>
                <w:sz w:val="18"/>
                <w:szCs w:val="18"/>
                <w:lang w:eastAsia="lv-LV"/>
              </w:rPr>
            </w:pPr>
            <w:r w:rsidRPr="002D2715">
              <w:rPr>
                <w:rFonts w:ascii="Candara" w:eastAsia="Times New Roman" w:hAnsi="Candara" w:cs="Times New Roman"/>
                <w:b/>
                <w:sz w:val="18"/>
                <w:szCs w:val="18"/>
                <w:lang w:eastAsia="lv-LV"/>
              </w:rPr>
              <w:t>Zināšanu pārnese (EFLA) –</w:t>
            </w:r>
            <w:r w:rsidRPr="005944CC">
              <w:rPr>
                <w:rFonts w:ascii="Candara" w:eastAsia="Times New Roman" w:hAnsi="Candara" w:cs="Times New Roman"/>
                <w:sz w:val="18"/>
                <w:szCs w:val="18"/>
                <w:lang w:eastAsia="lv-LV"/>
              </w:rPr>
              <w:t xml:space="preserve"> </w:t>
            </w:r>
            <w:r w:rsidRPr="005944CC">
              <w:rPr>
                <w:rFonts w:ascii="Candara" w:eastAsia="Times New Roman" w:hAnsi="Candara" w:cs="Times New Roman"/>
                <w:b/>
                <w:bCs/>
                <w:sz w:val="18"/>
                <w:szCs w:val="18"/>
                <w:lang w:eastAsia="lv-LV"/>
              </w:rPr>
              <w:t xml:space="preserve"> 3152 </w:t>
            </w:r>
            <w:r w:rsidRPr="005944CC">
              <w:rPr>
                <w:rFonts w:ascii="Candara" w:eastAsia="Times New Roman" w:hAnsi="Candara" w:cs="Times New Roman"/>
                <w:sz w:val="18"/>
                <w:szCs w:val="18"/>
                <w:lang w:eastAsia="lv-LV"/>
              </w:rPr>
              <w:t>apmācīti darbinieki (lauksaimniecības, pārtikas ražošanas (izņemot zivsaimniecības produktus) un mežsaimniecības nozarēs)</w:t>
            </w:r>
          </w:p>
          <w:p w:rsidR="00BD4C4B" w:rsidRPr="00062E5D" w:rsidP="00860A6B" w14:paraId="3CF8009C" w14:textId="77777777">
            <w:pPr>
              <w:spacing w:after="0" w:line="240" w:lineRule="auto"/>
              <w:jc w:val="both"/>
              <w:rPr>
                <w:rFonts w:ascii="Candara" w:eastAsia="Times New Roman" w:hAnsi="Candara" w:cs="Times New Roman"/>
                <w:sz w:val="18"/>
                <w:szCs w:val="18"/>
                <w:lang w:eastAsia="lv-LV"/>
              </w:rPr>
            </w:pPr>
            <w:r w:rsidRPr="008E3569">
              <w:rPr>
                <w:rFonts w:ascii="Candara" w:eastAsia="Times New Roman" w:hAnsi="Candara" w:cs="Times New Roman"/>
                <w:b/>
                <w:sz w:val="18"/>
                <w:szCs w:val="18"/>
                <w:lang w:eastAsia="lv-LV"/>
              </w:rPr>
              <w:t>Nodarbināto apmācības</w:t>
            </w:r>
            <w:r w:rsidRPr="00062E5D">
              <w:rPr>
                <w:rFonts w:ascii="Candara" w:eastAsia="Times New Roman" w:hAnsi="Candara" w:cs="Times New Roman"/>
                <w:sz w:val="18"/>
                <w:szCs w:val="18"/>
                <w:lang w:eastAsia="lv-LV"/>
              </w:rPr>
              <w:t>:</w:t>
            </w:r>
          </w:p>
          <w:p w:rsidR="00BD4C4B" w:rsidP="00860A6B" w14:paraId="113C2562" w14:textId="2D6DEDD0">
            <w:pPr>
              <w:spacing w:after="0" w:line="240" w:lineRule="auto"/>
              <w:jc w:val="both"/>
              <w:rPr>
                <w:rFonts w:ascii="Candara" w:eastAsia="Candara" w:hAnsi="Candara" w:cs="Candara"/>
                <w:sz w:val="18"/>
                <w:szCs w:val="18"/>
              </w:rPr>
            </w:pPr>
            <w:r w:rsidRPr="00F77FE9">
              <w:rPr>
                <w:rFonts w:ascii="Candara" w:eastAsia="Times New Roman" w:hAnsi="Candara" w:cs="Times New Roman"/>
                <w:sz w:val="18"/>
                <w:szCs w:val="18"/>
                <w:lang w:eastAsia="lv-LV"/>
              </w:rPr>
              <w:t>Kopā apmācīti 678 komersantu 6211 darbinieki (1.2.2.1.pasākumā 384 komersantu 5303 darbinieki un 1.2.2.3.pasākumā 294 komersantu 908 darbinieki)</w:t>
            </w:r>
          </w:p>
        </w:tc>
      </w:tr>
      <w:tr w14:paraId="1D20B21D" w14:textId="77777777" w:rsidTr="00324F94">
        <w:tblPrEx>
          <w:tblW w:w="13948" w:type="dxa"/>
          <w:tblInd w:w="-115" w:type="dxa"/>
          <w:tblLayout w:type="fixed"/>
          <w:tblLook w:val="0400"/>
        </w:tblPrEx>
        <w:trPr>
          <w:trHeight w:val="620"/>
        </w:trPr>
        <w:tc>
          <w:tcPr>
            <w:tcW w:w="1858" w:type="dxa"/>
            <w:vMerge w:val="restart"/>
            <w:shd w:val="clear" w:color="auto" w:fill="FFFFFF"/>
            <w:vAlign w:val="center"/>
          </w:tcPr>
          <w:p w:rsidR="00BD4C4B" w:rsidP="00BD4C4B" w14:paraId="127D8F91" w14:textId="77777777">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P&amp;I projektos iesaistīto maģistrantu un doktorantu skaits </w:t>
            </w:r>
          </w:p>
        </w:tc>
        <w:tc>
          <w:tcPr>
            <w:tcW w:w="946" w:type="dxa"/>
            <w:vMerge w:val="restart"/>
            <w:shd w:val="clear" w:color="auto" w:fill="FFFFFF"/>
            <w:vAlign w:val="center"/>
          </w:tcPr>
          <w:p w:rsidR="00BD4C4B" w:rsidP="00BD4C4B" w14:paraId="75F95EFA"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SF</w:t>
            </w:r>
          </w:p>
          <w:p w:rsidR="00BD4C4B" w:rsidP="00BD4C4B" w14:paraId="7ABD8A96" w14:textId="77777777">
            <w:pPr>
              <w:spacing w:after="0" w:line="240" w:lineRule="auto"/>
              <w:rPr>
                <w:rFonts w:ascii="Candara" w:eastAsia="Candara" w:hAnsi="Candara" w:cs="Candara"/>
                <w:sz w:val="18"/>
                <w:szCs w:val="18"/>
              </w:rPr>
            </w:pPr>
          </w:p>
          <w:p w:rsidR="00BD4C4B" w:rsidP="00BD4C4B" w14:paraId="547AA0BD" w14:textId="77777777">
            <w:pPr>
              <w:spacing w:after="0" w:line="240" w:lineRule="auto"/>
              <w:rPr>
                <w:rFonts w:ascii="Candara" w:eastAsia="Candara" w:hAnsi="Candara" w:cs="Candara"/>
                <w:sz w:val="18"/>
                <w:szCs w:val="18"/>
              </w:rPr>
            </w:pPr>
          </w:p>
          <w:p w:rsidR="00BD4C4B" w:rsidP="00BD4C4B" w14:paraId="7F75636C"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55743499" w14:textId="77777777">
            <w:pPr>
              <w:spacing w:after="0" w:line="240" w:lineRule="auto"/>
              <w:rPr>
                <w:rFonts w:ascii="Candara" w:eastAsia="Candara" w:hAnsi="Candara" w:cs="Candara"/>
                <w:sz w:val="18"/>
                <w:szCs w:val="18"/>
              </w:rPr>
            </w:pPr>
            <w:r>
              <w:rPr>
                <w:rFonts w:ascii="Candara" w:eastAsia="Candara" w:hAnsi="Candara" w:cs="Candara"/>
                <w:sz w:val="18"/>
                <w:szCs w:val="18"/>
              </w:rPr>
              <w:t>Praktiskie pētījumi (1111)</w:t>
            </w:r>
          </w:p>
        </w:tc>
        <w:tc>
          <w:tcPr>
            <w:tcW w:w="5700" w:type="dxa"/>
            <w:shd w:val="clear" w:color="auto" w:fill="FFFFFF"/>
            <w:vAlign w:val="center"/>
          </w:tcPr>
          <w:p w:rsidR="00BD4C4B" w:rsidP="00860A6B" w14:paraId="6612AFEA" w14:textId="77777777">
            <w:pPr>
              <w:spacing w:after="0" w:line="240" w:lineRule="auto"/>
              <w:rPr>
                <w:rFonts w:ascii="Candara" w:eastAsia="Candara" w:hAnsi="Candara" w:cs="Candara"/>
                <w:sz w:val="18"/>
                <w:szCs w:val="18"/>
              </w:rPr>
            </w:pPr>
            <w:r>
              <w:rPr>
                <w:rFonts w:ascii="Candara" w:eastAsia="Candara" w:hAnsi="Candara" w:cs="Candara"/>
                <w:sz w:val="18"/>
                <w:szCs w:val="18"/>
              </w:rPr>
              <w:t>- vērtēšanas nosacījumi paredz vērtēt pētījuma projekta īstenošanas kvalitāti un efektivitāti, tai skaitā vērtējot studējošo iesaisti pētījuma īstenošanā</w:t>
            </w:r>
          </w:p>
        </w:tc>
        <w:tc>
          <w:tcPr>
            <w:tcW w:w="3060" w:type="dxa"/>
            <w:shd w:val="clear" w:color="auto" w:fill="FFFFFF"/>
            <w:vAlign w:val="center"/>
          </w:tcPr>
          <w:p w:rsidR="00BD4C4B" w:rsidP="00BF4CEA" w14:paraId="75F39825" w14:textId="77777777">
            <w:pPr>
              <w:spacing w:line="240" w:lineRule="auto"/>
              <w:jc w:val="both"/>
              <w:rPr>
                <w:rFonts w:ascii="Candara" w:eastAsia="Candara" w:hAnsi="Candara" w:cs="Candara"/>
                <w:sz w:val="18"/>
                <w:szCs w:val="18"/>
              </w:rPr>
            </w:pPr>
            <w:r>
              <w:rPr>
                <w:rFonts w:ascii="Candara" w:eastAsia="Candara" w:hAnsi="Candara" w:cs="Candara"/>
                <w:b/>
                <w:sz w:val="18"/>
                <w:szCs w:val="18"/>
              </w:rPr>
              <w:t>Praktiskie pētījum</w:t>
            </w:r>
            <w:r>
              <w:rPr>
                <w:rFonts w:ascii="Candara" w:eastAsia="Candara" w:hAnsi="Candara" w:cs="Candara"/>
                <w:sz w:val="18"/>
                <w:szCs w:val="18"/>
              </w:rPr>
              <w:t xml:space="preserve">i (1111) </w:t>
            </w:r>
            <w:r>
              <w:rPr>
                <w:rFonts w:ascii="Candara" w:eastAsia="Candara" w:hAnsi="Candara" w:cs="Candara"/>
                <w:b/>
                <w:sz w:val="18"/>
                <w:szCs w:val="18"/>
              </w:rPr>
              <w:t xml:space="preserve">- 63 PLE </w:t>
            </w:r>
            <w:r>
              <w:rPr>
                <w:rFonts w:ascii="Candara" w:eastAsia="Candara" w:hAnsi="Candara" w:cs="Candara"/>
                <w:sz w:val="18"/>
                <w:szCs w:val="18"/>
              </w:rPr>
              <w:t xml:space="preserve">2017.g. II ceturksnī noslēgti līgumi par </w:t>
            </w:r>
            <w:r w:rsidR="00BF4CEA">
              <w:rPr>
                <w:rFonts w:ascii="Candara" w:eastAsia="Candara" w:hAnsi="Candara" w:cs="Candara"/>
                <w:sz w:val="18"/>
                <w:szCs w:val="18"/>
              </w:rPr>
              <w:t xml:space="preserve">74 </w:t>
            </w:r>
            <w:r>
              <w:rPr>
                <w:rFonts w:ascii="Candara" w:eastAsia="Candara" w:hAnsi="Candara" w:cs="Candara"/>
                <w:sz w:val="18"/>
                <w:szCs w:val="18"/>
              </w:rPr>
              <w:t>pētniecības projektu īstenošanu (kopējais publiskais fin. 39</w:t>
            </w:r>
            <w:r w:rsidR="00BF4CEA">
              <w:rPr>
                <w:rFonts w:ascii="Candara" w:eastAsia="Candara" w:hAnsi="Candara" w:cs="Candara"/>
                <w:sz w:val="18"/>
                <w:szCs w:val="18"/>
              </w:rPr>
              <w:t>,77</w:t>
            </w:r>
            <w:r>
              <w:rPr>
                <w:rFonts w:ascii="Candara" w:eastAsia="Candara" w:hAnsi="Candara" w:cs="Candara"/>
                <w:sz w:val="18"/>
                <w:szCs w:val="18"/>
              </w:rPr>
              <w:t xml:space="preserve"> MEUR), kuru īstenošanai paredzēts piesaistīt </w:t>
            </w:r>
            <w:r>
              <w:rPr>
                <w:rFonts w:ascii="Candara" w:eastAsia="Candara" w:hAnsi="Candara" w:cs="Candara"/>
                <w:b/>
                <w:sz w:val="18"/>
                <w:szCs w:val="18"/>
              </w:rPr>
              <w:t xml:space="preserve">148 </w:t>
            </w:r>
            <w:r>
              <w:rPr>
                <w:rFonts w:ascii="Candara" w:eastAsia="Candara" w:hAnsi="Candara" w:cs="Candara"/>
                <w:sz w:val="18"/>
                <w:szCs w:val="18"/>
              </w:rPr>
              <w:t>maģistra un doktora studiju programmās studējošos 63 PLE apmērā</w:t>
            </w:r>
          </w:p>
        </w:tc>
      </w:tr>
      <w:tr w14:paraId="0B23D220" w14:textId="77777777" w:rsidTr="00324F94">
        <w:tblPrEx>
          <w:tblW w:w="13948" w:type="dxa"/>
          <w:tblInd w:w="-115" w:type="dxa"/>
          <w:tblLayout w:type="fixed"/>
          <w:tblLook w:val="0400"/>
        </w:tblPrEx>
        <w:trPr>
          <w:trHeight w:val="420"/>
        </w:trPr>
        <w:tc>
          <w:tcPr>
            <w:tcW w:w="1858" w:type="dxa"/>
            <w:vMerge/>
            <w:shd w:val="clear" w:color="auto" w:fill="FFFFFF"/>
            <w:vAlign w:val="center"/>
          </w:tcPr>
          <w:p w:rsidR="00BD4C4B" w:rsidP="00BD4C4B" w14:paraId="0A5DC0F4"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49C00FE1"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682E1044" w14:textId="77777777">
            <w:pPr>
              <w:spacing w:after="0" w:line="240" w:lineRule="auto"/>
              <w:rPr>
                <w:rFonts w:ascii="Candara" w:eastAsia="Candara" w:hAnsi="Candara" w:cs="Candara"/>
                <w:sz w:val="18"/>
                <w:szCs w:val="18"/>
              </w:rPr>
            </w:pPr>
            <w:r>
              <w:rPr>
                <w:rFonts w:ascii="Candara" w:eastAsia="Candara" w:hAnsi="Candara" w:cs="Candara"/>
                <w:sz w:val="18"/>
                <w:szCs w:val="18"/>
              </w:rPr>
              <w:t>Inovācijas granti studentiem (1113)</w:t>
            </w:r>
          </w:p>
        </w:tc>
        <w:tc>
          <w:tcPr>
            <w:tcW w:w="5700" w:type="dxa"/>
            <w:shd w:val="clear" w:color="auto" w:fill="FFFFFF"/>
            <w:vAlign w:val="center"/>
          </w:tcPr>
          <w:p w:rsidR="00BD4C4B" w:rsidP="00860A6B" w14:paraId="4A32DF43" w14:textId="27B31784">
            <w:pPr>
              <w:spacing w:after="0" w:line="240" w:lineRule="auto"/>
              <w:rPr>
                <w:rFonts w:ascii="Candara" w:eastAsia="Candara" w:hAnsi="Candara" w:cs="Candara"/>
                <w:sz w:val="18"/>
                <w:szCs w:val="18"/>
              </w:rPr>
            </w:pPr>
            <w:r>
              <w:rPr>
                <w:rFonts w:ascii="Candara" w:eastAsia="Candara" w:hAnsi="Candara" w:cs="Candara"/>
                <w:sz w:val="18"/>
                <w:szCs w:val="18"/>
              </w:rPr>
              <w:t>- programmas ietvaros tiek sniegts atbalsts studentu inovāciju projektu īstenošanai</w:t>
            </w:r>
          </w:p>
        </w:tc>
        <w:tc>
          <w:tcPr>
            <w:tcW w:w="3060" w:type="dxa"/>
            <w:shd w:val="clear" w:color="auto" w:fill="FFFFFF"/>
            <w:vAlign w:val="center"/>
          </w:tcPr>
          <w:p w:rsidR="00BD4C4B" w:rsidP="00860A6B" w14:paraId="1CABF006" w14:textId="586761BB">
            <w:pPr>
              <w:spacing w:after="0" w:line="240" w:lineRule="auto"/>
              <w:jc w:val="both"/>
              <w:rPr>
                <w:rFonts w:ascii="Candara" w:eastAsia="Candara" w:hAnsi="Candara" w:cs="Candara"/>
                <w:sz w:val="18"/>
                <w:szCs w:val="18"/>
              </w:rPr>
            </w:pPr>
            <w:r>
              <w:rPr>
                <w:rFonts w:ascii="Candara" w:eastAsia="Candara" w:hAnsi="Candara" w:cs="Candara"/>
                <w:sz w:val="18"/>
                <w:szCs w:val="18"/>
              </w:rPr>
              <w:t xml:space="preserve">ievērojot, ka ieviešanas nosacījumi ir izstrādāti, bet šobrīd norisinās atlases </w:t>
            </w:r>
            <w:r>
              <w:rPr>
                <w:rFonts w:ascii="Candara" w:eastAsia="Candara" w:hAnsi="Candara" w:cs="Candara"/>
                <w:sz w:val="18"/>
                <w:szCs w:val="18"/>
              </w:rPr>
              <w:t>dokumentācijas izstrāde, vēl nav sasniegti rezultāti vai uzņemtas saistības</w:t>
            </w:r>
          </w:p>
        </w:tc>
      </w:tr>
      <w:tr w14:paraId="25799DD3" w14:textId="77777777" w:rsidTr="00324F94">
        <w:tblPrEx>
          <w:tblW w:w="13948" w:type="dxa"/>
          <w:tblInd w:w="-115" w:type="dxa"/>
          <w:tblLayout w:type="fixed"/>
          <w:tblLook w:val="0400"/>
        </w:tblPrEx>
        <w:trPr>
          <w:trHeight w:val="695"/>
        </w:trPr>
        <w:tc>
          <w:tcPr>
            <w:tcW w:w="1858" w:type="dxa"/>
            <w:vMerge/>
            <w:shd w:val="clear" w:color="auto" w:fill="FFFFFF"/>
            <w:vAlign w:val="center"/>
          </w:tcPr>
          <w:p w:rsidR="00BD4C4B" w:rsidP="00BD4C4B" w14:paraId="7840D516"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6A3BA76C"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0D92D2F2" w14:textId="77777777">
            <w:pPr>
              <w:spacing w:after="0" w:line="240" w:lineRule="auto"/>
              <w:rPr>
                <w:rFonts w:ascii="Candara" w:eastAsia="Candara" w:hAnsi="Candara" w:cs="Candara"/>
                <w:sz w:val="18"/>
                <w:szCs w:val="18"/>
              </w:rPr>
            </w:pPr>
            <w:r>
              <w:rPr>
                <w:rFonts w:ascii="Candara" w:eastAsia="Candara" w:hAnsi="Candara" w:cs="Candara"/>
                <w:sz w:val="18"/>
                <w:szCs w:val="18"/>
              </w:rPr>
              <w:t>KC programma (1211); TPP (Tehnoloģiju pārnese, Inovāciju vaučeri, augstas kvalif. darbinieki) (1212)</w:t>
            </w:r>
          </w:p>
        </w:tc>
        <w:tc>
          <w:tcPr>
            <w:tcW w:w="5700" w:type="dxa"/>
            <w:shd w:val="clear" w:color="auto" w:fill="FFFFFF"/>
            <w:vAlign w:val="center"/>
          </w:tcPr>
          <w:p w:rsidR="00BD4C4B" w:rsidRPr="00BD4C4B" w:rsidP="00860A6B" w14:paraId="54B3594A" w14:textId="77777777">
            <w:pPr>
              <w:spacing w:after="0" w:line="240" w:lineRule="auto"/>
              <w:rPr>
                <w:rFonts w:ascii="Candara" w:eastAsia="Candara" w:hAnsi="Candara" w:cs="Candara"/>
                <w:sz w:val="18"/>
                <w:szCs w:val="18"/>
              </w:rPr>
            </w:pPr>
            <w:r w:rsidRPr="00BD4C4B">
              <w:rPr>
                <w:rFonts w:ascii="Candara" w:eastAsia="Candara" w:hAnsi="Candara" w:cs="Candara"/>
                <w:sz w:val="18"/>
                <w:szCs w:val="18"/>
              </w:rPr>
              <w:t> </w:t>
            </w:r>
            <w:r w:rsidRPr="00BD4C4B">
              <w:rPr>
                <w:rFonts w:ascii="Candara" w:eastAsia="Candara" w:hAnsi="Candara" w:cs="Candara"/>
                <w:b/>
                <w:sz w:val="18"/>
                <w:szCs w:val="18"/>
              </w:rPr>
              <w:t>KC programma</w:t>
            </w:r>
            <w:r w:rsidRPr="00BD4C4B">
              <w:rPr>
                <w:rFonts w:ascii="Candara" w:eastAsia="Candara" w:hAnsi="Candara" w:cs="Candara"/>
                <w:sz w:val="18"/>
                <w:szCs w:val="18"/>
              </w:rPr>
              <w:t>:</w:t>
            </w:r>
          </w:p>
          <w:p w:rsidR="00BD4C4B" w:rsidRPr="00BD4C4B" w:rsidP="00860A6B" w14:paraId="7F7561BE" w14:textId="77777777">
            <w:pPr>
              <w:spacing w:after="0" w:line="240" w:lineRule="auto"/>
              <w:rPr>
                <w:rFonts w:ascii="Candara" w:eastAsia="Candara" w:hAnsi="Candara" w:cs="Candara"/>
                <w:sz w:val="18"/>
                <w:szCs w:val="18"/>
              </w:rPr>
            </w:pPr>
            <w:r w:rsidRPr="00BD4C4B">
              <w:rPr>
                <w:rFonts w:ascii="Candara" w:eastAsia="Candara" w:hAnsi="Candara" w:cs="Candara"/>
                <w:sz w:val="18"/>
                <w:szCs w:val="18"/>
              </w:rPr>
              <w:t>Atbilstošo finansējuma intensitāti var palielināt par 15 procentpunktiem, ja pētījuma ietvaros ir efektīva sadarbība ar vismaz vienu pētniecības un zināšanu izplatīšanas organizāciju Komisijas regulas Nr. 651/2014 2. panta 90. punkta izpratnē, un pētniecības un zināšanu izplatīšanas organizācija sedz vismaz 10 % no kopējām attiecināmajām izmaksām, un tai ir tiesības publicēt sava pētījuma rezultātus</w:t>
            </w:r>
          </w:p>
          <w:p w:rsidR="00BD4C4B" w:rsidRPr="00BD4C4B" w:rsidP="00860A6B" w14:paraId="5533AB83" w14:textId="77777777">
            <w:pPr>
              <w:spacing w:after="0" w:line="240" w:lineRule="auto"/>
              <w:rPr>
                <w:rFonts w:ascii="Candara" w:eastAsia="Candara" w:hAnsi="Candara" w:cs="Candara"/>
                <w:sz w:val="18"/>
                <w:szCs w:val="18"/>
              </w:rPr>
            </w:pPr>
          </w:p>
          <w:p w:rsidR="00BD4C4B" w:rsidRPr="00BD4C4B" w:rsidP="00860A6B" w14:paraId="3A47933D" w14:textId="77777777">
            <w:pPr>
              <w:spacing w:after="0" w:line="240" w:lineRule="auto"/>
              <w:rPr>
                <w:rFonts w:ascii="Candara" w:eastAsia="Candara" w:hAnsi="Candara" w:cs="Candara"/>
                <w:sz w:val="18"/>
                <w:szCs w:val="18"/>
              </w:rPr>
            </w:pPr>
            <w:r w:rsidRPr="00BD4C4B">
              <w:rPr>
                <w:rFonts w:ascii="Candara" w:eastAsia="Candara" w:hAnsi="Candara" w:cs="Candara"/>
                <w:b/>
                <w:sz w:val="18"/>
                <w:szCs w:val="18"/>
              </w:rPr>
              <w:t>TP programma</w:t>
            </w:r>
            <w:r w:rsidRPr="00BD4C4B">
              <w:rPr>
                <w:rFonts w:ascii="Candara" w:eastAsia="Candara" w:hAnsi="Candara" w:cs="Candara"/>
                <w:sz w:val="18"/>
                <w:szCs w:val="18"/>
              </w:rPr>
              <w:t>:</w:t>
            </w:r>
          </w:p>
          <w:p w:rsidR="00BD4C4B" w:rsidRPr="00BD4C4B" w:rsidP="00860A6B" w14:paraId="66E84C0C" w14:textId="77777777">
            <w:pPr>
              <w:spacing w:after="0" w:line="240" w:lineRule="auto"/>
              <w:rPr>
                <w:rFonts w:ascii="Candara" w:eastAsia="Candara" w:hAnsi="Candara" w:cs="Candara"/>
                <w:sz w:val="18"/>
                <w:szCs w:val="18"/>
              </w:rPr>
            </w:pPr>
            <w:r w:rsidRPr="00BD4C4B">
              <w:rPr>
                <w:rFonts w:ascii="Candara" w:eastAsia="Candara" w:hAnsi="Candara" w:cs="Candara"/>
                <w:sz w:val="18"/>
                <w:szCs w:val="18"/>
              </w:rPr>
              <w:t>Viena no augstas kvalifikācijas darbinieku piesaistes prasībām, ka piesaistītajam augstas kvalifikācijas darbinieks ir:</w:t>
            </w:r>
          </w:p>
          <w:p w:rsidR="00BD4C4B" w:rsidRPr="00BD4C4B" w:rsidP="00860A6B" w14:paraId="78BA4DBC" w14:textId="77777777">
            <w:pPr>
              <w:spacing w:after="0" w:line="240" w:lineRule="auto"/>
              <w:rPr>
                <w:rFonts w:ascii="Candara" w:eastAsia="Candara" w:hAnsi="Candara" w:cs="Candara"/>
                <w:sz w:val="18"/>
                <w:szCs w:val="18"/>
              </w:rPr>
            </w:pPr>
            <w:r w:rsidRPr="00BD4C4B">
              <w:rPr>
                <w:rFonts w:ascii="Candara" w:eastAsia="Candara" w:hAnsi="Candara" w:cs="Candara"/>
                <w:sz w:val="18"/>
                <w:szCs w:val="18"/>
              </w:rPr>
              <w:t>• darbiniekam ir atbilstoša augstākā izglītība – vismaz maģistra grāds vai tam pielīdzināma (tai skaitā ārvalstīs iegūta) izglītība dabas zinātnēs, matemātikā, informācijas tehnoloģijās, inženierzinātnēs un tehnoloģijās, ražošanā un pārstrādē, kā arī dizainā atbilstoši normatīvajiem aktiem par Latvijas izglītības klasifikāciju;</w:t>
            </w:r>
          </w:p>
        </w:tc>
        <w:tc>
          <w:tcPr>
            <w:tcW w:w="3060" w:type="dxa"/>
            <w:shd w:val="clear" w:color="auto" w:fill="FFFFFF"/>
          </w:tcPr>
          <w:p w:rsidR="00BD4C4B" w:rsidRPr="00BD4C4B" w:rsidP="00860A6B" w14:paraId="1E451C49" w14:textId="77777777">
            <w:pPr>
              <w:spacing w:after="0" w:line="240" w:lineRule="auto"/>
              <w:jc w:val="both"/>
              <w:rPr>
                <w:rFonts w:ascii="Candara" w:eastAsia="Candara" w:hAnsi="Candara" w:cs="Candara"/>
                <w:sz w:val="18"/>
                <w:szCs w:val="18"/>
              </w:rPr>
            </w:pPr>
            <w:r w:rsidRPr="00BD4C4B">
              <w:rPr>
                <w:rFonts w:ascii="Candara" w:eastAsia="Candara" w:hAnsi="Candara" w:cs="Candara"/>
                <w:sz w:val="18"/>
                <w:szCs w:val="18"/>
              </w:rPr>
              <w:t> KC programma:</w:t>
            </w:r>
          </w:p>
          <w:p w:rsidR="00BD4C4B" w:rsidRPr="00BD4C4B" w:rsidP="00860A6B" w14:paraId="5C5AE114" w14:textId="25F3DD72">
            <w:pPr>
              <w:spacing w:after="0" w:line="240" w:lineRule="auto"/>
              <w:jc w:val="both"/>
              <w:rPr>
                <w:rFonts w:ascii="Candara" w:eastAsia="Candara" w:hAnsi="Candara" w:cs="Candara"/>
                <w:sz w:val="18"/>
                <w:szCs w:val="18"/>
              </w:rPr>
            </w:pPr>
            <w:r w:rsidRPr="00BD4C4B">
              <w:rPr>
                <w:rFonts w:ascii="Candara" w:eastAsia="Candara" w:hAnsi="Candara" w:cs="Candara"/>
                <w:sz w:val="18"/>
                <w:szCs w:val="18"/>
              </w:rPr>
              <w:t xml:space="preserve">Pētniecības projektā iesaistīto doktorantu skaits - </w:t>
            </w:r>
            <w:r w:rsidR="0060270D">
              <w:rPr>
                <w:rFonts w:ascii="Candara" w:eastAsia="Candara" w:hAnsi="Candara" w:cs="Candara"/>
                <w:sz w:val="18"/>
                <w:szCs w:val="18"/>
              </w:rPr>
              <w:t>93</w:t>
            </w:r>
            <w:r w:rsidRPr="00BD4C4B">
              <w:rPr>
                <w:rFonts w:ascii="Candara" w:eastAsia="Candara" w:hAnsi="Candara" w:cs="Candara"/>
                <w:sz w:val="18"/>
                <w:szCs w:val="18"/>
              </w:rPr>
              <w:t xml:space="preserve"> (201</w:t>
            </w:r>
            <w:r w:rsidR="0060270D">
              <w:rPr>
                <w:rFonts w:ascii="Candara" w:eastAsia="Candara" w:hAnsi="Candara" w:cs="Candara"/>
                <w:sz w:val="18"/>
                <w:szCs w:val="18"/>
              </w:rPr>
              <w:t>7</w:t>
            </w:r>
            <w:r w:rsidRPr="00BD4C4B">
              <w:rPr>
                <w:rFonts w:ascii="Candara" w:eastAsia="Candara" w:hAnsi="Candara" w:cs="Candara"/>
                <w:sz w:val="18"/>
                <w:szCs w:val="18"/>
              </w:rPr>
              <w:t>.g)</w:t>
            </w:r>
          </w:p>
        </w:tc>
      </w:tr>
      <w:tr w14:paraId="30A990B5" w14:textId="77777777" w:rsidTr="00324F94">
        <w:tblPrEx>
          <w:tblW w:w="13948" w:type="dxa"/>
          <w:tblInd w:w="-115" w:type="dxa"/>
          <w:tblLayout w:type="fixed"/>
          <w:tblLook w:val="0400"/>
        </w:tblPrEx>
        <w:trPr>
          <w:trHeight w:val="307"/>
        </w:trPr>
        <w:tc>
          <w:tcPr>
            <w:tcW w:w="1858" w:type="dxa"/>
            <w:vMerge/>
            <w:shd w:val="clear" w:color="auto" w:fill="FFFFFF"/>
            <w:vAlign w:val="center"/>
          </w:tcPr>
          <w:p w:rsidR="00BD4C4B" w:rsidP="00BD4C4B" w14:paraId="45A86E29" w14:textId="77777777">
            <w:pPr>
              <w:spacing w:after="0" w:line="240" w:lineRule="auto"/>
              <w:rPr>
                <w:rFonts w:ascii="Candara" w:eastAsia="Candara" w:hAnsi="Candara" w:cs="Candara"/>
                <w:sz w:val="18"/>
                <w:szCs w:val="18"/>
              </w:rPr>
            </w:pPr>
          </w:p>
        </w:tc>
        <w:tc>
          <w:tcPr>
            <w:tcW w:w="946" w:type="dxa"/>
            <w:vMerge w:val="restart"/>
            <w:shd w:val="clear" w:color="auto" w:fill="FFFFFF"/>
            <w:vAlign w:val="center"/>
          </w:tcPr>
          <w:p w:rsidR="00BD4C4B" w:rsidP="00BD4C4B" w14:paraId="6996F1CF" w14:textId="77777777">
            <w:pPr>
              <w:spacing w:after="0" w:line="240" w:lineRule="auto"/>
              <w:jc w:val="center"/>
              <w:rPr>
                <w:rFonts w:ascii="Candara" w:eastAsia="Candara" w:hAnsi="Candara" w:cs="Candara"/>
                <w:sz w:val="18"/>
                <w:szCs w:val="18"/>
              </w:rPr>
            </w:pPr>
          </w:p>
          <w:p w:rsidR="00BD4C4B" w:rsidP="00BD4C4B" w14:paraId="5EC78703"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VB</w:t>
            </w:r>
          </w:p>
          <w:p w:rsidR="00767EBA" w:rsidP="00BD4C4B" w14:paraId="27935EC0" w14:textId="77777777">
            <w:pPr>
              <w:spacing w:after="0" w:line="240" w:lineRule="auto"/>
              <w:jc w:val="center"/>
              <w:rPr>
                <w:rFonts w:ascii="Candara" w:eastAsia="Candara" w:hAnsi="Candara" w:cs="Candara"/>
                <w:sz w:val="18"/>
                <w:szCs w:val="18"/>
              </w:rPr>
            </w:pPr>
            <w:r>
              <w:rPr>
                <w:rFonts w:ascii="Candara" w:eastAsia="Candara" w:hAnsi="Candara" w:cs="Candara"/>
                <w:sz w:val="18"/>
                <w:szCs w:val="18"/>
              </w:rPr>
              <w:t>(IZM)</w:t>
            </w:r>
          </w:p>
          <w:p w:rsidR="00BD4C4B" w:rsidP="00BD4C4B" w14:paraId="5BA6AB5D" w14:textId="77777777">
            <w:pPr>
              <w:spacing w:after="0" w:line="240" w:lineRule="auto"/>
              <w:rPr>
                <w:rFonts w:ascii="Candara" w:eastAsia="Candara" w:hAnsi="Candara" w:cs="Candara"/>
                <w:sz w:val="18"/>
                <w:szCs w:val="18"/>
              </w:rPr>
            </w:pPr>
          </w:p>
          <w:p w:rsidR="00BD4C4B" w:rsidP="00BD4C4B" w14:paraId="2408F0CB" w14:textId="77777777">
            <w:pPr>
              <w:spacing w:after="0" w:line="240" w:lineRule="auto"/>
              <w:rPr>
                <w:rFonts w:ascii="Candara" w:eastAsia="Candara" w:hAnsi="Candara" w:cs="Candara"/>
                <w:sz w:val="18"/>
                <w:szCs w:val="18"/>
              </w:rPr>
            </w:pPr>
          </w:p>
          <w:p w:rsidR="00BD4C4B" w:rsidP="00BD4C4B" w14:paraId="060A65B4" w14:textId="77777777">
            <w:pPr>
              <w:spacing w:after="0" w:line="240" w:lineRule="auto"/>
              <w:rPr>
                <w:rFonts w:ascii="Candara" w:eastAsia="Candara" w:hAnsi="Candara" w:cs="Candara"/>
                <w:sz w:val="18"/>
                <w:szCs w:val="18"/>
              </w:rPr>
            </w:pPr>
          </w:p>
          <w:p w:rsidR="00BD4C4B" w:rsidP="00BD4C4B" w14:paraId="57EC6894"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2374ECD4" w14:textId="77777777">
            <w:pPr>
              <w:spacing w:after="0" w:line="240" w:lineRule="auto"/>
              <w:rPr>
                <w:rFonts w:ascii="Candara" w:eastAsia="Candara" w:hAnsi="Candara" w:cs="Candara"/>
                <w:sz w:val="18"/>
                <w:szCs w:val="18"/>
              </w:rPr>
            </w:pPr>
            <w:r>
              <w:rPr>
                <w:rFonts w:ascii="Candara" w:eastAsia="Candara" w:hAnsi="Candara" w:cs="Candara"/>
                <w:sz w:val="18"/>
                <w:szCs w:val="18"/>
              </w:rPr>
              <w:t>Bāzes finansējums</w:t>
            </w:r>
          </w:p>
        </w:tc>
        <w:tc>
          <w:tcPr>
            <w:tcW w:w="57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BD4C4B" w:rsidRPr="00BD4C4B" w:rsidP="00860A6B" w14:paraId="57AE4C8B" w14:textId="77777777">
            <w:pPr>
              <w:spacing w:after="0" w:line="240" w:lineRule="auto"/>
              <w:rPr>
                <w:rFonts w:ascii="Candara" w:eastAsia="Candara" w:hAnsi="Candara" w:cs="Candara"/>
                <w:sz w:val="18"/>
                <w:szCs w:val="18"/>
              </w:rPr>
            </w:pPr>
            <w:r w:rsidRPr="00BD4C4B">
              <w:rPr>
                <w:rFonts w:ascii="Candara" w:eastAsia="Candara" w:hAnsi="Candara" w:cs="Candara"/>
                <w:sz w:val="18"/>
                <w:szCs w:val="18"/>
              </w:rPr>
              <w:t>Kā zinātniskās darbības rezultāti finansējuma aprēķinā tiek vērtēti zinātnisko institūciju zinātniskā personāla aizstāvētie promocijas darbi un zinātnisko darbinieku aizstāvētie maģistra darbi iepriekšējā atskaites periodā.</w:t>
            </w:r>
          </w:p>
        </w:tc>
        <w:tc>
          <w:tcPr>
            <w:tcW w:w="30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D4C4B" w:rsidRPr="00BD4C4B" w:rsidP="00860A6B" w14:paraId="54BB4DEE" w14:textId="77777777">
            <w:pPr>
              <w:spacing w:after="0" w:line="240" w:lineRule="auto"/>
              <w:jc w:val="both"/>
              <w:rPr>
                <w:rFonts w:ascii="Candara" w:eastAsia="Candara" w:hAnsi="Candara" w:cs="Candara"/>
                <w:sz w:val="18"/>
                <w:szCs w:val="18"/>
              </w:rPr>
            </w:pPr>
            <w:r w:rsidRPr="00BD4C4B">
              <w:rPr>
                <w:rFonts w:ascii="Candara" w:eastAsia="Candara" w:hAnsi="Candara" w:cs="Candara"/>
                <w:sz w:val="18"/>
                <w:szCs w:val="18"/>
              </w:rPr>
              <w:t>2015.gadā zinātniskajās institūcijās, kuras saņem bāzes finansējumu to zinātniskais personāls ir aizstāvējis 118 promocijas darbus un to zinātniskie darbinieki ir aizstāvējuši 175 maģistra darbus.</w:t>
            </w:r>
          </w:p>
        </w:tc>
      </w:tr>
      <w:tr w14:paraId="1D33FC83" w14:textId="77777777" w:rsidTr="00324F94">
        <w:tblPrEx>
          <w:tblW w:w="13948" w:type="dxa"/>
          <w:tblInd w:w="-115" w:type="dxa"/>
          <w:tblLayout w:type="fixed"/>
          <w:tblLook w:val="0400"/>
        </w:tblPrEx>
        <w:trPr>
          <w:trHeight w:val="620"/>
        </w:trPr>
        <w:tc>
          <w:tcPr>
            <w:tcW w:w="1858" w:type="dxa"/>
            <w:vMerge/>
            <w:shd w:val="clear" w:color="auto" w:fill="FFFFFF"/>
            <w:vAlign w:val="center"/>
          </w:tcPr>
          <w:p w:rsidR="00BD4C4B" w:rsidP="00BD4C4B" w14:paraId="74214325" w14:textId="77777777">
            <w:pPr>
              <w:spacing w:after="0" w:line="240" w:lineRule="auto"/>
              <w:rPr>
                <w:rFonts w:ascii="Candara" w:eastAsia="Candara" w:hAnsi="Candara" w:cs="Candara"/>
                <w:sz w:val="18"/>
                <w:szCs w:val="18"/>
              </w:rPr>
            </w:pPr>
          </w:p>
        </w:tc>
        <w:tc>
          <w:tcPr>
            <w:tcW w:w="946" w:type="dxa"/>
            <w:vMerge/>
            <w:shd w:val="clear" w:color="auto" w:fill="FFFFFF"/>
            <w:vAlign w:val="center"/>
          </w:tcPr>
          <w:p w:rsidR="00BD4C4B" w:rsidP="00BD4C4B" w14:paraId="3B19E903" w14:textId="77777777">
            <w:pPr>
              <w:spacing w:after="0" w:line="240" w:lineRule="auto"/>
              <w:jc w:val="center"/>
              <w:rPr>
                <w:rFonts w:ascii="Candara" w:eastAsia="Candara" w:hAnsi="Candara" w:cs="Candara"/>
                <w:sz w:val="18"/>
                <w:szCs w:val="18"/>
              </w:rPr>
            </w:pPr>
          </w:p>
        </w:tc>
        <w:tc>
          <w:tcPr>
            <w:tcW w:w="2384" w:type="dxa"/>
            <w:shd w:val="clear" w:color="auto" w:fill="FFFFFF"/>
            <w:vAlign w:val="center"/>
          </w:tcPr>
          <w:p w:rsidR="00BD4C4B" w:rsidP="00860A6B" w14:paraId="6C0CFA9E" w14:textId="77777777">
            <w:pPr>
              <w:spacing w:after="0" w:line="240" w:lineRule="auto"/>
              <w:rPr>
                <w:rFonts w:ascii="Candara" w:eastAsia="Candara" w:hAnsi="Candara" w:cs="Candara"/>
                <w:sz w:val="18"/>
                <w:szCs w:val="18"/>
              </w:rPr>
            </w:pPr>
            <w:r>
              <w:rPr>
                <w:rFonts w:ascii="Candara" w:eastAsia="Candara" w:hAnsi="Candara" w:cs="Candara"/>
                <w:sz w:val="18"/>
                <w:szCs w:val="18"/>
              </w:rPr>
              <w:t>Valsts pētījumu programmas 2014-2017</w:t>
            </w:r>
          </w:p>
        </w:tc>
        <w:tc>
          <w:tcPr>
            <w:tcW w:w="57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D4C4B" w:rsidRPr="00BD4C4B" w:rsidP="00860A6B" w14:paraId="48F77A21" w14:textId="77777777">
            <w:pPr>
              <w:spacing w:after="0" w:line="240" w:lineRule="auto"/>
              <w:rPr>
                <w:rFonts w:ascii="Candara" w:eastAsia="Arial" w:hAnsi="Candara" w:cs="Arial"/>
                <w:sz w:val="18"/>
                <w:szCs w:val="18"/>
              </w:rPr>
            </w:pPr>
            <w:r w:rsidRPr="00BD4C4B">
              <w:rPr>
                <w:rFonts w:ascii="Candara" w:eastAsia="Candara" w:hAnsi="Candara" w:cs="Candara"/>
                <w:sz w:val="18"/>
                <w:szCs w:val="18"/>
              </w:rPr>
              <w:t xml:space="preserve">Vērtēšanas nosacījumi paredz </w:t>
            </w:r>
            <w:r w:rsidRPr="00BD4C4B">
              <w:rPr>
                <w:rFonts w:ascii="Candara" w:eastAsia="Arial" w:hAnsi="Candara" w:cs="Arial"/>
                <w:sz w:val="18"/>
                <w:szCs w:val="18"/>
              </w:rPr>
              <w:t>vērtēt īstenošanā iesaistītos jaunos zinātniekus, maģistrantūras un doktorantūras studentus (pamatotus ar skaitu PLE*)</w:t>
            </w:r>
          </w:p>
        </w:tc>
        <w:tc>
          <w:tcPr>
            <w:tcW w:w="30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D4C4B" w:rsidRPr="00BD4C4B" w:rsidP="00860A6B" w14:paraId="59153235" w14:textId="77777777">
            <w:pPr>
              <w:spacing w:after="0" w:line="240" w:lineRule="auto"/>
              <w:jc w:val="both"/>
              <w:rPr>
                <w:rFonts w:ascii="Candara" w:eastAsia="Candara" w:hAnsi="Candara" w:cs="Candara"/>
                <w:sz w:val="18"/>
                <w:szCs w:val="18"/>
              </w:rPr>
            </w:pPr>
            <w:r w:rsidRPr="00BD4C4B">
              <w:rPr>
                <w:rFonts w:ascii="Candara" w:eastAsia="Candara" w:hAnsi="Candara" w:cs="Candara"/>
                <w:sz w:val="18"/>
                <w:szCs w:val="18"/>
              </w:rPr>
              <w:t>Projektos kopā nodarbināti 258 maģistranti un doktoranti (skaits), kuru indikatīvais vidējais PLE ir ~0,15.</w:t>
            </w:r>
          </w:p>
        </w:tc>
      </w:tr>
      <w:tr w14:paraId="4B87C6E1" w14:textId="77777777" w:rsidTr="00324F94">
        <w:tblPrEx>
          <w:tblW w:w="13948" w:type="dxa"/>
          <w:tblInd w:w="-115" w:type="dxa"/>
          <w:tblLayout w:type="fixed"/>
          <w:tblLook w:val="0400"/>
        </w:tblPrEx>
        <w:trPr>
          <w:trHeight w:val="180"/>
        </w:trPr>
        <w:tc>
          <w:tcPr>
            <w:tcW w:w="1858" w:type="dxa"/>
            <w:vMerge/>
            <w:shd w:val="clear" w:color="auto" w:fill="FFFFFF"/>
            <w:vAlign w:val="center"/>
          </w:tcPr>
          <w:p w:rsidR="00BD4C4B" w:rsidP="00BD4C4B" w14:paraId="6E6AFE96"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BD4C4B" w:rsidP="00BD4C4B" w14:paraId="19B5A7E5" w14:textId="77777777">
            <w:pPr>
              <w:spacing w:after="0" w:line="240" w:lineRule="auto"/>
              <w:rPr>
                <w:rFonts w:ascii="Candara" w:eastAsia="Candara" w:hAnsi="Candara" w:cs="Candara"/>
                <w:sz w:val="18"/>
                <w:szCs w:val="18"/>
              </w:rPr>
            </w:pPr>
          </w:p>
        </w:tc>
        <w:tc>
          <w:tcPr>
            <w:tcW w:w="2384" w:type="dxa"/>
            <w:shd w:val="clear" w:color="auto" w:fill="FFFFFF"/>
            <w:vAlign w:val="center"/>
          </w:tcPr>
          <w:p w:rsidR="00BD4C4B" w:rsidP="00860A6B" w14:paraId="68F6C924" w14:textId="77777777">
            <w:pPr>
              <w:spacing w:after="0" w:line="240" w:lineRule="auto"/>
              <w:rPr>
                <w:rFonts w:ascii="Candara" w:eastAsia="Candara" w:hAnsi="Candara" w:cs="Candara"/>
                <w:sz w:val="18"/>
                <w:szCs w:val="18"/>
              </w:rPr>
            </w:pPr>
            <w:r>
              <w:rPr>
                <w:rFonts w:ascii="Candara" w:eastAsia="Candara" w:hAnsi="Candara" w:cs="Candara"/>
                <w:sz w:val="18"/>
                <w:szCs w:val="18"/>
              </w:rPr>
              <w:t>FLPP</w:t>
            </w:r>
          </w:p>
        </w:tc>
        <w:tc>
          <w:tcPr>
            <w:tcW w:w="5700" w:type="dxa"/>
            <w:shd w:val="clear" w:color="auto" w:fill="FFFFFF"/>
            <w:vAlign w:val="center"/>
          </w:tcPr>
          <w:p w:rsidR="00BD4C4B" w:rsidRPr="00BD4C4B" w:rsidP="00860A6B" w14:paraId="5E8F58D2" w14:textId="77777777">
            <w:pPr>
              <w:spacing w:after="0" w:line="240" w:lineRule="auto"/>
              <w:rPr>
                <w:rFonts w:ascii="Candara" w:eastAsia="Candara" w:hAnsi="Candara" w:cs="Candara"/>
                <w:sz w:val="18"/>
                <w:szCs w:val="18"/>
              </w:rPr>
            </w:pPr>
            <w:r w:rsidRPr="00BD4C4B">
              <w:rPr>
                <w:rFonts w:ascii="Candara" w:eastAsia="Candara" w:hAnsi="Candara" w:cs="Candara"/>
                <w:sz w:val="18"/>
                <w:szCs w:val="18"/>
              </w:rPr>
              <w:t>Projektu pieteikumu vērtēšanā iesaistīto maģistrantu un doktorantu skaits ir pieteikuma vērtējumu sekmējošs faktors</w:t>
            </w:r>
          </w:p>
        </w:tc>
        <w:tc>
          <w:tcPr>
            <w:tcW w:w="3060" w:type="dxa"/>
            <w:shd w:val="clear" w:color="auto" w:fill="FFFFFF"/>
            <w:vAlign w:val="center"/>
          </w:tcPr>
          <w:p w:rsidR="00BD4C4B" w:rsidRPr="00BD4C4B" w:rsidP="00860A6B" w14:paraId="3C4F5BF6" w14:textId="77777777">
            <w:pPr>
              <w:spacing w:after="0" w:line="240" w:lineRule="auto"/>
              <w:jc w:val="both"/>
              <w:rPr>
                <w:rFonts w:ascii="Candara" w:eastAsia="Candara" w:hAnsi="Candara" w:cs="Candara"/>
                <w:sz w:val="18"/>
                <w:szCs w:val="18"/>
              </w:rPr>
            </w:pPr>
            <w:r w:rsidRPr="00BD4C4B">
              <w:rPr>
                <w:rFonts w:ascii="Candara" w:eastAsia="Candara" w:hAnsi="Candara" w:cs="Candara"/>
                <w:sz w:val="18"/>
                <w:szCs w:val="18"/>
              </w:rPr>
              <w:t>Nav iegūti rezultāti šajā rādītājā</w:t>
            </w:r>
          </w:p>
        </w:tc>
      </w:tr>
      <w:tr w14:paraId="666434E2" w14:textId="77777777" w:rsidTr="00324F94">
        <w:tblPrEx>
          <w:tblW w:w="13948" w:type="dxa"/>
          <w:tblInd w:w="-115" w:type="dxa"/>
          <w:tblLayout w:type="fixed"/>
          <w:tblLook w:val="0400"/>
        </w:tblPrEx>
        <w:trPr>
          <w:trHeight w:val="180"/>
        </w:trPr>
        <w:tc>
          <w:tcPr>
            <w:tcW w:w="1858" w:type="dxa"/>
            <w:vMerge/>
            <w:shd w:val="clear" w:color="auto" w:fill="FFFFFF"/>
            <w:vAlign w:val="center"/>
          </w:tcPr>
          <w:p w:rsidR="003061DF" w:rsidP="004B52AE" w14:paraId="32E58FC3" w14:textId="77777777">
            <w:pPr>
              <w:spacing w:after="0" w:line="276" w:lineRule="auto"/>
              <w:rPr>
                <w:rFonts w:ascii="Candara" w:eastAsia="Candara" w:hAnsi="Candara" w:cs="Candara"/>
                <w:sz w:val="18"/>
                <w:szCs w:val="18"/>
              </w:rPr>
            </w:pPr>
          </w:p>
        </w:tc>
        <w:tc>
          <w:tcPr>
            <w:tcW w:w="946" w:type="dxa"/>
            <w:vMerge/>
            <w:shd w:val="clear" w:color="auto" w:fill="FFFFFF"/>
            <w:vAlign w:val="center"/>
          </w:tcPr>
          <w:p w:rsidR="003061DF" w:rsidP="004B52AE" w14:paraId="2BC90681" w14:textId="77777777">
            <w:pPr>
              <w:spacing w:after="0" w:line="240" w:lineRule="auto"/>
              <w:rPr>
                <w:rFonts w:ascii="Candara" w:eastAsia="Candara" w:hAnsi="Candara" w:cs="Candara"/>
                <w:sz w:val="18"/>
                <w:szCs w:val="18"/>
              </w:rPr>
            </w:pPr>
          </w:p>
        </w:tc>
        <w:tc>
          <w:tcPr>
            <w:tcW w:w="2384" w:type="dxa"/>
            <w:shd w:val="clear" w:color="auto" w:fill="FFFFFF"/>
            <w:vAlign w:val="center"/>
          </w:tcPr>
          <w:p w:rsidR="003061DF" w:rsidP="00860A6B" w14:paraId="5A0B5475" w14:textId="77777777">
            <w:pPr>
              <w:spacing w:after="0" w:line="240" w:lineRule="auto"/>
              <w:rPr>
                <w:rFonts w:ascii="Candara" w:eastAsia="Candara" w:hAnsi="Candara" w:cs="Candara"/>
                <w:sz w:val="18"/>
                <w:szCs w:val="18"/>
              </w:rPr>
            </w:pPr>
            <w:r>
              <w:rPr>
                <w:rFonts w:ascii="Candara" w:eastAsia="Candara" w:hAnsi="Candara" w:cs="Candara"/>
                <w:sz w:val="18"/>
                <w:szCs w:val="18"/>
              </w:rPr>
              <w:t xml:space="preserve"> AI finansējums</w:t>
            </w:r>
          </w:p>
        </w:tc>
        <w:tc>
          <w:tcPr>
            <w:tcW w:w="5700" w:type="dxa"/>
            <w:shd w:val="clear" w:color="auto" w:fill="FFFFFF"/>
            <w:vAlign w:val="center"/>
          </w:tcPr>
          <w:p w:rsidR="003061DF" w:rsidRPr="00BD4C4B" w:rsidP="00860A6B" w14:paraId="7FB40549" w14:textId="77777777">
            <w:pPr>
              <w:spacing w:after="0" w:line="240" w:lineRule="auto"/>
              <w:rPr>
                <w:rFonts w:ascii="Candara" w:eastAsia="Candara" w:hAnsi="Candara" w:cs="Candara"/>
                <w:sz w:val="18"/>
                <w:szCs w:val="18"/>
              </w:rPr>
            </w:pPr>
            <w:r w:rsidRPr="00BD4C4B">
              <w:rPr>
                <w:rFonts w:ascii="Candara" w:eastAsia="Candara" w:hAnsi="Candara" w:cs="Candara"/>
                <w:sz w:val="18"/>
                <w:szCs w:val="18"/>
              </w:rPr>
              <w:t>2015.gadā ieviestajā snieguma finansējumā viens no kritērijiem ir augstskolā P&amp;A nodarbinātie maģistranti, doktoranti un pēdējo 5 gadu laikā doktora grāda ieguvēji</w:t>
            </w:r>
          </w:p>
        </w:tc>
        <w:tc>
          <w:tcPr>
            <w:tcW w:w="3060" w:type="dxa"/>
            <w:shd w:val="clear" w:color="auto" w:fill="FFFFFF"/>
            <w:vAlign w:val="center"/>
          </w:tcPr>
          <w:p w:rsidR="003061DF" w:rsidRPr="00BD4C4B" w:rsidP="00860A6B" w14:paraId="383BBA3B" w14:textId="77777777">
            <w:pPr>
              <w:spacing w:after="0" w:line="240" w:lineRule="auto"/>
              <w:jc w:val="both"/>
              <w:rPr>
                <w:rFonts w:ascii="Candara" w:eastAsia="Candara" w:hAnsi="Candara" w:cs="Candara"/>
                <w:sz w:val="18"/>
                <w:szCs w:val="18"/>
              </w:rPr>
            </w:pPr>
            <w:r w:rsidRPr="00BD4C4B">
              <w:rPr>
                <w:rFonts w:ascii="Candara" w:eastAsia="Candara" w:hAnsi="Candara" w:cs="Candara"/>
                <w:sz w:val="18"/>
                <w:szCs w:val="18"/>
              </w:rPr>
              <w:t>Starp 2014. un 2015.gadu augstskolās  nodarbināto jauno pētnieku skaits ir palielinājies no 307 PLE līdz 397 PLE</w:t>
            </w:r>
          </w:p>
        </w:tc>
      </w:tr>
    </w:tbl>
    <w:p w:rsidR="00B921B8" w:rsidP="00B921B8" w14:paraId="2D4DBEEF" w14:textId="77777777">
      <w:pPr>
        <w:spacing w:after="0"/>
        <w:jc w:val="both"/>
        <w:rPr>
          <w:rFonts w:ascii="Candara" w:hAnsi="Candara"/>
          <w:b/>
        </w:rPr>
      </w:pPr>
    </w:p>
    <w:p w:rsidR="00996CD8" w:rsidP="009524A9" w14:paraId="1AA2A1D4" w14:textId="77777777">
      <w:pPr>
        <w:spacing w:after="0"/>
        <w:jc w:val="both"/>
        <w:rPr>
          <w:rFonts w:ascii="Candara" w:hAnsi="Candara"/>
          <w:b/>
        </w:rPr>
        <w:sectPr w:rsidSect="00CC788F">
          <w:pgSz w:w="16838" w:h="11906" w:orient="landscape" w:code="9"/>
          <w:pgMar w:top="1304" w:right="992" w:bottom="907" w:left="1418" w:header="425" w:footer="193" w:gutter="0"/>
          <w:cols w:space="708"/>
          <w:titlePg/>
          <w:docGrid w:linePitch="360"/>
        </w:sectPr>
      </w:pPr>
    </w:p>
    <w:p w:rsidR="00F66769" w:rsidP="009524A9" w14:paraId="6C271509" w14:textId="77777777">
      <w:pPr>
        <w:spacing w:after="0"/>
        <w:jc w:val="both"/>
        <w:rPr>
          <w:rFonts w:ascii="Candara" w:hAnsi="Candara"/>
          <w:b/>
        </w:rPr>
      </w:pPr>
      <w:r>
        <w:rPr>
          <w:rFonts w:ascii="Candara" w:hAnsi="Candara"/>
          <w:b/>
        </w:rPr>
        <w:t>9.1. RIS3 MIKRO RĀDĪTĀJI</w:t>
      </w:r>
    </w:p>
    <w:p w:rsidR="009524A9" w:rsidRPr="007713D8" w:rsidP="009524A9" w14:paraId="325EDE00" w14:textId="77777777">
      <w:pPr>
        <w:spacing w:after="0"/>
        <w:jc w:val="both"/>
        <w:rPr>
          <w:rFonts w:ascii="Candara" w:hAnsi="Candara"/>
          <w:b/>
        </w:rPr>
      </w:pPr>
      <w:r w:rsidRPr="007713D8">
        <w:rPr>
          <w:rFonts w:ascii="Candara" w:hAnsi="Candara"/>
          <w:b/>
        </w:rPr>
        <w:t>Zinātnisko institūciju licenču/ patentu ieņēmumi (EUR)</w:t>
      </w:r>
    </w:p>
    <w:p w:rsidR="009524A9" w:rsidP="009F2C2C" w14:paraId="7C7776D8" w14:textId="77777777">
      <w:pPr>
        <w:spacing w:after="0"/>
        <w:ind w:firstLine="426"/>
        <w:jc w:val="both"/>
        <w:rPr>
          <w:rFonts w:ascii="Candara" w:hAnsi="Candara"/>
          <w:color w:val="000000"/>
        </w:rPr>
      </w:pPr>
      <w:r w:rsidRPr="007713D8">
        <w:rPr>
          <w:rFonts w:ascii="Candara" w:hAnsi="Candara"/>
        </w:rPr>
        <w:t xml:space="preserve">Attiecībā uz </w:t>
      </w:r>
      <w:r>
        <w:rPr>
          <w:rFonts w:ascii="Candara" w:hAnsi="Candara"/>
        </w:rPr>
        <w:t xml:space="preserve">zinātnisko institūciju licenču un </w:t>
      </w:r>
      <w:r w:rsidRPr="007713D8">
        <w:rPr>
          <w:rFonts w:ascii="Candara" w:hAnsi="Candara"/>
        </w:rPr>
        <w:t>patentu ieņēmumiem</w:t>
      </w:r>
      <w:r>
        <w:rPr>
          <w:rFonts w:ascii="Candara" w:hAnsi="Candara"/>
        </w:rPr>
        <w:t>,</w:t>
      </w:r>
      <w:r w:rsidRPr="007713D8">
        <w:rPr>
          <w:rFonts w:ascii="Candara" w:hAnsi="Candara"/>
        </w:rPr>
        <w:t xml:space="preserve"> ieguldījumu šim rādītājam snied</w:t>
      </w:r>
      <w:r>
        <w:rPr>
          <w:rFonts w:ascii="Candara" w:hAnsi="Candara"/>
        </w:rPr>
        <w:t>z zinātnes bāzes finansējuma noteikumi</w:t>
      </w:r>
      <w:r w:rsidRPr="007713D8">
        <w:rPr>
          <w:rFonts w:ascii="Candara" w:hAnsi="Candara"/>
        </w:rPr>
        <w:t xml:space="preserve">, kura aprēķināšana ir reglamentēta </w:t>
      </w:r>
      <w:r w:rsidRPr="007713D8">
        <w:rPr>
          <w:rFonts w:ascii="Candara" w:hAnsi="Candara"/>
          <w:color w:val="000000"/>
        </w:rPr>
        <w:t>Ministru Kabineta 2013.gada 12.novembra noteikumos Nr.1316 “Kārtība, kādā aprēķina un piešķir bāzes finansējumu zinātniskajām i</w:t>
      </w:r>
      <w:r w:rsidR="00625C7B">
        <w:rPr>
          <w:rFonts w:ascii="Candara" w:hAnsi="Candara"/>
          <w:color w:val="000000"/>
        </w:rPr>
        <w:t>nstitūcijām”. Šo noteikumu 10.4.</w:t>
      </w:r>
      <w:r w:rsidRPr="007713D8">
        <w:rPr>
          <w:rFonts w:ascii="Candara" w:hAnsi="Candara"/>
          <w:color w:val="000000"/>
        </w:rPr>
        <w:t>apakšpunktā kā daļa no rezult</w:t>
      </w:r>
      <w:r>
        <w:rPr>
          <w:rFonts w:ascii="Candara" w:hAnsi="Candara"/>
          <w:color w:val="000000"/>
        </w:rPr>
        <w:t>atīvajiem rādītājiem ir noteikti</w:t>
      </w:r>
      <w:r w:rsidRPr="007713D8">
        <w:rPr>
          <w:rFonts w:ascii="Candara" w:hAnsi="Candara"/>
          <w:color w:val="000000"/>
        </w:rPr>
        <w:t xml:space="preserve"> zinātniskās institūcijas ieņēmumi no izgudrojumu, patentu vai reģistrēto augu šķirņu un reģistrēto meža reproduktīvā materiāla avotu tiesību nodošanas ie</w:t>
      </w:r>
      <w:r w:rsidR="008E687D">
        <w:rPr>
          <w:rFonts w:ascii="Candara" w:hAnsi="Candara"/>
          <w:color w:val="000000"/>
        </w:rPr>
        <w:t xml:space="preserve">priekšējā finansēšanas periodā. </w:t>
      </w:r>
      <w:r>
        <w:rPr>
          <w:rFonts w:ascii="Candara" w:hAnsi="Candara"/>
          <w:color w:val="000000"/>
        </w:rPr>
        <w:t>Šī rādītāja ietekme zinātnes bāzes finansējuma aprēķināšanā ir salīdzinoši neliela</w:t>
      </w:r>
      <w:r w:rsidRPr="007713D8">
        <w:rPr>
          <w:rFonts w:ascii="Candara" w:hAnsi="Candara"/>
          <w:color w:val="000000"/>
        </w:rPr>
        <w:t>, jo tā ir tikai neliela daļa no 10.4 apakšpunkta rādītāja (</w:t>
      </w:r>
      <w:r w:rsidR="00E5585A">
        <w:rPr>
          <w:rFonts w:ascii="Candara" w:hAnsi="Candara"/>
          <w:color w:val="000000"/>
        </w:rPr>
        <w:t>to</w:t>
      </w:r>
      <w:r w:rsidRPr="007713D8">
        <w:rPr>
          <w:rFonts w:ascii="Candara" w:hAnsi="Candara"/>
          <w:color w:val="000000"/>
        </w:rPr>
        <w:t xml:space="preserve"> galvenokārt veido nozares pasūtīto līgumpētījumu finansējums), kurš ir viens no 8 rezultatīvajiem rādītājiem, kuri nosaka zinātniskajai institūcijai kopējo atnesto attīstības koeficienta finansējumu.</w:t>
      </w:r>
      <w:r w:rsidR="008E687D">
        <w:rPr>
          <w:rFonts w:ascii="Candara" w:hAnsi="Candara"/>
          <w:color w:val="000000"/>
        </w:rPr>
        <w:t xml:space="preserve"> </w:t>
      </w:r>
      <w:r>
        <w:rPr>
          <w:rFonts w:ascii="Candara" w:hAnsi="Candara"/>
          <w:color w:val="000000"/>
        </w:rPr>
        <w:t xml:space="preserve">Tām zinātniskajām institūcijām, kuras saņem zinātnes bāzes finansējumu, ieņēmumi no licencēm vai patentiem 2015.gadā veidoja </w:t>
      </w:r>
      <w:r w:rsidRPr="00C95113">
        <w:rPr>
          <w:rFonts w:ascii="Candara" w:hAnsi="Candara"/>
          <w:color w:val="000000"/>
        </w:rPr>
        <w:t>362</w:t>
      </w:r>
      <w:r w:rsidR="00D55166">
        <w:rPr>
          <w:rFonts w:ascii="Candara" w:hAnsi="Candara"/>
          <w:color w:val="000000"/>
        </w:rPr>
        <w:t> </w:t>
      </w:r>
      <w:r w:rsidRPr="00C95113">
        <w:rPr>
          <w:rFonts w:ascii="Candara" w:hAnsi="Candara"/>
          <w:color w:val="000000"/>
        </w:rPr>
        <w:t>546</w:t>
      </w:r>
      <w:r w:rsidR="00D55166">
        <w:rPr>
          <w:rFonts w:ascii="Candara" w:hAnsi="Candara"/>
          <w:color w:val="000000"/>
        </w:rPr>
        <w:t xml:space="preserve"> EUR</w:t>
      </w:r>
      <w:r>
        <w:rPr>
          <w:rFonts w:ascii="Candara" w:hAnsi="Candara"/>
          <w:color w:val="000000"/>
        </w:rPr>
        <w:t xml:space="preserve">, kas veido 3,3 % no </w:t>
      </w:r>
      <w:r w:rsidRPr="00C95113">
        <w:rPr>
          <w:rFonts w:ascii="Candara" w:hAnsi="Candara"/>
          <w:color w:val="000000"/>
        </w:rPr>
        <w:t xml:space="preserve">īstenoto </w:t>
      </w:r>
      <w:r>
        <w:rPr>
          <w:rFonts w:ascii="Candara" w:hAnsi="Candara"/>
          <w:color w:val="000000"/>
        </w:rPr>
        <w:t xml:space="preserve">P&amp;A </w:t>
      </w:r>
      <w:r w:rsidRPr="00C95113">
        <w:rPr>
          <w:rFonts w:ascii="Candara" w:hAnsi="Candara"/>
          <w:color w:val="000000"/>
        </w:rPr>
        <w:t xml:space="preserve">līgumdarbu </w:t>
      </w:r>
      <w:r>
        <w:rPr>
          <w:rFonts w:ascii="Candara" w:hAnsi="Candara"/>
          <w:color w:val="000000"/>
        </w:rPr>
        <w:t xml:space="preserve">un </w:t>
      </w:r>
      <w:r w:rsidRPr="00C95113">
        <w:rPr>
          <w:rFonts w:ascii="Candara" w:hAnsi="Candara"/>
          <w:color w:val="000000"/>
        </w:rPr>
        <w:t>izgudrojumu, patentu vai reģistrēto augu šķirņu un reģistrēto meža reproduktīvā materiāla avotu tiesību nodošanas</w:t>
      </w:r>
      <w:r w:rsidR="008E687D">
        <w:rPr>
          <w:rFonts w:ascii="Candara" w:hAnsi="Candara"/>
          <w:color w:val="000000"/>
        </w:rPr>
        <w:t xml:space="preserve"> kopējā apjoma. </w:t>
      </w:r>
      <w:r>
        <w:rPr>
          <w:rFonts w:ascii="Candara" w:hAnsi="Candara"/>
          <w:color w:val="000000"/>
        </w:rPr>
        <w:t>Kopējie zinātnisko institūciju ieņēmumi no intelektuālā īpašuma tiesību nodošanas ir salīdzinoši nelieli un zems ir arī kopējais piešķir</w:t>
      </w:r>
      <w:r w:rsidR="008E687D">
        <w:rPr>
          <w:rFonts w:ascii="Candara" w:hAnsi="Candara"/>
          <w:color w:val="000000"/>
        </w:rPr>
        <w:t xml:space="preserve">to un pieteikto patentu skaits. </w:t>
      </w:r>
      <w:r w:rsidRPr="007713D8">
        <w:rPr>
          <w:rFonts w:ascii="Candara" w:hAnsi="Candara"/>
          <w:color w:val="000000"/>
        </w:rPr>
        <w:t xml:space="preserve">Zinātnes bāzes finansējuma piešķiršanas noteikumi arī papildus atbalsta institūcijas šajā rādītājā, nosakot, zinātnes bāzes finansējums ir arī </w:t>
      </w:r>
      <w:r w:rsidRPr="007713D8">
        <w:rPr>
          <w:rFonts w:ascii="Candara" w:hAnsi="Candara"/>
          <w:i/>
          <w:color w:val="000000"/>
        </w:rPr>
        <w:t>izmantojams izgudrojumu patentēšanai, uzturēšanai spēkā, jaunu augu šķirņu reģistrēšanai un to izmantošanas tiesību aizsardzībai, saimnieciskās izmantošanas (komercializācijas) sagatavošanai</w:t>
      </w:r>
      <w:r w:rsidRPr="007713D8">
        <w:rPr>
          <w:rFonts w:ascii="Candara" w:hAnsi="Candara"/>
          <w:color w:val="000000"/>
        </w:rPr>
        <w:t>.</w:t>
      </w:r>
    </w:p>
    <w:p w:rsidR="005F4EDC" w:rsidP="009F2C2C" w14:paraId="0E173C4D" w14:textId="77777777">
      <w:pPr>
        <w:spacing w:after="0"/>
        <w:ind w:firstLine="426"/>
        <w:jc w:val="both"/>
        <w:rPr>
          <w:rFonts w:ascii="Candara" w:hAnsi="Candara"/>
          <w:color w:val="000000"/>
        </w:rPr>
      </w:pPr>
      <w:r>
        <w:rPr>
          <w:rFonts w:ascii="Candara" w:hAnsi="Candara"/>
          <w:color w:val="000000"/>
        </w:rPr>
        <w:t xml:space="preserve">Valsts pētījumu programmu īstenotajos projektos starp 2014. – 2017.gadu kopā ir izstrādāti 5 patenti (4 patenti </w:t>
      </w:r>
      <w:r w:rsidRPr="008E3AE3">
        <w:rPr>
          <w:rFonts w:ascii="Candara" w:hAnsi="Candara"/>
          <w:color w:val="000000"/>
        </w:rPr>
        <w:t>IMATEH</w:t>
      </w:r>
      <w:r>
        <w:rPr>
          <w:rFonts w:ascii="Candara" w:hAnsi="Candara"/>
          <w:color w:val="000000"/>
        </w:rPr>
        <w:t xml:space="preserve"> projektā</w:t>
      </w:r>
      <w:r w:rsidRPr="008E3AE3">
        <w:rPr>
          <w:rFonts w:ascii="Candara" w:hAnsi="Candara"/>
          <w:i/>
          <w:color w:val="000000"/>
        </w:rPr>
        <w:t xml:space="preserve"> Inovatīvi un daudzfunkcionāli kompozītmateriāli ilgtspējīgām būvēm no vietējām izejvielām.</w:t>
      </w:r>
      <w:r>
        <w:rPr>
          <w:rFonts w:ascii="Candara" w:hAnsi="Candara"/>
          <w:i/>
          <w:color w:val="000000"/>
        </w:rPr>
        <w:t xml:space="preserve"> </w:t>
      </w:r>
      <w:r>
        <w:rPr>
          <w:rFonts w:ascii="Candara" w:hAnsi="Candara"/>
          <w:color w:val="000000"/>
        </w:rPr>
        <w:t xml:space="preserve">1 patents </w:t>
      </w:r>
      <w:r w:rsidRPr="008E3AE3">
        <w:rPr>
          <w:rFonts w:ascii="Candara" w:hAnsi="Candara"/>
          <w:color w:val="000000"/>
        </w:rPr>
        <w:t>Letonika</w:t>
      </w:r>
      <w:r>
        <w:rPr>
          <w:rFonts w:ascii="Candara" w:hAnsi="Candara"/>
          <w:color w:val="000000"/>
        </w:rPr>
        <w:t xml:space="preserve"> projektā </w:t>
      </w:r>
      <w:r w:rsidRPr="008E3AE3">
        <w:rPr>
          <w:rFonts w:ascii="Candara" w:hAnsi="Candara"/>
          <w:i/>
          <w:color w:val="000000"/>
        </w:rPr>
        <w:t>Latviešu valodas pētījumi 21. gadsimta zinātnes kontekstā</w:t>
      </w:r>
      <w:r>
        <w:rPr>
          <w:rFonts w:ascii="Candara" w:hAnsi="Candara"/>
          <w:color w:val="000000"/>
        </w:rPr>
        <w:t xml:space="preserve">). </w:t>
      </w:r>
      <w:r>
        <w:rPr>
          <w:rFonts w:ascii="Candara" w:hAnsi="Candara"/>
          <w:color w:val="000000"/>
        </w:rPr>
        <w:t xml:space="preserve">Savukārt </w:t>
      </w:r>
      <w:r w:rsidRPr="00740F43">
        <w:rPr>
          <w:rFonts w:ascii="Candara" w:hAnsi="Candara"/>
          <w:color w:val="000000"/>
        </w:rPr>
        <w:t xml:space="preserve">Fundamentālajos un </w:t>
      </w:r>
      <w:r>
        <w:rPr>
          <w:rFonts w:ascii="Candara" w:hAnsi="Candara"/>
          <w:color w:val="000000"/>
        </w:rPr>
        <w:t>lietišķo projektu pētījumu ietvaros</w:t>
      </w:r>
      <w:r w:rsidRPr="00740F43">
        <w:rPr>
          <w:rFonts w:ascii="Candara" w:hAnsi="Candara"/>
          <w:color w:val="000000"/>
        </w:rPr>
        <w:t xml:space="preserve"> starp 2014. – 2017.gadu kopā izstrādāti 39 patenti</w:t>
      </w:r>
      <w:r>
        <w:rPr>
          <w:rFonts w:ascii="Candara" w:hAnsi="Candara"/>
          <w:color w:val="000000"/>
        </w:rPr>
        <w:t xml:space="preserve">  </w:t>
      </w:r>
      <w:r>
        <w:rPr>
          <w:rStyle w:val="FootnoteReference"/>
          <w:rFonts w:ascii="Candara" w:hAnsi="Candara"/>
          <w:color w:val="000000"/>
        </w:rPr>
        <w:footnoteReference w:id="26"/>
      </w:r>
      <w:r w:rsidRPr="00740F43">
        <w:rPr>
          <w:rFonts w:ascii="Candara" w:hAnsi="Candara"/>
          <w:color w:val="000000"/>
        </w:rPr>
        <w:t>, no kuriem 21 inženierzinātnēs, 13 ķīmijā, 2 bioloģijā, 2 medicīnā un 1 mežzinātnēs</w:t>
      </w:r>
      <w:r>
        <w:rPr>
          <w:rFonts w:ascii="Candara" w:hAnsi="Candara"/>
          <w:color w:val="000000"/>
        </w:rPr>
        <w:t>.</w:t>
      </w:r>
    </w:p>
    <w:p w:rsidR="009524A9" w:rsidP="009F2C2C" w14:paraId="2C7104F4" w14:textId="65DCB220">
      <w:pPr>
        <w:spacing w:after="0"/>
        <w:ind w:firstLine="426"/>
        <w:jc w:val="both"/>
        <w:rPr>
          <w:rFonts w:ascii="Candara" w:hAnsi="Candara"/>
          <w:color w:val="000000"/>
        </w:rPr>
      </w:pPr>
      <w:r>
        <w:rPr>
          <w:rFonts w:ascii="Candara" w:hAnsi="Candara"/>
          <w:color w:val="000000"/>
        </w:rPr>
        <w:t>Sas</w:t>
      </w:r>
      <w:r w:rsidR="00625C7B">
        <w:rPr>
          <w:rFonts w:ascii="Candara" w:hAnsi="Candara"/>
          <w:color w:val="000000"/>
        </w:rPr>
        <w:t>kaņā ar ES struktūrfondu 1.1.1.</w:t>
      </w:r>
      <w:r>
        <w:rPr>
          <w:rFonts w:ascii="Candara" w:hAnsi="Candara"/>
          <w:color w:val="000000"/>
        </w:rPr>
        <w:t>SAM</w:t>
      </w:r>
      <w:r w:rsidR="00625C7B">
        <w:rPr>
          <w:rFonts w:ascii="Candara" w:hAnsi="Candara"/>
          <w:color w:val="000000"/>
        </w:rPr>
        <w:t xml:space="preserve"> 1.1.1.1.</w:t>
      </w:r>
      <w:r>
        <w:rPr>
          <w:rFonts w:ascii="Candara" w:hAnsi="Candara"/>
          <w:color w:val="000000"/>
        </w:rPr>
        <w:t>pasākuma</w:t>
      </w:r>
      <w:r w:rsidR="007E4030">
        <w:rPr>
          <w:rFonts w:ascii="Candara" w:hAnsi="Candara"/>
          <w:color w:val="000000"/>
        </w:rPr>
        <w:t xml:space="preserve"> “Praktiskas ievirze</w:t>
      </w:r>
      <w:r w:rsidR="009F2C2C">
        <w:rPr>
          <w:rFonts w:ascii="Candara" w:hAnsi="Candara"/>
          <w:color w:val="000000"/>
        </w:rPr>
        <w:t>s pētījumi” (turpmāk </w:t>
      </w:r>
      <w:r w:rsidR="00625C7B">
        <w:rPr>
          <w:rFonts w:ascii="Candara" w:hAnsi="Candara"/>
          <w:color w:val="000000"/>
        </w:rPr>
        <w:t>– 1.1.1.1.</w:t>
      </w:r>
      <w:r w:rsidR="007E4030">
        <w:rPr>
          <w:rFonts w:ascii="Candara" w:hAnsi="Candara"/>
          <w:color w:val="000000"/>
        </w:rPr>
        <w:t>pasākums)</w:t>
      </w:r>
      <w:r w:rsidR="00625C7B">
        <w:rPr>
          <w:rFonts w:ascii="Candara" w:hAnsi="Candara"/>
          <w:color w:val="000000"/>
        </w:rPr>
        <w:t xml:space="preserve"> un 1.1.1.2.</w:t>
      </w:r>
      <w:r>
        <w:rPr>
          <w:rFonts w:ascii="Candara" w:hAnsi="Candara"/>
          <w:color w:val="000000"/>
        </w:rPr>
        <w:t xml:space="preserve">pasākuma </w:t>
      </w:r>
      <w:r w:rsidR="007E4030">
        <w:rPr>
          <w:rFonts w:ascii="Candara" w:hAnsi="Candara"/>
          <w:color w:val="000000"/>
        </w:rPr>
        <w:t>“Pēcdoktorantūras pētniecība</w:t>
      </w:r>
      <w:r w:rsidR="00625C7B">
        <w:rPr>
          <w:rFonts w:ascii="Candara" w:hAnsi="Candara"/>
          <w:color w:val="000000"/>
        </w:rPr>
        <w:t>s atbalsts” (turpmāk – 1.1.1.2.</w:t>
      </w:r>
      <w:r w:rsidR="007E4030">
        <w:rPr>
          <w:rFonts w:ascii="Candara" w:hAnsi="Candara"/>
          <w:color w:val="000000"/>
        </w:rPr>
        <w:t xml:space="preserve">pasākums) </w:t>
      </w:r>
      <w:r>
        <w:rPr>
          <w:rFonts w:ascii="Candara" w:hAnsi="Candara"/>
          <w:color w:val="000000"/>
        </w:rPr>
        <w:t>pirmās projektu iesniegumu atlases kārtas ietvaros īstenošanai apstiprinātajos projektos plānoto, šajās pr</w:t>
      </w:r>
      <w:r w:rsidR="00625C7B">
        <w:rPr>
          <w:rFonts w:ascii="Candara" w:hAnsi="Candara"/>
          <w:color w:val="000000"/>
        </w:rPr>
        <w:t>ogrammās laika posmā līdz 2023.</w:t>
      </w:r>
      <w:r>
        <w:rPr>
          <w:rFonts w:ascii="Candara" w:hAnsi="Candara"/>
          <w:color w:val="000000"/>
        </w:rPr>
        <w:t>gadam tiks i</w:t>
      </w:r>
      <w:r w:rsidR="003061DF">
        <w:rPr>
          <w:rFonts w:ascii="Candara" w:hAnsi="Candara"/>
          <w:color w:val="000000"/>
        </w:rPr>
        <w:t>zstrādāti 39 patentu pieteikumi.</w:t>
      </w:r>
      <w:r>
        <w:rPr>
          <w:rFonts w:ascii="Candara" w:hAnsi="Candara"/>
          <w:color w:val="000000"/>
        </w:rPr>
        <w:t xml:space="preserve"> </w:t>
      </w:r>
      <w:r w:rsidR="00625C7B">
        <w:rPr>
          <w:rFonts w:ascii="Candara" w:hAnsi="Candara"/>
          <w:color w:val="000000"/>
        </w:rPr>
        <w:t>1.1.1.1.</w:t>
      </w:r>
      <w:r w:rsidR="003061DF">
        <w:rPr>
          <w:rFonts w:ascii="Candara" w:hAnsi="Candara"/>
          <w:color w:val="000000"/>
        </w:rPr>
        <w:t xml:space="preserve">pasākuma pirmajā kārtā noslēgti līgumi par </w:t>
      </w:r>
      <w:r w:rsidR="00BF4CEA">
        <w:rPr>
          <w:rFonts w:ascii="Candara" w:hAnsi="Candara"/>
          <w:color w:val="000000"/>
        </w:rPr>
        <w:t xml:space="preserve">74 </w:t>
      </w:r>
      <w:r w:rsidR="003061DF">
        <w:rPr>
          <w:rFonts w:ascii="Candara" w:hAnsi="Candara"/>
          <w:color w:val="000000"/>
        </w:rPr>
        <w:t>pētījumu projektu īstenošanu (kopējais publiskais finansējums 39,</w:t>
      </w:r>
      <w:r w:rsidR="00BF4CEA">
        <w:rPr>
          <w:rFonts w:ascii="Candara" w:hAnsi="Candara"/>
          <w:color w:val="000000"/>
        </w:rPr>
        <w:t xml:space="preserve">77 </w:t>
      </w:r>
      <w:r w:rsidR="003061DF">
        <w:rPr>
          <w:rFonts w:ascii="Candara" w:hAnsi="Candara"/>
          <w:color w:val="000000"/>
        </w:rPr>
        <w:t xml:space="preserve">MEUR) un to ietvaros plānots izstrādāt </w:t>
      </w:r>
      <w:r>
        <w:rPr>
          <w:rFonts w:ascii="Candara" w:hAnsi="Candara"/>
          <w:color w:val="000000"/>
        </w:rPr>
        <w:t>35</w:t>
      </w:r>
      <w:r w:rsidR="003061DF">
        <w:rPr>
          <w:rFonts w:ascii="Candara" w:hAnsi="Candara"/>
          <w:color w:val="000000"/>
        </w:rPr>
        <w:t xml:space="preserve"> patentus</w:t>
      </w:r>
      <w:r w:rsidR="00A03C12">
        <w:rPr>
          <w:rFonts w:ascii="Candara" w:hAnsi="Candara"/>
          <w:color w:val="000000"/>
        </w:rPr>
        <w:t>, 26 citus nemateriālos aktīvus, kā arī 99 komercializējamus jaunu produktu vai tehnoloģiju prototipus</w:t>
      </w:r>
      <w:r w:rsidR="00625C7B">
        <w:rPr>
          <w:rFonts w:ascii="Candara" w:hAnsi="Candara"/>
          <w:color w:val="000000"/>
        </w:rPr>
        <w:t>, savukārt 4 patentus</w:t>
      </w:r>
      <w:r w:rsidR="00A03C12">
        <w:rPr>
          <w:rFonts w:ascii="Candara" w:hAnsi="Candara"/>
          <w:color w:val="000000"/>
        </w:rPr>
        <w:t xml:space="preserve"> un </w:t>
      </w:r>
      <w:r w:rsidR="0028747D">
        <w:rPr>
          <w:rFonts w:ascii="Candara" w:hAnsi="Candara"/>
          <w:color w:val="000000"/>
        </w:rPr>
        <w:t xml:space="preserve">90 </w:t>
      </w:r>
      <w:r w:rsidR="00A03C12">
        <w:rPr>
          <w:rFonts w:ascii="Candara" w:hAnsi="Candara"/>
          <w:color w:val="000000"/>
        </w:rPr>
        <w:t xml:space="preserve">komercializējamus jaunu produktu vai tehnoloģiju prototipus </w:t>
      </w:r>
      <w:r w:rsidR="00625C7B">
        <w:rPr>
          <w:rFonts w:ascii="Candara" w:hAnsi="Candara"/>
          <w:color w:val="000000"/>
        </w:rPr>
        <w:t>– 1.1.1.2.</w:t>
      </w:r>
      <w:r w:rsidR="003061DF">
        <w:rPr>
          <w:rFonts w:ascii="Candara" w:hAnsi="Candara"/>
          <w:color w:val="000000"/>
        </w:rPr>
        <w:t xml:space="preserve">pasākuma pirmās atlases kārtas ietvaros, kurā </w:t>
      </w:r>
      <w:r w:rsidR="0028747D">
        <w:rPr>
          <w:rFonts w:ascii="Candara" w:hAnsi="Candara"/>
          <w:color w:val="000000"/>
        </w:rPr>
        <w:t>noslēgti līgumi par 124</w:t>
      </w:r>
      <w:r w:rsidR="003061DF">
        <w:rPr>
          <w:rFonts w:ascii="Candara" w:hAnsi="Candara"/>
          <w:color w:val="000000"/>
        </w:rPr>
        <w:t xml:space="preserve"> </w:t>
      </w:r>
      <w:r w:rsidR="00850C94">
        <w:rPr>
          <w:rFonts w:ascii="Candara" w:hAnsi="Candara"/>
          <w:color w:val="000000"/>
        </w:rPr>
        <w:t>14</w:t>
      </w:r>
      <w:r w:rsidR="00BF4CEA">
        <w:rPr>
          <w:rFonts w:ascii="Candara" w:hAnsi="Candara"/>
          <w:color w:val="000000"/>
        </w:rPr>
        <w:t>1</w:t>
      </w:r>
      <w:r w:rsidR="00850C94">
        <w:rPr>
          <w:rFonts w:ascii="Candara" w:hAnsi="Candara"/>
          <w:color w:val="000000"/>
        </w:rPr>
        <w:t xml:space="preserve"> </w:t>
      </w:r>
      <w:r w:rsidR="003061DF">
        <w:rPr>
          <w:rFonts w:ascii="Candara" w:hAnsi="Candara"/>
          <w:color w:val="000000"/>
        </w:rPr>
        <w:t>pētījumu pieteikum</w:t>
      </w:r>
      <w:r w:rsidR="0028747D">
        <w:rPr>
          <w:rFonts w:ascii="Candara" w:hAnsi="Candara"/>
          <w:color w:val="000000"/>
        </w:rPr>
        <w:t>u īstenošanu</w:t>
      </w:r>
      <w:r w:rsidR="003061DF">
        <w:rPr>
          <w:rFonts w:ascii="Candara" w:hAnsi="Candara"/>
          <w:color w:val="000000"/>
        </w:rPr>
        <w:t xml:space="preserve"> ar kopējo publ</w:t>
      </w:r>
      <w:r w:rsidR="00625C7B">
        <w:rPr>
          <w:rFonts w:ascii="Candara" w:hAnsi="Candara"/>
          <w:color w:val="000000"/>
        </w:rPr>
        <w:t xml:space="preserve">iskā finansējuma apmēru – </w:t>
      </w:r>
      <w:r w:rsidR="0028747D">
        <w:rPr>
          <w:rFonts w:ascii="Candara" w:hAnsi="Candara"/>
          <w:color w:val="000000"/>
        </w:rPr>
        <w:t>15</w:t>
      </w:r>
      <w:r w:rsidR="00BF4CEA">
        <w:rPr>
          <w:rFonts w:ascii="Candara" w:hAnsi="Candara"/>
          <w:color w:val="000000"/>
        </w:rPr>
        <w:t>,</w:t>
      </w:r>
      <w:r w:rsidR="0028747D">
        <w:rPr>
          <w:rFonts w:ascii="Candara" w:hAnsi="Candara"/>
          <w:color w:val="000000"/>
        </w:rPr>
        <w:t>7</w:t>
      </w:r>
      <w:r w:rsidR="00625C7B">
        <w:rPr>
          <w:rFonts w:ascii="Candara" w:hAnsi="Candara"/>
          <w:color w:val="000000"/>
        </w:rPr>
        <w:t> </w:t>
      </w:r>
      <w:r w:rsidR="003061DF">
        <w:rPr>
          <w:rFonts w:ascii="Candara" w:hAnsi="Candara"/>
          <w:color w:val="000000"/>
        </w:rPr>
        <w:t>MEUR</w:t>
      </w:r>
      <w:r w:rsidR="002D2715">
        <w:rPr>
          <w:rFonts w:ascii="Candara" w:hAnsi="Candara"/>
          <w:color w:val="000000"/>
        </w:rPr>
        <w:t>.</w:t>
      </w:r>
    </w:p>
    <w:p w:rsidR="002D2715" w:rsidRPr="002D2715" w:rsidP="009F2C2C" w14:paraId="06D7DA36" w14:textId="77777777">
      <w:pPr>
        <w:spacing w:after="0"/>
        <w:ind w:firstLine="426"/>
        <w:jc w:val="both"/>
        <w:rPr>
          <w:rFonts w:ascii="Candara" w:hAnsi="Candara"/>
        </w:rPr>
      </w:pPr>
      <w:r>
        <w:rPr>
          <w:rFonts w:ascii="Candara" w:hAnsi="Candara"/>
        </w:rPr>
        <w:t>Lai veicinātu z</w:t>
      </w:r>
      <w:r w:rsidRPr="00A32F1D">
        <w:rPr>
          <w:rFonts w:ascii="Candara" w:hAnsi="Candara"/>
        </w:rPr>
        <w:t>inātnisko institūciju licenču/ patentu ieņēmum</w:t>
      </w:r>
      <w:r>
        <w:rPr>
          <w:rFonts w:ascii="Candara" w:hAnsi="Candara"/>
        </w:rPr>
        <w:t xml:space="preserve">us zinātniskajās institūcijās, EM īsteno divus pasākumus: 1) Kompetences centru programma, kuras ietvaros tiek atbalstīta zinātnieku un komersantu kopīgu pētījumu veikšana, lai izstrādātu jaunus produktus un </w:t>
      </w:r>
      <w:r w:rsidRPr="00A32F1D">
        <w:rPr>
          <w:rFonts w:ascii="Candara" w:hAnsi="Candara"/>
        </w:rPr>
        <w:t>attīstīt</w:t>
      </w:r>
      <w:r>
        <w:rPr>
          <w:rFonts w:ascii="Candara" w:hAnsi="Candara"/>
        </w:rPr>
        <w:t>u</w:t>
      </w:r>
      <w:r w:rsidRPr="00A32F1D">
        <w:rPr>
          <w:rFonts w:ascii="Candara" w:hAnsi="Candara"/>
        </w:rPr>
        <w:t xml:space="preserve"> ražošanas tehnoloģijas ar mērķi tās komercializēt</w:t>
      </w:r>
      <w:r>
        <w:rPr>
          <w:rFonts w:ascii="Candara" w:hAnsi="Candara"/>
        </w:rPr>
        <w:t xml:space="preserve"> (t.sk., </w:t>
      </w:r>
      <w:r w:rsidRPr="00A32F1D">
        <w:rPr>
          <w:rFonts w:ascii="Candara" w:hAnsi="Candara"/>
        </w:rPr>
        <w:t>rūpniecisko īpašumtiesību nostiprināšanai</w:t>
      </w:r>
      <w:r>
        <w:rPr>
          <w:rFonts w:ascii="Candara" w:hAnsi="Candara"/>
        </w:rPr>
        <w:t xml:space="preserve">);  2) Tehnoloģiju pārneses programma, kuras ietvaros zinātniskajām institūcijām </w:t>
      </w:r>
      <w:r w:rsidRPr="00A32F1D">
        <w:rPr>
          <w:rFonts w:ascii="Candara" w:hAnsi="Candara"/>
        </w:rPr>
        <w:t xml:space="preserve">patentēšanas fonda ietvaros </w:t>
      </w:r>
      <w:r>
        <w:rPr>
          <w:rFonts w:ascii="Candara" w:hAnsi="Candara"/>
        </w:rPr>
        <w:t xml:space="preserve">ir </w:t>
      </w:r>
      <w:r w:rsidRPr="00A32F1D">
        <w:rPr>
          <w:rFonts w:ascii="Candara" w:hAnsi="Candara"/>
        </w:rPr>
        <w:t>iespējams saņemt atbalstu rūpniecisko īpašumtiesību nostiprināšanai - izgudrojuma patentu pieteikumu sagatavošanai, reģistrācijai un uzturēšanai spēkā</w:t>
      </w:r>
      <w:r>
        <w:rPr>
          <w:rFonts w:ascii="Candara" w:hAnsi="Candara"/>
        </w:rPr>
        <w:t>.</w:t>
      </w:r>
    </w:p>
    <w:p w:rsidR="009524A9" w:rsidRPr="008E3AE3" w:rsidP="009524A9" w14:paraId="21DB0DBB" w14:textId="77777777">
      <w:pPr>
        <w:spacing w:after="0"/>
        <w:jc w:val="both"/>
        <w:rPr>
          <w:rFonts w:ascii="Candara" w:hAnsi="Candara"/>
          <w:color w:val="000000"/>
        </w:rPr>
      </w:pPr>
    </w:p>
    <w:p w:rsidR="009524A9" w:rsidRPr="007713D8" w:rsidP="009524A9" w14:paraId="6BAA76AE" w14:textId="77777777">
      <w:pPr>
        <w:spacing w:after="0"/>
        <w:jc w:val="both"/>
        <w:rPr>
          <w:rFonts w:ascii="Candara" w:hAnsi="Candara"/>
          <w:b/>
          <w:color w:val="000000"/>
        </w:rPr>
      </w:pPr>
      <w:r w:rsidRPr="007713D8">
        <w:rPr>
          <w:rFonts w:ascii="Candara" w:hAnsi="Candara"/>
          <w:b/>
          <w:color w:val="000000"/>
        </w:rPr>
        <w:t>Uzņēmumu līdzfinansējums P&amp;A projektiem (EUR)</w:t>
      </w:r>
    </w:p>
    <w:p w:rsidR="00B921B8" w14:paraId="0597D073" w14:textId="56F926FA">
      <w:pPr>
        <w:spacing w:after="0"/>
        <w:ind w:firstLine="426"/>
        <w:jc w:val="both"/>
        <w:rPr>
          <w:rFonts w:ascii="Candara" w:hAnsi="Candara"/>
          <w:color w:val="000000"/>
        </w:rPr>
      </w:pPr>
      <w:r w:rsidRPr="00100DB3">
        <w:rPr>
          <w:rFonts w:ascii="Candara" w:hAnsi="Candara"/>
          <w:color w:val="000000"/>
        </w:rPr>
        <w:t xml:space="preserve">IZM pārziņā esošās ES struktūrfondu programmas, kuras sniedz ieguldījumu </w:t>
      </w:r>
      <w:r>
        <w:rPr>
          <w:rFonts w:ascii="Candara" w:hAnsi="Candara"/>
          <w:color w:val="000000"/>
        </w:rPr>
        <w:t xml:space="preserve">šajā </w:t>
      </w:r>
      <w:r w:rsidRPr="00100DB3">
        <w:rPr>
          <w:rFonts w:ascii="Candara" w:hAnsi="Candara"/>
          <w:color w:val="000000"/>
        </w:rPr>
        <w:t>RIS3 mikro līmeņa rādītājā</w:t>
      </w:r>
      <w:r>
        <w:rPr>
          <w:rFonts w:ascii="Candara" w:hAnsi="Candara"/>
          <w:color w:val="000000"/>
        </w:rPr>
        <w:t>,</w:t>
      </w:r>
      <w:r w:rsidRPr="00100DB3">
        <w:rPr>
          <w:rFonts w:ascii="Candara" w:hAnsi="Candara"/>
          <w:color w:val="000000"/>
        </w:rPr>
        <w:t xml:space="preserve"> ir 1.1.1.1. un 1.</w:t>
      </w:r>
      <w:r w:rsidR="00625C7B">
        <w:rPr>
          <w:rFonts w:ascii="Candara" w:hAnsi="Candara"/>
          <w:color w:val="000000"/>
        </w:rPr>
        <w:t>1.1.2.</w:t>
      </w:r>
      <w:r w:rsidRPr="00100DB3">
        <w:rPr>
          <w:rFonts w:ascii="Candara" w:hAnsi="Candara"/>
          <w:color w:val="000000"/>
        </w:rPr>
        <w:t xml:space="preserve">pasākums. Saskaņā ar abu pasākumu pirmās projektu iesniegumu </w:t>
      </w:r>
      <w:r w:rsidR="00A43037">
        <w:rPr>
          <w:noProof/>
          <w:lang w:eastAsia="lv-LV"/>
        </w:rPr>
        <w:drawing>
          <wp:anchor distT="0" distB="0" distL="114300" distR="114300" simplePos="0" relativeHeight="251873280" behindDoc="0" locked="0" layoutInCell="1" allowOverlap="1">
            <wp:simplePos x="0" y="0"/>
            <wp:positionH relativeFrom="column">
              <wp:posOffset>4386</wp:posOffset>
            </wp:positionH>
            <wp:positionV relativeFrom="paragraph">
              <wp:posOffset>2924</wp:posOffset>
            </wp:positionV>
            <wp:extent cx="3678865" cy="2540635"/>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Pr="00100DB3">
        <w:rPr>
          <w:rFonts w:ascii="Candara" w:hAnsi="Candara"/>
          <w:color w:val="000000"/>
        </w:rPr>
        <w:t>atlases kārtas indikat</w:t>
      </w:r>
      <w:r>
        <w:rPr>
          <w:rFonts w:ascii="Candara" w:hAnsi="Candara"/>
          <w:color w:val="000000"/>
        </w:rPr>
        <w:t>īvajiem</w:t>
      </w:r>
      <w:r w:rsidRPr="00100DB3">
        <w:rPr>
          <w:rFonts w:ascii="Candara" w:hAnsi="Candara"/>
          <w:color w:val="000000"/>
        </w:rPr>
        <w:t xml:space="preserve"> rezultātiem, kopējais </w:t>
      </w:r>
      <w:r w:rsidR="00B561B2">
        <w:rPr>
          <w:rFonts w:ascii="Candara" w:hAnsi="Candara"/>
          <w:color w:val="000000"/>
        </w:rPr>
        <w:t>privātais</w:t>
      </w:r>
      <w:r w:rsidRPr="00100DB3" w:rsidR="00B561B2">
        <w:rPr>
          <w:rFonts w:ascii="Candara" w:hAnsi="Candara"/>
          <w:color w:val="000000"/>
        </w:rPr>
        <w:t xml:space="preserve"> </w:t>
      </w:r>
      <w:r w:rsidRPr="00100DB3">
        <w:rPr>
          <w:rFonts w:ascii="Candara" w:hAnsi="Candara"/>
          <w:color w:val="000000"/>
        </w:rPr>
        <w:t>līdzfinansējums P&amp;A projektu īstenošanai ir plānots</w:t>
      </w:r>
      <w:r w:rsidR="00625C7B">
        <w:rPr>
          <w:rFonts w:ascii="Candara" w:hAnsi="Candara"/>
          <w:color w:val="000000"/>
        </w:rPr>
        <w:t xml:space="preserve"> </w:t>
      </w:r>
      <w:r w:rsidR="0028747D">
        <w:rPr>
          <w:rFonts w:ascii="Candara" w:hAnsi="Candara"/>
          <w:color w:val="000000"/>
        </w:rPr>
        <w:t>3,0</w:t>
      </w:r>
      <w:r w:rsidR="00012356">
        <w:rPr>
          <w:rFonts w:ascii="Candara" w:hAnsi="Candara"/>
          <w:color w:val="000000"/>
        </w:rPr>
        <w:t xml:space="preserve"> </w:t>
      </w:r>
      <w:r w:rsidR="00625C7B">
        <w:rPr>
          <w:rFonts w:ascii="Candara" w:hAnsi="Candara"/>
          <w:color w:val="000000"/>
        </w:rPr>
        <w:t>MEUR apmērā</w:t>
      </w:r>
      <w:r w:rsidR="00A03C12">
        <w:rPr>
          <w:rFonts w:ascii="Candara" w:hAnsi="Candara"/>
          <w:color w:val="000000"/>
        </w:rPr>
        <w:t xml:space="preserve">. Vienlaikus, ņemot vērā, ka privātā līdzfinansējuma apmērā tiek ieskaitīti arī zinātnisko institūciju privātie līdzekļi, par kuriem nav saņemts nekāds publisks atbalsts, tālāk sniegta īsa analīze par indikatīvo plānoto komersantu līdzfinansējuma apmēru katrā no pasākumiem, t.sk. tā piesaistes veidu (komersanta individuāls vai komersanta un zinātniskās institūcijas partnerības projekts). </w:t>
      </w:r>
      <w:r w:rsidR="00625C7B">
        <w:rPr>
          <w:rFonts w:ascii="Candara" w:hAnsi="Candara"/>
          <w:color w:val="000000"/>
        </w:rPr>
        <w:t>1.1.1.1.</w:t>
      </w:r>
      <w:r w:rsidRPr="00100DB3">
        <w:rPr>
          <w:rFonts w:ascii="Candara" w:hAnsi="Candara"/>
          <w:color w:val="000000"/>
        </w:rPr>
        <w:t>pasākuma ietvaros īstenotajiem projektiem</w:t>
      </w:r>
      <w:r w:rsidR="003061DF">
        <w:rPr>
          <w:rFonts w:ascii="Candara" w:hAnsi="Candara"/>
          <w:color w:val="000000"/>
        </w:rPr>
        <w:t xml:space="preserve"> ar kopējo publiskā finansējuma apmēru īstenošanai 39,</w:t>
      </w:r>
      <w:r w:rsidR="00BF4CEA">
        <w:rPr>
          <w:rFonts w:ascii="Candara" w:hAnsi="Candara"/>
          <w:color w:val="000000"/>
        </w:rPr>
        <w:t>77</w:t>
      </w:r>
      <w:r w:rsidR="003061DF">
        <w:rPr>
          <w:rFonts w:ascii="Candara" w:hAnsi="Candara"/>
          <w:color w:val="000000"/>
        </w:rPr>
        <w:t xml:space="preserve"> MEUR</w:t>
      </w:r>
      <w:r w:rsidRPr="00100DB3">
        <w:rPr>
          <w:rFonts w:ascii="Candara" w:hAnsi="Candara"/>
          <w:color w:val="000000"/>
        </w:rPr>
        <w:t xml:space="preserve"> </w:t>
      </w:r>
      <w:r>
        <w:rPr>
          <w:rFonts w:ascii="Candara" w:hAnsi="Candara"/>
          <w:color w:val="000000"/>
        </w:rPr>
        <w:t xml:space="preserve">plānots </w:t>
      </w:r>
      <w:r w:rsidR="00A03C12">
        <w:rPr>
          <w:rFonts w:ascii="Candara" w:hAnsi="Candara"/>
          <w:color w:val="000000"/>
        </w:rPr>
        <w:t>komersantu līdzfinansējums indikatīvi 1,</w:t>
      </w:r>
      <w:r w:rsidR="000E1F11">
        <w:rPr>
          <w:rFonts w:ascii="Candara" w:hAnsi="Candara"/>
          <w:color w:val="000000"/>
        </w:rPr>
        <w:t>58</w:t>
      </w:r>
      <w:r w:rsidR="00A03C12">
        <w:rPr>
          <w:rFonts w:ascii="Candara" w:hAnsi="Candara"/>
          <w:color w:val="000000"/>
        </w:rPr>
        <w:t xml:space="preserve"> </w:t>
      </w:r>
      <w:r w:rsidRPr="00100DB3">
        <w:rPr>
          <w:rFonts w:ascii="Candara" w:hAnsi="Candara"/>
          <w:color w:val="000000"/>
        </w:rPr>
        <w:t>MEUR</w:t>
      </w:r>
      <w:r>
        <w:rPr>
          <w:rFonts w:ascii="Candara" w:hAnsi="Candara"/>
          <w:color w:val="000000"/>
        </w:rPr>
        <w:t xml:space="preserve"> apmērā</w:t>
      </w:r>
      <w:r w:rsidRPr="00100DB3">
        <w:rPr>
          <w:rFonts w:ascii="Candara" w:hAnsi="Candara"/>
          <w:color w:val="000000"/>
          <w:vertAlign w:val="superscript"/>
        </w:rPr>
        <w:t xml:space="preserve"> </w:t>
      </w:r>
      <w:r w:rsidRPr="00100DB3">
        <w:rPr>
          <w:rFonts w:ascii="Candara" w:hAnsi="Candara"/>
          <w:color w:val="000000"/>
        </w:rPr>
        <w:t xml:space="preserve">un </w:t>
      </w:r>
      <w:r>
        <w:rPr>
          <w:rFonts w:ascii="Candara" w:hAnsi="Candara"/>
          <w:color w:val="000000"/>
        </w:rPr>
        <w:t>1.1.1.2</w:t>
      </w:r>
      <w:r w:rsidR="00625C7B">
        <w:rPr>
          <w:rFonts w:ascii="Candara" w:hAnsi="Candara"/>
          <w:color w:val="000000"/>
        </w:rPr>
        <w:t>.</w:t>
      </w:r>
      <w:r w:rsidR="003061DF">
        <w:rPr>
          <w:rFonts w:ascii="Candara" w:hAnsi="Candara"/>
          <w:color w:val="000000"/>
        </w:rPr>
        <w:t xml:space="preserve">pasākuma pētījumu īstenošanā ar kopējo publiskā finansējuma apmēru </w:t>
      </w:r>
      <w:r w:rsidR="0028747D">
        <w:rPr>
          <w:rFonts w:ascii="Candara" w:hAnsi="Candara"/>
          <w:color w:val="000000"/>
        </w:rPr>
        <w:t>15,7</w:t>
      </w:r>
      <w:r w:rsidR="003061DF">
        <w:rPr>
          <w:rFonts w:ascii="Candara" w:hAnsi="Candara"/>
          <w:color w:val="000000"/>
        </w:rPr>
        <w:t xml:space="preserve"> MEUR –</w:t>
      </w:r>
      <w:r w:rsidR="00D55166">
        <w:rPr>
          <w:rFonts w:ascii="Candara" w:hAnsi="Candara"/>
          <w:color w:val="000000"/>
        </w:rPr>
        <w:t xml:space="preserve"> </w:t>
      </w:r>
      <w:r w:rsidR="00B561B2">
        <w:rPr>
          <w:rFonts w:ascii="Candara" w:hAnsi="Candara"/>
          <w:color w:val="000000"/>
        </w:rPr>
        <w:t>0,</w:t>
      </w:r>
      <w:r w:rsidR="00BA0380">
        <w:rPr>
          <w:rFonts w:ascii="Candara" w:hAnsi="Candara"/>
          <w:color w:val="000000"/>
        </w:rPr>
        <w:t>0</w:t>
      </w:r>
      <w:r w:rsidR="00A43037">
        <w:rPr>
          <w:rFonts w:ascii="Candara" w:hAnsi="Candara"/>
          <w:color w:val="000000"/>
        </w:rPr>
        <w:t>6</w:t>
      </w:r>
      <w:r w:rsidR="00BA0380">
        <w:rPr>
          <w:rFonts w:ascii="Candara" w:hAnsi="Candara"/>
          <w:color w:val="000000"/>
        </w:rPr>
        <w:t xml:space="preserve"> jeb </w:t>
      </w:r>
      <w:r w:rsidR="00A43037">
        <w:rPr>
          <w:rFonts w:ascii="Candara" w:hAnsi="Candara"/>
          <w:color w:val="000000"/>
        </w:rPr>
        <w:t>indikatīvi 56</w:t>
      </w:r>
      <w:r w:rsidR="00BA0380">
        <w:rPr>
          <w:rFonts w:ascii="Candara" w:hAnsi="Candara"/>
          <w:color w:val="000000"/>
        </w:rPr>
        <w:t xml:space="preserve"> tūkst. EUR</w:t>
      </w:r>
      <w:r>
        <w:rPr>
          <w:rFonts w:ascii="Candara" w:hAnsi="Candara"/>
          <w:color w:val="000000"/>
        </w:rPr>
        <w:t xml:space="preserve"> (</w:t>
      </w:r>
      <w:r w:rsidR="00A65B70">
        <w:rPr>
          <w:rFonts w:ascii="Candara" w:hAnsi="Candara"/>
          <w:color w:val="000000"/>
        </w:rPr>
        <w:t>40</w:t>
      </w:r>
      <w:r w:rsidR="00E5585A">
        <w:rPr>
          <w:rFonts w:ascii="Candara" w:hAnsi="Candara"/>
          <w:color w:val="000000"/>
        </w:rPr>
        <w:t>.attēls</w:t>
      </w:r>
      <w:r>
        <w:rPr>
          <w:rFonts w:ascii="Candara" w:hAnsi="Candara"/>
          <w:color w:val="000000"/>
        </w:rPr>
        <w:t>)</w:t>
      </w:r>
      <w:r w:rsidRPr="00100DB3">
        <w:rPr>
          <w:rFonts w:ascii="Candara" w:hAnsi="Candara"/>
          <w:color w:val="000000"/>
        </w:rPr>
        <w:t xml:space="preserve">. </w:t>
      </w:r>
      <w:r w:rsidRPr="00100DB3">
        <w:rPr>
          <w:rFonts w:ascii="Candara" w:hAnsi="Candara"/>
          <w:color w:val="000000"/>
        </w:rPr>
        <w:t xml:space="preserve">Izvērtējot abu pasākumu ietvaros piesaistītā </w:t>
      </w:r>
      <w:r>
        <w:rPr>
          <w:rFonts w:ascii="Candara" w:hAnsi="Candara"/>
          <w:color w:val="000000"/>
        </w:rPr>
        <w:t>komersantu</w:t>
      </w:r>
      <w:r w:rsidRPr="00100DB3">
        <w:rPr>
          <w:rFonts w:ascii="Candara" w:hAnsi="Candara"/>
          <w:color w:val="000000"/>
        </w:rPr>
        <w:t xml:space="preserve"> </w:t>
      </w:r>
      <w:r>
        <w:rPr>
          <w:rFonts w:ascii="Candara" w:hAnsi="Candara"/>
          <w:color w:val="000000"/>
        </w:rPr>
        <w:t>līdz</w:t>
      </w:r>
      <w:r w:rsidRPr="00100DB3">
        <w:rPr>
          <w:rFonts w:ascii="Candara" w:hAnsi="Candara"/>
          <w:color w:val="000000"/>
        </w:rPr>
        <w:t>finansējuma piesaistes d</w:t>
      </w:r>
      <w:r w:rsidR="00625C7B">
        <w:rPr>
          <w:rFonts w:ascii="Candara" w:hAnsi="Candara"/>
          <w:color w:val="000000"/>
        </w:rPr>
        <w:t>imensiju, secināms, ka 1.1.1.1.</w:t>
      </w:r>
      <w:r w:rsidRPr="00100DB3">
        <w:rPr>
          <w:rFonts w:ascii="Candara" w:hAnsi="Candara"/>
          <w:color w:val="000000"/>
        </w:rPr>
        <w:t xml:space="preserve">pasākumā </w:t>
      </w:r>
      <w:r w:rsidR="00A43037">
        <w:rPr>
          <w:rFonts w:ascii="Candara" w:hAnsi="Candara"/>
          <w:color w:val="000000"/>
        </w:rPr>
        <w:t xml:space="preserve">ir līdzvērtīgs </w:t>
      </w:r>
      <w:r w:rsidRPr="00100DB3">
        <w:rPr>
          <w:rFonts w:ascii="Candara" w:hAnsi="Candara"/>
          <w:color w:val="000000"/>
        </w:rPr>
        <w:t xml:space="preserve">privātā finansējuma </w:t>
      </w:r>
      <w:r w:rsidR="00A43037">
        <w:rPr>
          <w:rFonts w:ascii="Candara" w:hAnsi="Candara"/>
          <w:color w:val="000000"/>
        </w:rPr>
        <w:t>piesaistes modelis 0,79 MEUR</w:t>
      </w:r>
      <w:r w:rsidRPr="00100DB3" w:rsidR="00A43037">
        <w:rPr>
          <w:rFonts w:ascii="Candara" w:hAnsi="Candara"/>
          <w:color w:val="000000"/>
        </w:rPr>
        <w:t xml:space="preserve"> </w:t>
      </w:r>
      <w:r w:rsidR="00A43037">
        <w:rPr>
          <w:rFonts w:ascii="Candara" w:hAnsi="Candara"/>
          <w:color w:val="000000"/>
        </w:rPr>
        <w:t xml:space="preserve">komersantu finansējuma pētniecībai un inovācijām </w:t>
      </w:r>
      <w:r w:rsidRPr="00100DB3">
        <w:rPr>
          <w:rFonts w:ascii="Candara" w:hAnsi="Candara"/>
          <w:color w:val="000000"/>
        </w:rPr>
        <w:t xml:space="preserve">tiks </w:t>
      </w:r>
      <w:r w:rsidR="00A43037">
        <w:rPr>
          <w:rFonts w:ascii="Candara" w:hAnsi="Candara"/>
          <w:color w:val="000000"/>
        </w:rPr>
        <w:t>ieguldīts</w:t>
      </w:r>
      <w:r w:rsidRPr="00100DB3" w:rsidR="00A43037">
        <w:rPr>
          <w:rFonts w:ascii="Candara" w:hAnsi="Candara"/>
          <w:color w:val="000000"/>
        </w:rPr>
        <w:t xml:space="preserve"> </w:t>
      </w:r>
      <w:r w:rsidRPr="00100DB3">
        <w:rPr>
          <w:rFonts w:ascii="Candara" w:hAnsi="Candara"/>
          <w:color w:val="000000"/>
        </w:rPr>
        <w:t>īstenojot partnerības (zinātniskā institūcija un komersants) projektus</w:t>
      </w:r>
      <w:r w:rsidR="00A43037">
        <w:rPr>
          <w:rFonts w:ascii="Candara" w:hAnsi="Candara"/>
          <w:color w:val="000000"/>
        </w:rPr>
        <w:t>,</w:t>
      </w:r>
      <w:r w:rsidRPr="00100DB3">
        <w:rPr>
          <w:rFonts w:ascii="Candara" w:hAnsi="Candara"/>
          <w:color w:val="000000"/>
        </w:rPr>
        <w:t xml:space="preserve"> kamēr komersantiem, pētījumu īstenojot individuāli</w:t>
      </w:r>
      <w:r>
        <w:rPr>
          <w:rFonts w:ascii="Candara" w:hAnsi="Candara"/>
          <w:color w:val="000000"/>
        </w:rPr>
        <w:t>,</w:t>
      </w:r>
      <w:r w:rsidRPr="00100DB3">
        <w:rPr>
          <w:rFonts w:ascii="Candara" w:hAnsi="Candara"/>
          <w:color w:val="000000"/>
        </w:rPr>
        <w:t xml:space="preserve"> plānotais </w:t>
      </w:r>
      <w:r w:rsidR="00A43037">
        <w:rPr>
          <w:rFonts w:ascii="Candara" w:hAnsi="Candara"/>
          <w:color w:val="000000"/>
        </w:rPr>
        <w:t>ieguldījums P&amp;I</w:t>
      </w:r>
      <w:r w:rsidRPr="00100DB3" w:rsidR="00A43037">
        <w:rPr>
          <w:rFonts w:ascii="Candara" w:hAnsi="Candara"/>
          <w:color w:val="000000"/>
        </w:rPr>
        <w:t xml:space="preserve"> </w:t>
      </w:r>
      <w:r w:rsidR="00A43037">
        <w:rPr>
          <w:rFonts w:ascii="Candara" w:hAnsi="Candara"/>
          <w:color w:val="000000"/>
        </w:rPr>
        <w:t xml:space="preserve">darbībām </w:t>
      </w:r>
      <w:r w:rsidR="00625C7B">
        <w:rPr>
          <w:rFonts w:ascii="Candara" w:hAnsi="Candara"/>
          <w:color w:val="000000"/>
        </w:rPr>
        <w:t>ir 0,</w:t>
      </w:r>
      <w:r w:rsidR="00A43037">
        <w:rPr>
          <w:rFonts w:ascii="Candara" w:hAnsi="Candara"/>
          <w:color w:val="000000"/>
        </w:rPr>
        <w:t>80</w:t>
      </w:r>
      <w:r w:rsidR="00545DEB">
        <w:rPr>
          <w:rFonts w:ascii="Candara" w:hAnsi="Candara"/>
          <w:color w:val="000000"/>
        </w:rPr>
        <w:t xml:space="preserve"> </w:t>
      </w:r>
      <w:r w:rsidR="00625C7B">
        <w:rPr>
          <w:rFonts w:ascii="Candara" w:hAnsi="Candara"/>
          <w:color w:val="000000"/>
        </w:rPr>
        <w:t>MEUR. 1.1.1.2.</w:t>
      </w:r>
      <w:r w:rsidRPr="00100DB3">
        <w:rPr>
          <w:rFonts w:ascii="Candara" w:hAnsi="Candara"/>
          <w:color w:val="000000"/>
        </w:rPr>
        <w:t xml:space="preserve">pasākumā – individuāli komersantu īstenotu pēcdoktorantūras pētījumu ietvaros paredzētā privātā līdzfinansējuma daļa ir </w:t>
      </w:r>
      <w:r w:rsidR="007809BC">
        <w:rPr>
          <w:rFonts w:ascii="Candara" w:hAnsi="Candara"/>
          <w:color w:val="000000"/>
        </w:rPr>
        <w:t>3</w:t>
      </w:r>
      <w:r w:rsidR="00A43037">
        <w:rPr>
          <w:rFonts w:ascii="Candara" w:hAnsi="Candara"/>
          <w:color w:val="000000"/>
        </w:rPr>
        <w:t>8</w:t>
      </w:r>
      <w:r w:rsidR="007809BC">
        <w:rPr>
          <w:rFonts w:ascii="Candara" w:hAnsi="Candara"/>
          <w:color w:val="000000"/>
        </w:rPr>
        <w:t xml:space="preserve"> tūkst. EUR</w:t>
      </w:r>
      <w:r w:rsidRPr="00100DB3">
        <w:rPr>
          <w:rFonts w:ascii="Candara" w:hAnsi="Candara"/>
          <w:color w:val="000000"/>
        </w:rPr>
        <w:t xml:space="preserve">, savukārt zinātniskās institūcijas – komersanta partnerības ietvaros – </w:t>
      </w:r>
      <w:r w:rsidR="007809BC">
        <w:rPr>
          <w:rFonts w:ascii="Candara" w:hAnsi="Candara"/>
          <w:color w:val="000000"/>
        </w:rPr>
        <w:t>17,6 tūkst.</w:t>
      </w:r>
      <w:r w:rsidRPr="00100DB3" w:rsidR="007809BC">
        <w:rPr>
          <w:rFonts w:ascii="Candara" w:hAnsi="Candara"/>
          <w:color w:val="000000"/>
        </w:rPr>
        <w:t xml:space="preserve"> </w:t>
      </w:r>
      <w:r w:rsidRPr="00100DB3">
        <w:rPr>
          <w:rFonts w:ascii="Candara" w:hAnsi="Candara"/>
          <w:color w:val="000000"/>
        </w:rPr>
        <w:t xml:space="preserve">EUR. </w:t>
      </w:r>
      <w:r>
        <w:rPr>
          <w:rFonts w:ascii="Candara" w:hAnsi="Candara"/>
          <w:color w:val="000000"/>
        </w:rPr>
        <w:t xml:space="preserve"> </w:t>
      </w:r>
      <w:r w:rsidRPr="00100DB3">
        <w:rPr>
          <w:rFonts w:ascii="Candara" w:hAnsi="Candara"/>
          <w:color w:val="000000"/>
        </w:rPr>
        <w:t>Saskaņā ar ieprie</w:t>
      </w:r>
      <w:r w:rsidR="00625C7B">
        <w:rPr>
          <w:rFonts w:ascii="Candara" w:hAnsi="Candara"/>
          <w:color w:val="000000"/>
        </w:rPr>
        <w:t>kš minēto, 1.1.1.1. un 1.1.1.2.</w:t>
      </w:r>
      <w:r w:rsidRPr="00100DB3">
        <w:rPr>
          <w:rFonts w:ascii="Candara" w:hAnsi="Candara"/>
          <w:color w:val="000000"/>
        </w:rPr>
        <w:t xml:space="preserve">pasākumu ietvaros plānotās piesaistītās privātās investīcijas pētniecības un attīstības projektiem, nesniedz būtisku ieguldījumu virzībā uz privātā sektora P&amp;A investīciju apmēra pieaugumu. Salīdzinoši nelielais piesaistītā privātā līdzfinansējuma apmērs izriet no plānoto pētniecības projektu rakstura – abu pasākumu ietvaros kopumā atbalstīti </w:t>
      </w:r>
      <w:r w:rsidR="00D36C7C">
        <w:rPr>
          <w:rFonts w:ascii="Candara" w:hAnsi="Candara"/>
          <w:color w:val="000000"/>
        </w:rPr>
        <w:t>8</w:t>
      </w:r>
      <w:r w:rsidRPr="00100DB3" w:rsidR="007809BC">
        <w:rPr>
          <w:rFonts w:ascii="Candara" w:hAnsi="Candara"/>
          <w:color w:val="000000"/>
        </w:rPr>
        <w:t xml:space="preserve"> </w:t>
      </w:r>
      <w:r w:rsidRPr="00100DB3">
        <w:rPr>
          <w:rFonts w:ascii="Candara" w:hAnsi="Candara"/>
          <w:color w:val="000000"/>
        </w:rPr>
        <w:t>ar saimniecisku darbību saistīti projekti (</w:t>
      </w:r>
      <w:r w:rsidR="00D36C7C">
        <w:rPr>
          <w:rFonts w:ascii="Candara" w:hAnsi="Candara"/>
          <w:color w:val="000000"/>
        </w:rPr>
        <w:t>7</w:t>
      </w:r>
      <w:r w:rsidRPr="00100DB3" w:rsidR="00D36C7C">
        <w:rPr>
          <w:rFonts w:ascii="Candara" w:hAnsi="Candara"/>
          <w:color w:val="000000"/>
        </w:rPr>
        <w:t xml:space="preserve"> </w:t>
      </w:r>
      <w:r w:rsidRPr="00100DB3">
        <w:rPr>
          <w:rFonts w:ascii="Candara" w:hAnsi="Candara"/>
          <w:color w:val="000000"/>
        </w:rPr>
        <w:t xml:space="preserve">jeb </w:t>
      </w:r>
      <w:r w:rsidR="00D36C7C">
        <w:rPr>
          <w:rFonts w:ascii="Candara" w:hAnsi="Candara"/>
          <w:color w:val="000000"/>
        </w:rPr>
        <w:t>9</w:t>
      </w:r>
      <w:r w:rsidRPr="00100DB3">
        <w:rPr>
          <w:rFonts w:ascii="Candara" w:hAnsi="Candara"/>
          <w:color w:val="000000"/>
        </w:rPr>
        <w:t>% no kopējā īstenošanai apstip</w:t>
      </w:r>
      <w:r w:rsidR="00625C7B">
        <w:rPr>
          <w:rFonts w:ascii="Candara" w:hAnsi="Candara"/>
          <w:color w:val="000000"/>
        </w:rPr>
        <w:t>rinātā projektu skaita 1.1.1.1.</w:t>
      </w:r>
      <w:r w:rsidRPr="00100DB3">
        <w:rPr>
          <w:rFonts w:ascii="Candara" w:hAnsi="Candara"/>
          <w:color w:val="000000"/>
        </w:rPr>
        <w:t xml:space="preserve">pasākumā un </w:t>
      </w:r>
      <w:r w:rsidR="007809BC">
        <w:rPr>
          <w:rFonts w:ascii="Candara" w:hAnsi="Candara"/>
          <w:color w:val="000000"/>
        </w:rPr>
        <w:t xml:space="preserve">1 </w:t>
      </w:r>
      <w:r>
        <w:rPr>
          <w:rFonts w:ascii="Candara" w:hAnsi="Candara"/>
          <w:color w:val="000000"/>
        </w:rPr>
        <w:t xml:space="preserve">jeb </w:t>
      </w:r>
      <w:r w:rsidRPr="00100DB3">
        <w:rPr>
          <w:rFonts w:ascii="Candara" w:hAnsi="Candara"/>
          <w:color w:val="000000"/>
        </w:rPr>
        <w:t>1% no kopējā īstenošanai apstip</w:t>
      </w:r>
      <w:r w:rsidR="00625C7B">
        <w:rPr>
          <w:rFonts w:ascii="Candara" w:hAnsi="Candara"/>
          <w:color w:val="000000"/>
        </w:rPr>
        <w:t>rinātā projektu skaita 1.1.1.2.</w:t>
      </w:r>
      <w:r w:rsidRPr="00100DB3">
        <w:rPr>
          <w:rFonts w:ascii="Candara" w:hAnsi="Candara"/>
          <w:color w:val="000000"/>
        </w:rPr>
        <w:t xml:space="preserve">pasākumā). </w:t>
      </w:r>
      <w:r w:rsidR="00B42CA7">
        <w:rPr>
          <w:rFonts w:ascii="Candara" w:hAnsi="Candara"/>
          <w:color w:val="000000"/>
        </w:rPr>
        <w:t xml:space="preserve">Darbības programmā “Izaugsme un nodarbinātība” noteiktais mērķis ir ar ES struktūrfondu investīcijām piesaistīt 15,9 MEUR privātā līdzfinansējuma, tostarp praktiskas ievirzes pētījumu un pēcdoktorantūras pētījumu programmu ietvaros – 12,83 MEUR. Ievērojot iepriekš minēto, secināms, ka nepieciešams pārskatīt šobrīd abu programmu ietvaros iestrādātos stimulus privātā (komersantu) līdzfinansējuma piesaistei P&amp;A projektu īstenošanai. Padziļināta analīze un priekšlikumi īstenojamajiem stimuliem sniegti IZM izstrādātajā </w:t>
      </w:r>
      <w:r w:rsidRPr="005420ED" w:rsidR="00B42CA7">
        <w:rPr>
          <w:rFonts w:ascii="Candara" w:hAnsi="Candara"/>
          <w:color w:val="000000"/>
        </w:rPr>
        <w:t>informatīvā ziņojuma projektā “Darbības programmas “Izaugsme un nodarbinātība” 1.1.1. specifiskā atbalsta mērķa “Palielināt Latvijas zinātnisko institūciju pētniecisko un inovatīvo kapacitāti, ieguldot cilvēkresursos un infrastruktūrā” pasākumu pirmās projektu iesniegumu atlases kārtas rezultātu analīze un priekšlikumi turpmāko atlases kārtu saturiskiem un procedurāliem uzlabojumiem”</w:t>
      </w:r>
      <w:r w:rsidR="00B42CA7">
        <w:rPr>
          <w:rFonts w:ascii="Candara" w:hAnsi="Candara"/>
          <w:color w:val="000000"/>
        </w:rPr>
        <w:t>.</w:t>
      </w:r>
    </w:p>
    <w:p w:rsidR="00B921B8" w:rsidP="009F2C2C" w14:paraId="2C247A29" w14:textId="77777777">
      <w:pPr>
        <w:spacing w:after="0"/>
        <w:ind w:firstLine="426"/>
        <w:jc w:val="both"/>
        <w:rPr>
          <w:rFonts w:ascii="Candara" w:hAnsi="Candara"/>
          <w:color w:val="000000"/>
        </w:rPr>
      </w:pPr>
      <w:r w:rsidRPr="000C1DAE">
        <w:rPr>
          <w:rFonts w:ascii="Candara" w:hAnsi="Candara"/>
          <w:color w:val="000000"/>
        </w:rPr>
        <w:t>Papildus ir jāpiemin arī zinātnes bāzes finansējuma, kura aprēķināšanā kā rādītājs ir ņemts vērā arī institūciju saņemtais uzņēmumu līdzfinansējums P&amp;A projektiem. Tas finansējuma aprēķinā veido daļu zinātnes bāzes finansējuma</w:t>
      </w:r>
      <w:r w:rsidR="00625C7B">
        <w:rPr>
          <w:rFonts w:ascii="Candara" w:hAnsi="Candara"/>
          <w:color w:val="000000"/>
        </w:rPr>
        <w:t xml:space="preserve"> noteikumos 10.2, 10.3. un 10.4.</w:t>
      </w:r>
      <w:r w:rsidRPr="000C1DAE">
        <w:rPr>
          <w:rFonts w:ascii="Candara" w:hAnsi="Candara"/>
          <w:color w:val="000000"/>
        </w:rPr>
        <w:t xml:space="preserve">apakšpunktā noteikto rādītāju kopējās vērtības. Tādējādi arī zinātnes bāzes finansējums sniedz finansiālu iniciatīvu palielināt uzņēmumu iesaisti P &amp; A </w:t>
      </w:r>
      <w:r w:rsidRPr="000C1DAE" w:rsidR="00E5585A">
        <w:rPr>
          <w:rFonts w:ascii="Candara" w:hAnsi="Candara"/>
          <w:color w:val="000000"/>
        </w:rPr>
        <w:t>ar</w:t>
      </w:r>
      <w:r w:rsidRPr="000C1DAE">
        <w:rPr>
          <w:rFonts w:ascii="Candara" w:hAnsi="Candara"/>
          <w:color w:val="000000"/>
        </w:rPr>
        <w:t xml:space="preserve"> projekt</w:t>
      </w:r>
      <w:r w:rsidRPr="000C1DAE" w:rsidR="00E5585A">
        <w:rPr>
          <w:rFonts w:ascii="Candara" w:hAnsi="Candara"/>
          <w:color w:val="000000"/>
        </w:rPr>
        <w:t>u līdzfinansējuma nodrošināšanu</w:t>
      </w:r>
      <w:r w:rsidRPr="000C1DAE">
        <w:rPr>
          <w:rFonts w:ascii="Candara" w:hAnsi="Candara"/>
          <w:color w:val="000000"/>
        </w:rPr>
        <w:t>.</w:t>
      </w:r>
    </w:p>
    <w:p w:rsidR="002D2715" w:rsidRPr="000C1DAE" w:rsidP="009F2C2C" w14:paraId="0E6F3B15" w14:textId="77777777">
      <w:pPr>
        <w:spacing w:after="0"/>
        <w:ind w:firstLine="426"/>
        <w:jc w:val="both"/>
        <w:rPr>
          <w:rFonts w:ascii="Candara" w:hAnsi="Candara"/>
          <w:color w:val="000000"/>
        </w:rPr>
      </w:pPr>
      <w:r>
        <w:rPr>
          <w:rFonts w:ascii="Candara" w:hAnsi="Candara"/>
          <w:color w:val="000000"/>
        </w:rPr>
        <w:t>EM</w:t>
      </w:r>
      <w:r w:rsidRPr="00100DB3">
        <w:rPr>
          <w:rFonts w:ascii="Candara" w:hAnsi="Candara"/>
          <w:color w:val="000000"/>
        </w:rPr>
        <w:t xml:space="preserve"> pārziņā esošās ES struktūrfondu programmas, kuras sniedz ieguldījumu </w:t>
      </w:r>
      <w:r>
        <w:rPr>
          <w:rFonts w:ascii="Candara" w:hAnsi="Candara"/>
          <w:color w:val="000000"/>
        </w:rPr>
        <w:t xml:space="preserve">šajā </w:t>
      </w:r>
      <w:r w:rsidRPr="00100DB3">
        <w:rPr>
          <w:rFonts w:ascii="Candara" w:hAnsi="Candara"/>
          <w:color w:val="000000"/>
        </w:rPr>
        <w:t>RIS3 mikro līmeņa rādītājā</w:t>
      </w:r>
      <w:r>
        <w:rPr>
          <w:rFonts w:ascii="Candara" w:hAnsi="Candara"/>
          <w:color w:val="000000"/>
        </w:rPr>
        <w:t>,</w:t>
      </w:r>
      <w:r w:rsidRPr="00100DB3">
        <w:rPr>
          <w:rFonts w:ascii="Candara" w:hAnsi="Candara"/>
          <w:color w:val="000000"/>
        </w:rPr>
        <w:t xml:space="preserve"> ir </w:t>
      </w:r>
      <w:r>
        <w:rPr>
          <w:rFonts w:ascii="Candara" w:hAnsi="Candara"/>
          <w:color w:val="000000"/>
        </w:rPr>
        <w:t>1.2.1.1., 1.2.1.2. un</w:t>
      </w:r>
      <w:r w:rsidR="00625C7B">
        <w:rPr>
          <w:rFonts w:ascii="Candara" w:hAnsi="Candara"/>
          <w:color w:val="000000"/>
        </w:rPr>
        <w:t xml:space="preserve"> 1.2.1.4.</w:t>
      </w:r>
      <w:r w:rsidRPr="00100DB3">
        <w:rPr>
          <w:rFonts w:ascii="Candara" w:hAnsi="Candara"/>
          <w:color w:val="000000"/>
        </w:rPr>
        <w:t xml:space="preserve">pasākums. </w:t>
      </w:r>
      <w:r w:rsidR="00625C7B">
        <w:rPr>
          <w:rFonts w:ascii="Candara" w:hAnsi="Candara"/>
          <w:color w:val="000000"/>
        </w:rPr>
        <w:t>1.2.1.1.</w:t>
      </w:r>
      <w:r>
        <w:rPr>
          <w:rFonts w:ascii="Candara" w:hAnsi="Candara"/>
          <w:color w:val="000000"/>
        </w:rPr>
        <w:t>pasākuma ietvaros līdz 2017.gada</w:t>
      </w:r>
      <w:r w:rsidRPr="000728BA">
        <w:rPr>
          <w:rFonts w:ascii="Candara" w:hAnsi="Candara"/>
          <w:color w:val="000000"/>
        </w:rPr>
        <w:t xml:space="preserve"> maijam uzņēmumu līdzfinansējums P</w:t>
      </w:r>
      <w:r>
        <w:rPr>
          <w:rFonts w:ascii="Candara" w:hAnsi="Candara"/>
          <w:color w:val="000000"/>
        </w:rPr>
        <w:t>&amp;A projektiem sastāda 2,6 M</w:t>
      </w:r>
      <w:r w:rsidRPr="000728BA">
        <w:rPr>
          <w:rFonts w:ascii="Candara" w:hAnsi="Candara"/>
          <w:color w:val="000000"/>
        </w:rPr>
        <w:t>EUR</w:t>
      </w:r>
      <w:r>
        <w:rPr>
          <w:rFonts w:ascii="Candara" w:hAnsi="Candara"/>
          <w:color w:val="000000"/>
        </w:rPr>
        <w:t xml:space="preserve">. 1.2.1.2. pasākuma ietvaros līdz </w:t>
      </w:r>
      <w:r>
        <w:rPr>
          <w:rFonts w:ascii="Candara" w:hAnsi="Candara"/>
          <w:color w:val="000000"/>
        </w:rPr>
        <w:t>2017.gada maijam iesniegti 2 projekti un s</w:t>
      </w:r>
      <w:r w:rsidRPr="00100DB3">
        <w:rPr>
          <w:rFonts w:ascii="Candara" w:hAnsi="Candara"/>
          <w:color w:val="000000"/>
        </w:rPr>
        <w:t xml:space="preserve">askaņā ar </w:t>
      </w:r>
      <w:r>
        <w:rPr>
          <w:rFonts w:ascii="Candara" w:hAnsi="Candara"/>
          <w:color w:val="000000"/>
        </w:rPr>
        <w:t>1.2.1.4. pasākuma</w:t>
      </w:r>
      <w:r w:rsidRPr="00100DB3">
        <w:rPr>
          <w:rFonts w:ascii="Candara" w:hAnsi="Candara"/>
          <w:color w:val="000000"/>
        </w:rPr>
        <w:t xml:space="preserve"> pirmās projektu i</w:t>
      </w:r>
      <w:r>
        <w:rPr>
          <w:rFonts w:ascii="Candara" w:hAnsi="Candara"/>
          <w:color w:val="000000"/>
        </w:rPr>
        <w:t xml:space="preserve">esniegumu atlases kārtas </w:t>
      </w:r>
      <w:r w:rsidRPr="00100DB3">
        <w:rPr>
          <w:rFonts w:ascii="Candara" w:hAnsi="Candara"/>
          <w:color w:val="000000"/>
        </w:rPr>
        <w:t>rezultātiem,</w:t>
      </w:r>
      <w:r>
        <w:rPr>
          <w:rFonts w:ascii="Candara" w:hAnsi="Candara"/>
          <w:color w:val="000000"/>
        </w:rPr>
        <w:t xml:space="preserve"> apstiprināti 16 projekti, kas piesaistījuši 43,7 MEUR privātās investīcijas. </w:t>
      </w:r>
    </w:p>
    <w:p w:rsidR="000C1DAE" w:rsidRPr="000C1DAE" w:rsidP="00B921B8" w14:paraId="5C3A5358" w14:textId="77777777">
      <w:pPr>
        <w:spacing w:after="0"/>
        <w:jc w:val="both"/>
        <w:rPr>
          <w:rFonts w:ascii="Candara" w:hAnsi="Candara"/>
          <w:color w:val="000000"/>
        </w:rPr>
      </w:pPr>
    </w:p>
    <w:p w:rsidR="000C1DAE" w:rsidRPr="000C1DAE" w:rsidP="000C1DAE" w14:paraId="449C3215" w14:textId="77777777">
      <w:pPr>
        <w:spacing w:after="0"/>
        <w:jc w:val="both"/>
        <w:rPr>
          <w:rFonts w:ascii="Candara" w:hAnsi="Candara"/>
          <w:b/>
          <w:bCs/>
          <w:color w:val="000000"/>
        </w:rPr>
      </w:pPr>
      <w:r w:rsidRPr="000C1DAE">
        <w:rPr>
          <w:rFonts w:ascii="Candara" w:hAnsi="Candara"/>
          <w:b/>
          <w:bCs/>
          <w:color w:val="000000"/>
        </w:rPr>
        <w:t>Uzņēmumu skaits, kas saņēmuši atbalstu, lai ieviestu jaunus produktus vai tehnoloģijas</w:t>
      </w:r>
    </w:p>
    <w:p w:rsidR="002D2715" w:rsidP="009F2C2C" w14:paraId="373A24AC" w14:textId="7B6543F7">
      <w:pPr>
        <w:spacing w:after="0"/>
        <w:ind w:firstLine="426"/>
        <w:jc w:val="both"/>
        <w:rPr>
          <w:rFonts w:ascii="Candara" w:hAnsi="Candara"/>
          <w:color w:val="000000"/>
        </w:rPr>
      </w:pPr>
      <w:r>
        <w:rPr>
          <w:rFonts w:ascii="Candara" w:hAnsi="Candara"/>
          <w:color w:val="000000"/>
        </w:rPr>
        <w:t>1.1.1.1. un 1.1.1.2.</w:t>
      </w:r>
      <w:r w:rsidRPr="000C1DAE">
        <w:rPr>
          <w:rFonts w:ascii="Candara" w:hAnsi="Candara"/>
          <w:color w:val="000000"/>
        </w:rPr>
        <w:t xml:space="preserve">pasākumu pirmās projektu iesniegumu atlases kārtas ietvaros kopumā atbalstu jaunu produktu vai tehnoloģiju izstrādei saņems </w:t>
      </w:r>
      <w:r w:rsidR="0028747D">
        <w:rPr>
          <w:rFonts w:ascii="Candara" w:hAnsi="Candara"/>
          <w:color w:val="000000"/>
        </w:rPr>
        <w:t>36</w:t>
      </w:r>
      <w:r w:rsidRPr="000C1DAE" w:rsidR="0028747D">
        <w:rPr>
          <w:rFonts w:ascii="Candara" w:hAnsi="Candara"/>
          <w:color w:val="000000"/>
        </w:rPr>
        <w:t xml:space="preserve"> </w:t>
      </w:r>
      <w:r w:rsidRPr="000C1DAE">
        <w:rPr>
          <w:rFonts w:ascii="Candara" w:hAnsi="Candara"/>
          <w:color w:val="000000"/>
        </w:rPr>
        <w:t xml:space="preserve">komersanti. </w:t>
      </w:r>
      <w:r w:rsidRPr="000C1DAE" w:rsidR="00A43037">
        <w:rPr>
          <w:rFonts w:ascii="Candara" w:hAnsi="Candara"/>
          <w:color w:val="000000"/>
        </w:rPr>
        <w:t>1</w:t>
      </w:r>
      <w:r w:rsidR="00A43037">
        <w:rPr>
          <w:rFonts w:ascii="Candara" w:hAnsi="Candara"/>
          <w:color w:val="000000"/>
        </w:rPr>
        <w:t>8</w:t>
      </w:r>
      <w:r w:rsidRPr="000C1DAE" w:rsidR="00A43037">
        <w:rPr>
          <w:rFonts w:ascii="Candara" w:hAnsi="Candara"/>
          <w:color w:val="000000"/>
        </w:rPr>
        <w:t xml:space="preserve"> </w:t>
      </w:r>
      <w:r w:rsidRPr="000C1DAE">
        <w:rPr>
          <w:rFonts w:ascii="Candara" w:hAnsi="Candara"/>
          <w:color w:val="000000"/>
        </w:rPr>
        <w:t xml:space="preserve">komersanti </w:t>
      </w:r>
      <w:r w:rsidR="003061DF">
        <w:rPr>
          <w:rFonts w:ascii="Candara" w:hAnsi="Candara"/>
          <w:color w:val="000000"/>
        </w:rPr>
        <w:t>(</w:t>
      </w:r>
      <w:r w:rsidRPr="000C1DAE">
        <w:rPr>
          <w:rFonts w:ascii="Candara" w:hAnsi="Candara"/>
          <w:color w:val="000000"/>
        </w:rPr>
        <w:t xml:space="preserve">jeb </w:t>
      </w:r>
      <w:r w:rsidRPr="000C1DAE" w:rsidR="00A43037">
        <w:rPr>
          <w:rFonts w:ascii="Candara" w:hAnsi="Candara"/>
          <w:color w:val="000000"/>
        </w:rPr>
        <w:t>2</w:t>
      </w:r>
      <w:r w:rsidR="00A43037">
        <w:rPr>
          <w:rFonts w:ascii="Candara" w:hAnsi="Candara"/>
          <w:color w:val="000000"/>
        </w:rPr>
        <w:t>4</w:t>
      </w:r>
      <w:r w:rsidRPr="000C1DAE">
        <w:rPr>
          <w:rFonts w:ascii="Candara" w:hAnsi="Candara"/>
          <w:color w:val="000000"/>
        </w:rPr>
        <w:t>% gadījumu no kopējā pro</w:t>
      </w:r>
      <w:r>
        <w:rPr>
          <w:rFonts w:ascii="Candara" w:hAnsi="Candara"/>
          <w:color w:val="000000"/>
        </w:rPr>
        <w:t>jektu skaita) piedalās 1.1.1.1.</w:t>
      </w:r>
      <w:r w:rsidRPr="000C1DAE">
        <w:rPr>
          <w:rFonts w:ascii="Candara" w:hAnsi="Candara"/>
          <w:color w:val="000000"/>
        </w:rPr>
        <w:t xml:space="preserve">pasākuma pētījumu projektu īstenošanā, </w:t>
      </w:r>
      <w:r w:rsidR="0028747D">
        <w:rPr>
          <w:rFonts w:ascii="Candara" w:hAnsi="Candara"/>
          <w:color w:val="000000"/>
        </w:rPr>
        <w:t xml:space="preserve">arī </w:t>
      </w:r>
      <w:r w:rsidRPr="000C1DAE">
        <w:rPr>
          <w:rFonts w:ascii="Candara" w:hAnsi="Candara"/>
          <w:color w:val="000000"/>
        </w:rPr>
        <w:t>1.1.1.2.</w:t>
      </w:r>
      <w:r w:rsidR="00D55166">
        <w:rPr>
          <w:rFonts w:ascii="Candara" w:hAnsi="Candara"/>
          <w:color w:val="000000"/>
        </w:rPr>
        <w:t> </w:t>
      </w:r>
      <w:r w:rsidRPr="000C1DAE">
        <w:rPr>
          <w:rFonts w:ascii="Candara" w:hAnsi="Candara"/>
          <w:color w:val="000000"/>
        </w:rPr>
        <w:t xml:space="preserve">pasākumā sadarbība pētniecības </w:t>
      </w:r>
      <w:r w:rsidRPr="000C1DAE" w:rsidR="0028747D">
        <w:rPr>
          <w:rFonts w:ascii="Candara" w:hAnsi="Candara"/>
          <w:color w:val="000000"/>
        </w:rPr>
        <w:t>projekt</w:t>
      </w:r>
      <w:r w:rsidR="0028747D">
        <w:rPr>
          <w:rFonts w:ascii="Candara" w:hAnsi="Candara"/>
          <w:color w:val="000000"/>
        </w:rPr>
        <w:t>u</w:t>
      </w:r>
      <w:r w:rsidRPr="000C1DAE" w:rsidR="0028747D">
        <w:rPr>
          <w:rFonts w:ascii="Candara" w:hAnsi="Candara"/>
          <w:color w:val="000000"/>
        </w:rPr>
        <w:t xml:space="preserve"> </w:t>
      </w:r>
      <w:r w:rsidRPr="000C1DAE">
        <w:rPr>
          <w:rFonts w:ascii="Candara" w:hAnsi="Candara"/>
          <w:color w:val="000000"/>
        </w:rPr>
        <w:t xml:space="preserve">īstenošanā paredzēta ar </w:t>
      </w:r>
      <w:r w:rsidR="0028747D">
        <w:rPr>
          <w:rFonts w:ascii="Candara" w:hAnsi="Candara"/>
          <w:color w:val="000000"/>
        </w:rPr>
        <w:t>18</w:t>
      </w:r>
      <w:r w:rsidRPr="000C1DAE" w:rsidR="0028747D">
        <w:rPr>
          <w:rFonts w:ascii="Candara" w:hAnsi="Candara"/>
          <w:color w:val="000000"/>
        </w:rPr>
        <w:t xml:space="preserve"> </w:t>
      </w:r>
      <w:r w:rsidRPr="000C1DAE">
        <w:rPr>
          <w:rFonts w:ascii="Candara" w:hAnsi="Candara"/>
          <w:color w:val="000000"/>
        </w:rPr>
        <w:t>komersantiem.</w:t>
      </w:r>
    </w:p>
    <w:p w:rsidR="002D2715" w:rsidP="009F2C2C" w14:paraId="4C9DBA8B" w14:textId="77777777">
      <w:pPr>
        <w:spacing w:after="0"/>
        <w:ind w:firstLine="426"/>
        <w:jc w:val="both"/>
        <w:rPr>
          <w:rFonts w:ascii="Candara" w:hAnsi="Candara"/>
          <w:color w:val="000000"/>
        </w:rPr>
      </w:pPr>
      <w:r>
        <w:rPr>
          <w:rFonts w:ascii="Candara" w:hAnsi="Candara"/>
          <w:color w:val="000000"/>
        </w:rPr>
        <w:t>1.2.1.1.</w:t>
      </w:r>
      <w:r>
        <w:rPr>
          <w:rFonts w:ascii="Candara" w:hAnsi="Candara"/>
          <w:color w:val="000000"/>
        </w:rPr>
        <w:t xml:space="preserve">pasākuma ietvaros atbalstu jaunu produktu vai tehnoloģiju izstrādei </w:t>
      </w:r>
      <w:r w:rsidRPr="007427A2">
        <w:rPr>
          <w:rFonts w:ascii="Candara" w:hAnsi="Candara"/>
          <w:color w:val="000000"/>
        </w:rPr>
        <w:t>līdz 2017.g.maijam atbalstu saņēmuši 106 komersanti</w:t>
      </w:r>
      <w:r>
        <w:rPr>
          <w:rFonts w:ascii="Candara" w:hAnsi="Candara"/>
          <w:color w:val="000000"/>
        </w:rPr>
        <w:t>. 1.2.1.4.</w:t>
      </w:r>
      <w:r>
        <w:rPr>
          <w:rFonts w:ascii="Candara" w:hAnsi="Candara"/>
          <w:color w:val="000000"/>
        </w:rPr>
        <w:t xml:space="preserve">pasākuma </w:t>
      </w:r>
      <w:r w:rsidRPr="000C1DAE">
        <w:rPr>
          <w:rFonts w:ascii="Candara" w:hAnsi="Candara"/>
          <w:color w:val="000000"/>
        </w:rPr>
        <w:t xml:space="preserve">pirmās projektu iesniegumu atlases kārtas ietvaros kopumā atbalstu jaunu </w:t>
      </w:r>
      <w:r>
        <w:rPr>
          <w:rFonts w:ascii="Candara" w:hAnsi="Candara"/>
          <w:color w:val="000000"/>
        </w:rPr>
        <w:t>tehnoloģiju izstrādei saņēmuši 16</w:t>
      </w:r>
      <w:r w:rsidRPr="000C1DAE">
        <w:rPr>
          <w:rFonts w:ascii="Candara" w:hAnsi="Candara"/>
          <w:color w:val="000000"/>
        </w:rPr>
        <w:t xml:space="preserve"> komersanti.</w:t>
      </w:r>
      <w:r>
        <w:rPr>
          <w:rFonts w:ascii="Candara" w:hAnsi="Candara"/>
          <w:color w:val="000000"/>
        </w:rPr>
        <w:t xml:space="preserve"> 1.2.1.2.</w:t>
      </w:r>
      <w:r>
        <w:rPr>
          <w:rFonts w:ascii="Candara" w:hAnsi="Candara"/>
          <w:color w:val="000000"/>
        </w:rPr>
        <w:t>pasākuma ietvaros Inovāciju vaučeru programmā līdz šim jaunu produktu un tehnoloģiju izstrādei atbalstam piet</w:t>
      </w:r>
      <w:r>
        <w:rPr>
          <w:rFonts w:ascii="Candara" w:hAnsi="Candara"/>
          <w:color w:val="000000"/>
        </w:rPr>
        <w:t>eikušies 2 komersanti. 3.1.1.6.pasākuma ietvaros līdz 2017.</w:t>
      </w:r>
      <w:r>
        <w:rPr>
          <w:rFonts w:ascii="Candara" w:hAnsi="Candara"/>
          <w:color w:val="000000"/>
        </w:rPr>
        <w:t>gada maijam atbalstu pirmsinkubācijai saņēmuši 208 personas, kā arī inkubācijai atbalsts sniegts 101 komersantam.</w:t>
      </w:r>
    </w:p>
    <w:p w:rsidR="002D2715" w:rsidRPr="000C1DAE" w:rsidP="009F2C2C" w14:paraId="5A0A3B17" w14:textId="77777777">
      <w:pPr>
        <w:spacing w:after="0" w:line="240" w:lineRule="auto"/>
        <w:ind w:firstLine="426"/>
        <w:jc w:val="both"/>
        <w:rPr>
          <w:rFonts w:ascii="Candara" w:hAnsi="Candara"/>
          <w:color w:val="000000"/>
        </w:rPr>
      </w:pPr>
      <w:r>
        <w:rPr>
          <w:rFonts w:ascii="Candara" w:hAnsi="Candara"/>
          <w:color w:val="000000"/>
        </w:rPr>
        <w:t>Komersantiem, s</w:t>
      </w:r>
      <w:r w:rsidRPr="00BC6219">
        <w:rPr>
          <w:rFonts w:ascii="Candara" w:hAnsi="Candara"/>
          <w:color w:val="000000"/>
        </w:rPr>
        <w:t xml:space="preserve">ākot ar 2014.gada 1.jūliju </w:t>
      </w:r>
      <w:r>
        <w:rPr>
          <w:rFonts w:ascii="Candara" w:hAnsi="Candara"/>
          <w:color w:val="000000"/>
        </w:rPr>
        <w:t>ir pieejams UIN stimuls</w:t>
      </w:r>
      <w:r w:rsidRPr="00BC6219">
        <w:rPr>
          <w:rFonts w:ascii="Candara" w:hAnsi="Candara"/>
          <w:color w:val="000000"/>
        </w:rPr>
        <w:t xml:space="preserve"> uzņēmumu </w:t>
      </w:r>
      <w:r>
        <w:rPr>
          <w:rFonts w:ascii="Candara" w:hAnsi="Candara"/>
          <w:color w:val="000000"/>
        </w:rPr>
        <w:t>P&amp;A</w:t>
      </w:r>
      <w:r w:rsidRPr="00BC6219">
        <w:rPr>
          <w:rFonts w:ascii="Candara" w:hAnsi="Candara"/>
          <w:color w:val="000000"/>
        </w:rPr>
        <w:t xml:space="preserve"> izmaksām, kas var tikt norakstītas tajā gadā, kad tās radušās, piemērojot vērtību palielinošu koeficientu „3”. </w:t>
      </w:r>
      <w:r>
        <w:rPr>
          <w:rFonts w:ascii="Candara" w:hAnsi="Candara"/>
          <w:color w:val="000000"/>
        </w:rPr>
        <w:t>Stimula ietvaros 2014. gadā atbalstu izmantojuši 86 uzņēmumi, kas deklarējuši atlaidi o,44 MEUR apmērā un 2015.gadā 30 uzņēmumi, kas</w:t>
      </w:r>
      <w:r w:rsidRPr="00C3609A">
        <w:rPr>
          <w:rFonts w:ascii="Candara" w:hAnsi="Candara"/>
          <w:color w:val="000000"/>
        </w:rPr>
        <w:t xml:space="preserve"> </w:t>
      </w:r>
      <w:r w:rsidRPr="00BC6219">
        <w:rPr>
          <w:rFonts w:ascii="Candara" w:hAnsi="Candara"/>
          <w:color w:val="000000"/>
        </w:rPr>
        <w:t>deklarējuši atlaidi</w:t>
      </w:r>
      <w:r>
        <w:rPr>
          <w:rFonts w:ascii="Candara" w:hAnsi="Candara"/>
          <w:color w:val="000000"/>
        </w:rPr>
        <w:t xml:space="preserve"> 1,41 MEUR apmērā.</w:t>
      </w:r>
    </w:p>
    <w:p w:rsidR="008E687D" w:rsidRPr="000C1DAE" w:rsidP="000C1DAE" w14:paraId="5589BDF7" w14:textId="77777777">
      <w:pPr>
        <w:spacing w:after="0"/>
        <w:jc w:val="both"/>
        <w:rPr>
          <w:rFonts w:ascii="Candara" w:hAnsi="Candara"/>
          <w:color w:val="000000"/>
        </w:rPr>
      </w:pPr>
    </w:p>
    <w:p w:rsidR="00B921B8" w:rsidRPr="000C1DAE" w:rsidP="00B921B8" w14:paraId="20499A0E" w14:textId="77777777">
      <w:pPr>
        <w:spacing w:after="0"/>
        <w:jc w:val="both"/>
        <w:rPr>
          <w:rFonts w:ascii="Candara" w:hAnsi="Candara"/>
          <w:b/>
          <w:color w:val="000000"/>
        </w:rPr>
      </w:pPr>
      <w:r w:rsidRPr="000C1DAE">
        <w:rPr>
          <w:rFonts w:ascii="Candara" w:hAnsi="Candara"/>
          <w:b/>
          <w:color w:val="000000"/>
        </w:rPr>
        <w:t>Zinātnisko institūciju izveidotie jaundibinātie uzņēmumi (</w:t>
      </w:r>
      <w:r w:rsidRPr="008E687D">
        <w:rPr>
          <w:rFonts w:ascii="Candara" w:hAnsi="Candara"/>
          <w:b/>
          <w:i/>
          <w:color w:val="000000"/>
        </w:rPr>
        <w:t>spin-off</w:t>
      </w:r>
      <w:r w:rsidRPr="000C1DAE">
        <w:rPr>
          <w:rFonts w:ascii="Candara" w:hAnsi="Candara"/>
          <w:b/>
          <w:color w:val="000000"/>
        </w:rPr>
        <w:t>)</w:t>
      </w:r>
    </w:p>
    <w:p w:rsidR="00B921B8" w:rsidP="009F2C2C" w14:paraId="42A7BF16" w14:textId="77777777">
      <w:pPr>
        <w:spacing w:after="0"/>
        <w:ind w:firstLine="426"/>
        <w:jc w:val="both"/>
        <w:rPr>
          <w:rFonts w:ascii="Candara" w:hAnsi="Candara"/>
          <w:color w:val="000000"/>
        </w:rPr>
      </w:pPr>
      <w:r w:rsidRPr="000C1DAE">
        <w:rPr>
          <w:rFonts w:ascii="Candara" w:hAnsi="Candara"/>
          <w:color w:val="000000"/>
        </w:rPr>
        <w:t>Attiecībā uz atbalstu šo uzņēmumu izveidei, 21 augstskolai un zinātniskajām institūcijām, kuras piedalās 8.1.1.</w:t>
      </w:r>
      <w:r w:rsidR="008E687D">
        <w:rPr>
          <w:rFonts w:ascii="Candara" w:hAnsi="Candara"/>
          <w:color w:val="000000"/>
        </w:rPr>
        <w:t>specifiskā atbalsta mērķa “</w:t>
      </w:r>
      <w:r w:rsidRPr="008E687D" w:rsidR="008E687D">
        <w:rPr>
          <w:rFonts w:ascii="Candara" w:hAnsi="Candara"/>
          <w:color w:val="000000"/>
        </w:rPr>
        <w:t>Palielināt modernizēto STEM, tajā skaitā medicīnas un radošās industrijas, studiju programmu skaitu</w:t>
      </w:r>
      <w:r w:rsidR="008E687D">
        <w:rPr>
          <w:rFonts w:ascii="Candara" w:hAnsi="Candara"/>
          <w:color w:val="000000"/>
        </w:rPr>
        <w:t>”</w:t>
      </w:r>
      <w:r w:rsidRPr="000C1DAE">
        <w:rPr>
          <w:rFonts w:ascii="Candara" w:hAnsi="Candara"/>
          <w:color w:val="000000"/>
        </w:rPr>
        <w:t xml:space="preserve"> un 1.1.1.4 </w:t>
      </w:r>
      <w:r w:rsidR="008E687D">
        <w:rPr>
          <w:rFonts w:ascii="Candara" w:hAnsi="Candara"/>
          <w:color w:val="000000"/>
        </w:rPr>
        <w:t>pasākumā “</w:t>
      </w:r>
      <w:r w:rsidRPr="008E687D" w:rsidR="008E687D">
        <w:rPr>
          <w:rFonts w:ascii="Candara" w:hAnsi="Candara"/>
          <w:color w:val="000000"/>
        </w:rPr>
        <w:t>P&amp;A infrastruktūras attīstīšana viedās specializācijas jomās un zinātnisko institūciju institucionālās kapacitātes stiprināšana</w:t>
      </w:r>
      <w:r w:rsidR="008E687D">
        <w:rPr>
          <w:rFonts w:ascii="Candara" w:hAnsi="Candara"/>
          <w:color w:val="000000"/>
        </w:rPr>
        <w:t xml:space="preserve">” </w:t>
      </w:r>
      <w:r w:rsidRPr="000C1DAE">
        <w:rPr>
          <w:rFonts w:ascii="Candara" w:hAnsi="Candara"/>
          <w:color w:val="000000"/>
        </w:rPr>
        <w:t>kā rādītājs tiek monitorēts arī institūcijas jaundibināto uzņēmumu skaits (</w:t>
      </w:r>
      <w:r w:rsidRPr="008E687D">
        <w:rPr>
          <w:rFonts w:ascii="Candara" w:hAnsi="Candara"/>
          <w:i/>
          <w:color w:val="000000"/>
        </w:rPr>
        <w:t>spin-off</w:t>
      </w:r>
      <w:r w:rsidRPr="000C1DAE">
        <w:rPr>
          <w:rFonts w:ascii="Candara" w:hAnsi="Candara"/>
          <w:color w:val="000000"/>
        </w:rPr>
        <w:t xml:space="preserve"> uzņēmumi). 2016.gadā visas institūcijas bija kopā dibinājušas 13 šādus uzņēmumus (visvairāk </w:t>
      </w:r>
      <w:r w:rsidRPr="008E687D">
        <w:rPr>
          <w:rFonts w:ascii="Candara" w:hAnsi="Candara"/>
          <w:i/>
          <w:color w:val="000000"/>
        </w:rPr>
        <w:t>spin-off</w:t>
      </w:r>
      <w:r w:rsidRPr="000C1DAE">
        <w:rPr>
          <w:rFonts w:ascii="Candara" w:hAnsi="Candara"/>
          <w:color w:val="000000"/>
        </w:rPr>
        <w:t xml:space="preserve"> uzņēmumus bija dibinājusi Rīgas Tehniskā universitāte un Vidzemes Augstskola, katra pa 5), savukārt 2020.gadā šīs institūcijas prognozē sasniegt 62 jaundibinātus uzņēmumus.</w:t>
      </w:r>
    </w:p>
    <w:p w:rsidR="005F4EDC" w:rsidP="00D55166" w14:paraId="385A8B14" w14:textId="77777777">
      <w:pPr>
        <w:spacing w:after="0"/>
        <w:ind w:firstLine="426"/>
        <w:jc w:val="both"/>
        <w:rPr>
          <w:rFonts w:ascii="Candara" w:hAnsi="Candara"/>
          <w:color w:val="000000"/>
        </w:rPr>
      </w:pPr>
      <w:r w:rsidRPr="000C1DAE">
        <w:rPr>
          <w:rFonts w:ascii="Candara" w:hAnsi="Candara"/>
          <w:color w:val="000000"/>
        </w:rPr>
        <w:t xml:space="preserve">Zinātnes bāzes finansējums neparedz tiešu atbalstu </w:t>
      </w:r>
      <w:r>
        <w:rPr>
          <w:rFonts w:ascii="Candara" w:hAnsi="Candara"/>
          <w:color w:val="000000"/>
        </w:rPr>
        <w:t>jaundibināto uzņēmumu izveidei.</w:t>
      </w:r>
    </w:p>
    <w:p w:rsidR="002D2715" w:rsidP="00B921B8" w14:paraId="0496612D" w14:textId="77777777">
      <w:pPr>
        <w:spacing w:after="0"/>
        <w:jc w:val="both"/>
        <w:rPr>
          <w:rFonts w:ascii="Candara" w:hAnsi="Candara"/>
          <w:color w:val="000000"/>
        </w:rPr>
      </w:pPr>
    </w:p>
    <w:p w:rsidR="002D2715" w:rsidRPr="00BC6219" w:rsidP="002D2715" w14:paraId="181AA5D6" w14:textId="77777777">
      <w:pPr>
        <w:spacing w:after="0"/>
        <w:jc w:val="both"/>
        <w:rPr>
          <w:rFonts w:ascii="Candara" w:hAnsi="Candara"/>
          <w:b/>
          <w:color w:val="000000"/>
        </w:rPr>
      </w:pPr>
      <w:r w:rsidRPr="00BC6219">
        <w:rPr>
          <w:rFonts w:ascii="Candara" w:hAnsi="Candara"/>
          <w:b/>
          <w:color w:val="000000"/>
        </w:rPr>
        <w:t>Atbalstīto jaunizveidoto komersantu skaits</w:t>
      </w:r>
    </w:p>
    <w:p w:rsidR="002D2715" w:rsidP="009F2C2C" w14:paraId="5158B5D8" w14:textId="77777777">
      <w:pPr>
        <w:spacing w:after="0"/>
        <w:ind w:firstLine="426"/>
        <w:jc w:val="both"/>
        <w:rPr>
          <w:rFonts w:ascii="Candara" w:hAnsi="Candara"/>
          <w:color w:val="000000"/>
        </w:rPr>
      </w:pPr>
      <w:r w:rsidRPr="0023035F">
        <w:rPr>
          <w:rFonts w:ascii="Candara" w:hAnsi="Candara"/>
          <w:color w:val="000000"/>
        </w:rPr>
        <w:t xml:space="preserve">Lai sniegtu atbalstu jaunizveidoto komersantu skaita palielināšanai EM īsteno pasākumus 3.1.1.6. un </w:t>
      </w:r>
      <w:r w:rsidR="00625C7B">
        <w:rPr>
          <w:rFonts w:ascii="Candara" w:hAnsi="Candara"/>
          <w:color w:val="000000"/>
        </w:rPr>
        <w:t>1.2.2.2.</w:t>
      </w:r>
      <w:r>
        <w:rPr>
          <w:rFonts w:ascii="Candara" w:hAnsi="Candara"/>
          <w:color w:val="000000"/>
        </w:rPr>
        <w:t xml:space="preserve"> 3.1.1.</w:t>
      </w:r>
      <w:r w:rsidR="00625C7B">
        <w:rPr>
          <w:rFonts w:ascii="Candara" w:hAnsi="Candara"/>
          <w:color w:val="000000"/>
        </w:rPr>
        <w:t>6.</w:t>
      </w:r>
      <w:r>
        <w:rPr>
          <w:rFonts w:ascii="Candara" w:hAnsi="Candara"/>
          <w:color w:val="000000"/>
        </w:rPr>
        <w:t xml:space="preserve">pasākuma ietvaros līdz 2017.gada maijam </w:t>
      </w:r>
      <w:r w:rsidRPr="0023035F">
        <w:rPr>
          <w:rFonts w:ascii="Candara" w:hAnsi="Candara"/>
          <w:color w:val="000000"/>
        </w:rPr>
        <w:t>pirmsinkubā</w:t>
      </w:r>
      <w:r>
        <w:rPr>
          <w:rFonts w:ascii="Candara" w:hAnsi="Candara"/>
          <w:color w:val="000000"/>
        </w:rPr>
        <w:t>cijas ietvaros atbalstu saņēmušas</w:t>
      </w:r>
      <w:r w:rsidRPr="0023035F">
        <w:rPr>
          <w:rFonts w:ascii="Candara" w:hAnsi="Candara"/>
          <w:color w:val="000000"/>
        </w:rPr>
        <w:t xml:space="preserve"> 208 fiziskas personas (t.sk. 18 radošajā inkubatorā)</w:t>
      </w:r>
      <w:r>
        <w:rPr>
          <w:rFonts w:ascii="Candara" w:hAnsi="Candara"/>
          <w:color w:val="000000"/>
        </w:rPr>
        <w:t>, kas potenciāli var izve</w:t>
      </w:r>
      <w:r w:rsidR="00625C7B">
        <w:rPr>
          <w:rFonts w:ascii="Candara" w:hAnsi="Candara"/>
          <w:color w:val="000000"/>
        </w:rPr>
        <w:t>idot jaunus uzņēmumus. 1.2.2.2.</w:t>
      </w:r>
      <w:r>
        <w:rPr>
          <w:rFonts w:ascii="Candara" w:hAnsi="Candara"/>
          <w:color w:val="000000"/>
        </w:rPr>
        <w:t xml:space="preserve">pasākuma ietvaros šobrīd tiek īstenotas </w:t>
      </w:r>
      <w:r w:rsidRPr="0023035F">
        <w:rPr>
          <w:rFonts w:ascii="Candara" w:hAnsi="Candara"/>
          <w:color w:val="000000"/>
        </w:rPr>
        <w:t>uz jaunu uzņēmum</w:t>
      </w:r>
      <w:r>
        <w:rPr>
          <w:rFonts w:ascii="Candara" w:hAnsi="Candara"/>
          <w:color w:val="000000"/>
        </w:rPr>
        <w:t>u veidošanu orientētas darbības.</w:t>
      </w:r>
    </w:p>
    <w:p w:rsidR="00B921B8" w:rsidRPr="007713D8" w:rsidP="00B921B8" w14:paraId="5344F4A9" w14:textId="77777777">
      <w:pPr>
        <w:spacing w:after="0"/>
        <w:jc w:val="both"/>
        <w:rPr>
          <w:rFonts w:ascii="Candara" w:hAnsi="Candara"/>
          <w:color w:val="000000"/>
        </w:rPr>
      </w:pPr>
    </w:p>
    <w:p w:rsidR="00B921B8" w:rsidP="00B921B8" w14:paraId="176AE564" w14:textId="77777777">
      <w:pPr>
        <w:spacing w:after="0"/>
        <w:jc w:val="both"/>
        <w:rPr>
          <w:rFonts w:ascii="Candara" w:hAnsi="Candara"/>
          <w:b/>
          <w:color w:val="000000"/>
        </w:rPr>
      </w:pPr>
      <w:r w:rsidRPr="007713D8">
        <w:rPr>
          <w:rFonts w:ascii="Candara" w:hAnsi="Candara"/>
          <w:b/>
          <w:color w:val="000000"/>
        </w:rPr>
        <w:t>Jaunradītās darba vietas, t.sk. tās, kurās nodarbināti zinātniskie darbinieki publiskā sektorā/ uzņēmējdarbības sektorā</w:t>
      </w:r>
    </w:p>
    <w:p w:rsidR="002D2715" w:rsidRPr="002D2715" w:rsidP="009F2C2C" w14:paraId="7AEEF9AD" w14:textId="77777777">
      <w:pPr>
        <w:spacing w:after="0"/>
        <w:ind w:firstLine="426"/>
        <w:jc w:val="both"/>
        <w:rPr>
          <w:rFonts w:ascii="Candara" w:hAnsi="Candara"/>
          <w:color w:val="000000"/>
        </w:rPr>
      </w:pPr>
      <w:r>
        <w:rPr>
          <w:rFonts w:ascii="Candara" w:hAnsi="Candara"/>
          <w:color w:val="000000"/>
        </w:rPr>
        <w:t>EM īstenotā 1.2.1.1.pasākuma ietvaros līdz 2016.</w:t>
      </w:r>
      <w:r>
        <w:rPr>
          <w:rFonts w:ascii="Candara" w:hAnsi="Candara"/>
          <w:color w:val="000000"/>
        </w:rPr>
        <w:t>g</w:t>
      </w:r>
      <w:r>
        <w:rPr>
          <w:rFonts w:ascii="Candara" w:hAnsi="Candara"/>
          <w:color w:val="000000"/>
        </w:rPr>
        <w:t>ada beigām atbalstu saņēmuši 23 </w:t>
      </w:r>
      <w:r>
        <w:rPr>
          <w:rFonts w:ascii="Candara" w:hAnsi="Candara"/>
          <w:color w:val="000000"/>
        </w:rPr>
        <w:t>komersanti, kas</w:t>
      </w:r>
      <w:r w:rsidRPr="0023035F">
        <w:rPr>
          <w:rFonts w:ascii="Candara" w:hAnsi="Candara"/>
          <w:color w:val="000000"/>
        </w:rPr>
        <w:t xml:space="preserve"> sadarbojas ar pētnie</w:t>
      </w:r>
      <w:r>
        <w:rPr>
          <w:rFonts w:ascii="Candara" w:hAnsi="Candara"/>
          <w:color w:val="000000"/>
        </w:rPr>
        <w:t xml:space="preserve">cības institūcijām. Šobrīd pasākuma ietvaros </w:t>
      </w:r>
      <w:r w:rsidRPr="0023035F">
        <w:rPr>
          <w:rFonts w:ascii="Candara" w:hAnsi="Candara"/>
          <w:color w:val="000000"/>
        </w:rPr>
        <w:t>projektu īstenošanā iesaistīti 46 maģistranti un doktoranti</w:t>
      </w:r>
      <w:r>
        <w:rPr>
          <w:rFonts w:ascii="Candara" w:hAnsi="Candara"/>
          <w:color w:val="000000"/>
        </w:rPr>
        <w:t>. Tā kā 3.1.1.6.</w:t>
      </w:r>
      <w:r>
        <w:rPr>
          <w:rFonts w:ascii="Candara" w:hAnsi="Candara"/>
          <w:color w:val="000000"/>
        </w:rPr>
        <w:t>pasākums ir nesen uzsākts, tad jaunradīto darba vietu skaitu šobrīd grūti prognozēt, jo tas būs atkarīgs gan no pirmsinkubācijas rezultātiem, gan arī inkubācijas procesā atbalstu guvušiem uzņēmumiem, kas attīstīsies par p</w:t>
      </w:r>
      <w:r>
        <w:rPr>
          <w:rFonts w:ascii="Candara" w:hAnsi="Candara"/>
          <w:color w:val="000000"/>
        </w:rPr>
        <w:t>astāvīgiem uzņēmumiem. 1.2.1.4.</w:t>
      </w:r>
      <w:r>
        <w:rPr>
          <w:rFonts w:ascii="Candara" w:hAnsi="Candara"/>
          <w:color w:val="000000"/>
        </w:rPr>
        <w:t>pasākuma ietvaros š</w:t>
      </w:r>
      <w:r w:rsidRPr="0023035F">
        <w:rPr>
          <w:rFonts w:ascii="Candara" w:hAnsi="Candara"/>
          <w:color w:val="000000"/>
        </w:rPr>
        <w:t xml:space="preserve">obrīd apstiprinātajos 16 uzņēmumu projektos </w:t>
      </w:r>
      <w:r>
        <w:rPr>
          <w:rFonts w:ascii="Candara" w:hAnsi="Candara"/>
          <w:color w:val="000000"/>
        </w:rPr>
        <w:t xml:space="preserve">ir </w:t>
      </w:r>
      <w:r w:rsidRPr="0023035F">
        <w:rPr>
          <w:rFonts w:ascii="Candara" w:hAnsi="Candara"/>
          <w:color w:val="000000"/>
        </w:rPr>
        <w:t>izveidotas 39 darba vietas, kurās nodarbināti pārējie zinātniskie darbinieki (PLE)</w:t>
      </w:r>
      <w:r>
        <w:rPr>
          <w:rFonts w:ascii="Candara" w:hAnsi="Candara"/>
          <w:color w:val="000000"/>
        </w:rPr>
        <w:t xml:space="preserve">. </w:t>
      </w:r>
    </w:p>
    <w:p w:rsidR="0028747D" w:rsidP="00901832" w14:paraId="0C40331F" w14:textId="07B877C0">
      <w:pPr>
        <w:spacing w:after="0"/>
        <w:jc w:val="both"/>
        <w:rPr>
          <w:rFonts w:ascii="Candara" w:hAnsi="Candara"/>
        </w:rPr>
      </w:pPr>
      <w:r w:rsidRPr="00BD4C4B">
        <w:rPr>
          <w:rFonts w:ascii="Candara" w:hAnsi="Candara"/>
          <w:color w:val="000000"/>
        </w:rPr>
        <w:t>Valsts pētījumu programmu īstenotajos projektos starp 2014. – 2017.gadu</w:t>
      </w:r>
      <w:r w:rsidRPr="00BD4C4B">
        <w:rPr>
          <w:rFonts w:ascii="Candara" w:hAnsi="Candara"/>
        </w:rPr>
        <w:t>, ir 5 privātajā sektorā jaunizveidotās darba vietas, kurās nodarbināts zinātniskais personāls</w:t>
      </w:r>
      <w:r w:rsidRPr="00BD4C4B">
        <w:rPr>
          <w:rFonts w:ascii="Candara" w:hAnsi="Candara"/>
        </w:rPr>
        <w:t>.</w:t>
      </w:r>
    </w:p>
    <w:p w:rsidR="00B42CA7" w:rsidP="00901832" w14:paraId="3CED6592" w14:textId="2C0BCCE1">
      <w:pPr>
        <w:spacing w:after="0"/>
        <w:jc w:val="both"/>
        <w:rPr>
          <w:rFonts w:ascii="Candara" w:hAnsi="Candara"/>
          <w:b/>
          <w:color w:val="000000"/>
        </w:rPr>
      </w:pPr>
      <w:r>
        <w:rPr>
          <w:rFonts w:ascii="Candara" w:hAnsi="Candara"/>
          <w:color w:val="000000"/>
        </w:rPr>
        <w:t xml:space="preserve">Savukārt </w:t>
      </w:r>
      <w:r w:rsidRPr="00100DB3">
        <w:rPr>
          <w:rFonts w:ascii="Candara" w:hAnsi="Candara"/>
          <w:color w:val="000000"/>
        </w:rPr>
        <w:t>IZM pārziņā esošās ES struktūrfondu programmas, kuras sniedz ieguldījumu RIS3 mikro līmeņa rādītājā</w:t>
      </w:r>
      <w:r>
        <w:rPr>
          <w:rFonts w:ascii="Candara" w:hAnsi="Candara"/>
          <w:color w:val="000000"/>
        </w:rPr>
        <w:t>,</w:t>
      </w:r>
      <w:r w:rsidR="00625C7B">
        <w:rPr>
          <w:rFonts w:ascii="Candara" w:hAnsi="Candara"/>
          <w:color w:val="000000"/>
        </w:rPr>
        <w:t xml:space="preserve"> ir 1.1.1.1. un 1.1.1.2.</w:t>
      </w:r>
      <w:r w:rsidRPr="00100DB3">
        <w:rPr>
          <w:rFonts w:ascii="Candara" w:hAnsi="Candara"/>
          <w:color w:val="000000"/>
        </w:rPr>
        <w:t xml:space="preserve">pasākums. Saskaņā ar abu pasākumu pirmās projektu iesniegumu </w:t>
      </w:r>
      <w:r w:rsidRPr="00100DB3">
        <w:rPr>
          <w:rFonts w:ascii="Candara" w:hAnsi="Candara"/>
          <w:color w:val="000000"/>
        </w:rPr>
        <w:t>atlases kārtas indikat</w:t>
      </w:r>
      <w:r>
        <w:rPr>
          <w:rFonts w:ascii="Candara" w:hAnsi="Candara"/>
          <w:color w:val="000000"/>
        </w:rPr>
        <w:t>īvajiem</w:t>
      </w:r>
      <w:r w:rsidRPr="00100DB3">
        <w:rPr>
          <w:rFonts w:ascii="Candara" w:hAnsi="Candara"/>
          <w:color w:val="000000"/>
        </w:rPr>
        <w:t xml:space="preserve"> rezultātiem,</w:t>
      </w:r>
      <w:r w:rsidR="00625C7B">
        <w:rPr>
          <w:rFonts w:ascii="Candara" w:hAnsi="Candara"/>
          <w:color w:val="000000"/>
        </w:rPr>
        <w:t xml:space="preserve"> 1.1.1.</w:t>
      </w:r>
      <w:r>
        <w:rPr>
          <w:rFonts w:ascii="Candara" w:hAnsi="Candara"/>
          <w:color w:val="000000"/>
        </w:rPr>
        <w:t xml:space="preserve">SAM ietvaros plānots izveidot </w:t>
      </w:r>
      <w:r w:rsidR="0028747D">
        <w:rPr>
          <w:rFonts w:ascii="Candara" w:hAnsi="Candara"/>
          <w:color w:val="000000"/>
        </w:rPr>
        <w:t xml:space="preserve">167 </w:t>
      </w:r>
      <w:r w:rsidR="00834F00">
        <w:rPr>
          <w:rFonts w:ascii="Candara" w:hAnsi="Candara"/>
          <w:color w:val="000000"/>
        </w:rPr>
        <w:t>jaun</w:t>
      </w:r>
      <w:r w:rsidR="000419A4">
        <w:rPr>
          <w:rFonts w:ascii="Candara" w:hAnsi="Candara"/>
          <w:color w:val="000000"/>
        </w:rPr>
        <w:t>u</w:t>
      </w:r>
      <w:r w:rsidR="00834F00">
        <w:rPr>
          <w:rFonts w:ascii="Candara" w:hAnsi="Candara"/>
          <w:color w:val="000000"/>
        </w:rPr>
        <w:t xml:space="preserve"> </w:t>
      </w:r>
      <w:r>
        <w:rPr>
          <w:rFonts w:ascii="Candara" w:hAnsi="Candara"/>
          <w:color w:val="000000"/>
        </w:rPr>
        <w:t xml:space="preserve">pētnieku darba </w:t>
      </w:r>
      <w:r w:rsidR="00834F00">
        <w:rPr>
          <w:rFonts w:ascii="Candara" w:hAnsi="Candara"/>
          <w:color w:val="000000"/>
        </w:rPr>
        <w:t>viet</w:t>
      </w:r>
      <w:r w:rsidR="000419A4">
        <w:rPr>
          <w:rFonts w:ascii="Candara" w:hAnsi="Candara"/>
          <w:color w:val="000000"/>
        </w:rPr>
        <w:t>u</w:t>
      </w:r>
      <w:r w:rsidR="00834F00">
        <w:rPr>
          <w:rFonts w:ascii="Candara" w:hAnsi="Candara"/>
          <w:color w:val="000000"/>
        </w:rPr>
        <w:t xml:space="preserve"> </w:t>
      </w:r>
      <w:r>
        <w:rPr>
          <w:rFonts w:ascii="Candara" w:hAnsi="Candara"/>
          <w:color w:val="000000"/>
        </w:rPr>
        <w:t>(pilna laika ekvivalenta izteiksmē)</w:t>
      </w:r>
      <w:r w:rsidR="00625C7B">
        <w:rPr>
          <w:rFonts w:ascii="Candara" w:hAnsi="Candara"/>
          <w:color w:val="000000"/>
        </w:rPr>
        <w:t xml:space="preserve">. </w:t>
      </w:r>
      <w:r>
        <w:rPr>
          <w:rFonts w:ascii="Candara" w:hAnsi="Candara"/>
          <w:color w:val="000000"/>
        </w:rPr>
        <w:t xml:space="preserve">Darbības programmā “Izaugsme un nodarbinātība” noteiktais mērķis ir ar ES struktūrfondu investīcijām sekmēt 700 jaunu P&amp;A darba vietu izveidi. </w:t>
      </w:r>
      <w:r w:rsidRPr="006241E7">
        <w:rPr>
          <w:rFonts w:ascii="Candara" w:hAnsi="Candara"/>
          <w:color w:val="000000"/>
        </w:rPr>
        <w:t xml:space="preserve">Ievērojot minēto, secināms, ka nepieciešams pārskatīt šobrīd abu programmu ietvaros iestrādātos stimulus </w:t>
      </w:r>
      <w:r>
        <w:rPr>
          <w:rFonts w:ascii="Candara" w:hAnsi="Candara"/>
          <w:color w:val="000000"/>
        </w:rPr>
        <w:t>jaunu pētnieku piesaistei</w:t>
      </w:r>
      <w:r w:rsidRPr="006241E7">
        <w:rPr>
          <w:rFonts w:ascii="Candara" w:hAnsi="Candara"/>
          <w:color w:val="000000"/>
        </w:rPr>
        <w:t>. Padziļināta analīze un priekš</w:t>
      </w:r>
      <w:r>
        <w:rPr>
          <w:rFonts w:ascii="Candara" w:hAnsi="Candara"/>
          <w:color w:val="000000"/>
        </w:rPr>
        <w:t xml:space="preserve">likumi īstenojamajiem stimuliem un nepieciešamām darbībām </w:t>
      </w:r>
      <w:r w:rsidRPr="006241E7">
        <w:rPr>
          <w:rFonts w:ascii="Candara" w:hAnsi="Candara"/>
          <w:color w:val="000000"/>
        </w:rPr>
        <w:t>sniegti IZM izstrādātajā informatīvā ziņojuma projektā “Darbības programmas “Izaugsme un nodarbinātība” 1.1.1. specifiskā atbalsta mērķa “Palielināt Latvijas zinātnisko institūciju pētniecisko un inovatīvo kapacitāti, ieguldot cilvēkresursos un infrastruktūrā” pasākumu pirmās projektu iesniegumu atlases kārtas rezultātu analīze un priekšlikumi turpmāko atlases kārtu saturiskiem un procedurāliem uzlabojumiem”.</w:t>
      </w:r>
    </w:p>
    <w:p w:rsidR="00B42CA7" w:rsidP="00901832" w14:paraId="7A5E7876" w14:textId="77777777">
      <w:pPr>
        <w:spacing w:after="0"/>
        <w:jc w:val="both"/>
        <w:rPr>
          <w:rFonts w:ascii="Candara" w:hAnsi="Candara"/>
          <w:b/>
          <w:color w:val="000000"/>
        </w:rPr>
      </w:pPr>
    </w:p>
    <w:p w:rsidR="009524A9" w:rsidP="00901832" w14:paraId="154052B0" w14:textId="77777777">
      <w:pPr>
        <w:spacing w:after="0"/>
        <w:jc w:val="both"/>
        <w:rPr>
          <w:rFonts w:ascii="Candara" w:hAnsi="Candara"/>
          <w:b/>
          <w:color w:val="000000"/>
        </w:rPr>
      </w:pPr>
      <w:r w:rsidRPr="007713D8">
        <w:rPr>
          <w:rFonts w:ascii="Candara" w:hAnsi="Candara"/>
          <w:b/>
          <w:color w:val="000000"/>
        </w:rPr>
        <w:t>H2020 apstiprināto projektu iesniegumu piesaistītais finansējums (LV daļa; EUR)</w:t>
      </w:r>
    </w:p>
    <w:p w:rsidR="00E5585A" w:rsidP="009F2C2C" w14:paraId="5FB0DB50" w14:textId="77777777">
      <w:pPr>
        <w:spacing w:after="0"/>
        <w:ind w:firstLine="426"/>
        <w:jc w:val="both"/>
        <w:rPr>
          <w:rFonts w:ascii="Candara" w:hAnsi="Candara"/>
          <w:color w:val="000000"/>
        </w:rPr>
      </w:pPr>
      <w:r w:rsidRPr="00B11AFF">
        <w:rPr>
          <w:rFonts w:ascii="Candara" w:hAnsi="Candara"/>
          <w:color w:val="000000"/>
        </w:rPr>
        <w:t>Lai veicinātu sadarbību starp Baltijas valstīm pētniecībā, it īpaši ES ietvarprogrammās pētniecības jomā, 2015.gadā tika uzsākta “Baltic Bonus” programmas īstenošana. “Baltic Bonus” programma tiek īstenota vienlaicīgi visās Baltijas valstīs, sadarbojoties VIAA, Lietuvas Zinātnes, inovāciju un tehnoloģiju aģentūrai un Igaunijas Zinātnes pad</w:t>
      </w:r>
      <w:r w:rsidR="00625C7B">
        <w:rPr>
          <w:rFonts w:ascii="Candara" w:hAnsi="Candara"/>
          <w:color w:val="000000"/>
        </w:rPr>
        <w:t>omei (saskaņā ar 2015. gada 27.</w:t>
      </w:r>
      <w:r w:rsidRPr="00B11AFF">
        <w:rPr>
          <w:rFonts w:ascii="Candara" w:hAnsi="Candara"/>
          <w:color w:val="000000"/>
        </w:rPr>
        <w:t>jūnijā noslēgto vienošanos par sadarbību). “Baltic Bonus” programmas ietvaros tiek piešķirts finansējums tādu projektu pieteikumu izstrādes izdevumu daļējai segšanai, kuri ir saņēmuši ekspertīzes vērtējumu virssliekšņa vērtībā.  Lai sekmētu starptautisko sadarbību zinātnē un inovācijā un īpaši atbalstītu sadarbību šajā jomā starp Baltijas valstīm, projektu pieteicējiem tiek piešķirts papildus finansējums 1 000 eiro apmērā par tādu projektu pieteikumu izstrādi, kuros ir iesaistīti partneri no Baltijas valstīm. 2015.gadā tika sniegts atbalsts 47 projektu izstrādes izdevumu segšanai, 2016.gadā  - 62 proje</w:t>
      </w:r>
      <w:r>
        <w:rPr>
          <w:rFonts w:ascii="Candara" w:hAnsi="Candara"/>
          <w:color w:val="000000"/>
        </w:rPr>
        <w:t>ktu izstrādes izdevumu segšanai.</w:t>
      </w:r>
    </w:p>
    <w:p w:rsidR="006A6349" w:rsidRPr="00CC788F" w:rsidP="009F2C2C" w14:paraId="1EDA80CE" w14:textId="1BCBABFE">
      <w:pPr>
        <w:spacing w:after="0"/>
        <w:ind w:firstLine="426"/>
        <w:jc w:val="both"/>
        <w:rPr>
          <w:rFonts w:ascii="Candara" w:hAnsi="Candara"/>
          <w:color w:val="000000"/>
        </w:rPr>
      </w:pPr>
      <w:r>
        <w:rPr>
          <w:rFonts w:ascii="Candara" w:hAnsi="Candara"/>
          <w:color w:val="000000"/>
        </w:rPr>
        <w:t>Vienlaikus ieguldījumu mikro līmeņa rādīt</w:t>
      </w:r>
      <w:r w:rsidR="00625C7B">
        <w:rPr>
          <w:rFonts w:ascii="Candara" w:hAnsi="Candara"/>
          <w:color w:val="000000"/>
        </w:rPr>
        <w:t>āja sasniegšanā sniegs 1.1.1.5.</w:t>
      </w:r>
      <w:r>
        <w:rPr>
          <w:rFonts w:ascii="Candara" w:hAnsi="Candara"/>
          <w:color w:val="000000"/>
        </w:rPr>
        <w:t xml:space="preserve">pasākums “Atbalsts </w:t>
      </w:r>
      <w:r w:rsidR="008E687D">
        <w:rPr>
          <w:rFonts w:ascii="Candara" w:hAnsi="Candara"/>
          <w:color w:val="000000"/>
        </w:rPr>
        <w:t>starptautiskās</w:t>
      </w:r>
      <w:r>
        <w:rPr>
          <w:rFonts w:ascii="Candara" w:hAnsi="Candara"/>
          <w:color w:val="000000"/>
        </w:rPr>
        <w:t xml:space="preserve"> sadarbības projektiem pētniecībā un inovācijās”. Ievērojot, ka </w:t>
      </w:r>
      <w:r w:rsidR="0028747D">
        <w:rPr>
          <w:rFonts w:ascii="Candara" w:hAnsi="Candara"/>
          <w:color w:val="000000"/>
        </w:rPr>
        <w:t>šobrīd norisinās projektu iesniegumu vērtēšana,</w:t>
      </w:r>
      <w:r>
        <w:rPr>
          <w:rFonts w:ascii="Candara" w:hAnsi="Candara"/>
          <w:color w:val="000000"/>
        </w:rPr>
        <w:t xml:space="preserve"> vē</w:t>
      </w:r>
      <w:r w:rsidR="00625C7B">
        <w:rPr>
          <w:rFonts w:ascii="Candara" w:hAnsi="Candara"/>
          <w:color w:val="000000"/>
        </w:rPr>
        <w:t xml:space="preserve">l nav iespējams vērtēt </w:t>
      </w:r>
      <w:r w:rsidR="0028747D">
        <w:rPr>
          <w:rFonts w:ascii="Candara" w:hAnsi="Candara"/>
          <w:color w:val="000000"/>
        </w:rPr>
        <w:t>šīs investīciju programmas</w:t>
      </w:r>
      <w:r>
        <w:rPr>
          <w:rFonts w:ascii="Candara" w:hAnsi="Candara"/>
          <w:color w:val="000000"/>
        </w:rPr>
        <w:t xml:space="preserve"> ieguldījumu mi</w:t>
      </w:r>
      <w:r w:rsidR="009E6743">
        <w:rPr>
          <w:rFonts w:ascii="Candara" w:hAnsi="Candara"/>
          <w:color w:val="000000"/>
        </w:rPr>
        <w:t>kro līmeņa rādītā</w:t>
      </w:r>
      <w:r>
        <w:rPr>
          <w:rFonts w:ascii="Candara" w:hAnsi="Candara"/>
          <w:color w:val="000000"/>
        </w:rPr>
        <w:t>ja īstenošanā.</w:t>
      </w:r>
      <w:r w:rsidR="00CC788F">
        <w:rPr>
          <w:rFonts w:ascii="Candara" w:hAnsi="Candara"/>
          <w:color w:val="000000"/>
        </w:rPr>
        <w:t xml:space="preserve"> </w:t>
      </w:r>
      <w:r>
        <w:rPr>
          <w:rFonts w:ascii="Candara" w:hAnsi="Candara"/>
        </w:rPr>
        <w:t xml:space="preserve">Lai pilnvērtīgi izvērtētu Latvijas dalības programmā “Apvārsnis 2020”, aplūkojami vēl </w:t>
      </w:r>
      <w:r w:rsidR="005F4EDC">
        <w:rPr>
          <w:rFonts w:ascii="Candara" w:hAnsi="Candara"/>
        </w:rPr>
        <w:t>šādi rādītāji</w:t>
      </w:r>
      <w:r>
        <w:rPr>
          <w:rFonts w:ascii="Candara" w:hAnsi="Candara"/>
        </w:rPr>
        <w:t>:</w:t>
      </w:r>
    </w:p>
    <w:p w:rsidR="006A6349" w:rsidRPr="00D55166" w:rsidP="009F2C2C" w14:paraId="3F8C122A" w14:textId="77777777">
      <w:pPr>
        <w:pStyle w:val="ListParagraph"/>
        <w:numPr>
          <w:ilvl w:val="0"/>
          <w:numId w:val="61"/>
        </w:numPr>
        <w:rPr>
          <w:rFonts w:ascii="Candara" w:hAnsi="Candara"/>
          <w:sz w:val="22"/>
          <w:szCs w:val="22"/>
        </w:rPr>
      </w:pPr>
      <w:r w:rsidRPr="00D55166">
        <w:rPr>
          <w:rFonts w:ascii="Candara" w:hAnsi="Candara"/>
          <w:b/>
          <w:sz w:val="22"/>
          <w:szCs w:val="22"/>
        </w:rPr>
        <w:t>dalību skaits</w:t>
      </w:r>
      <w:r w:rsidRPr="00D55166">
        <w:rPr>
          <w:rFonts w:ascii="Candara" w:hAnsi="Candara"/>
          <w:sz w:val="22"/>
          <w:szCs w:val="22"/>
        </w:rPr>
        <w:t xml:space="preserve">, salīdzinot ar 7.IP datiem, ir audzis, sasniedzot 0.37% no visām EU-28 valstu dalībām programmas “Apvārsnis 2020” projektu konkursos. 7.IP šis rādītājs bija 0.27%. Latvija, apsteidzot Maltu, Lietuvu </w:t>
      </w:r>
      <w:r w:rsidRPr="00D55166" w:rsidR="00625C7B">
        <w:rPr>
          <w:rFonts w:ascii="Candara" w:hAnsi="Candara"/>
          <w:sz w:val="22"/>
          <w:szCs w:val="22"/>
        </w:rPr>
        <w:t>un Horvātiju, pakāpusies uz 25.</w:t>
      </w:r>
      <w:r w:rsidRPr="00D55166">
        <w:rPr>
          <w:rFonts w:ascii="Candara" w:hAnsi="Candara"/>
          <w:sz w:val="22"/>
          <w:szCs w:val="22"/>
        </w:rPr>
        <w:t>vietu dalībvalstu sarakstā, kas sastādīts vadoties pēc piesaistītā finanšu apjoma. 7.IP līdzvērtīgā skatījumā Lat</w:t>
      </w:r>
      <w:r w:rsidRPr="00D55166" w:rsidR="00625C7B">
        <w:rPr>
          <w:rFonts w:ascii="Candara" w:hAnsi="Candara"/>
          <w:sz w:val="22"/>
          <w:szCs w:val="22"/>
        </w:rPr>
        <w:t>vija atradās 27.</w:t>
      </w:r>
      <w:r w:rsidRPr="00D55166">
        <w:rPr>
          <w:rFonts w:ascii="Candara" w:hAnsi="Candara"/>
          <w:sz w:val="22"/>
          <w:szCs w:val="22"/>
        </w:rPr>
        <w:t>vietā 28 ES dalībvalstu sarakstā.  Iesniegtais projektu pieteikumu skaits norāda uz arvien lielāku Latvijas institūciju aktivitāti projektu iesniegumu sagatavošanā un, vadoties pēc šī brīža datiem, var prognozēt, ka līdz programmas “Apvārsnis 2020” noslēgumam Latvijas pārstāvju aktivitāte programmā noteikti pieaugs, salīdzinot ar dalības aktivitāti 7.IP.</w:t>
      </w:r>
    </w:p>
    <w:p w:rsidR="006A6349" w:rsidP="009F2C2C" w14:paraId="7BA198FD" w14:textId="77777777">
      <w:pPr>
        <w:pStyle w:val="ListParagraph"/>
        <w:numPr>
          <w:ilvl w:val="0"/>
          <w:numId w:val="61"/>
        </w:numPr>
        <w:rPr>
          <w:rFonts w:ascii="Candara" w:hAnsi="Candara"/>
          <w:sz w:val="22"/>
          <w:szCs w:val="22"/>
        </w:rPr>
      </w:pPr>
      <w:r w:rsidRPr="00D55166">
        <w:rPr>
          <w:rFonts w:ascii="Candara" w:hAnsi="Candara"/>
          <w:sz w:val="22"/>
          <w:szCs w:val="22"/>
        </w:rPr>
        <w:t xml:space="preserve">Latvijas dalībnieki kā </w:t>
      </w:r>
      <w:r w:rsidRPr="00D55166">
        <w:rPr>
          <w:rFonts w:ascii="Candara" w:hAnsi="Candara"/>
          <w:b/>
          <w:sz w:val="22"/>
          <w:szCs w:val="22"/>
        </w:rPr>
        <w:t>projektu koordinatori</w:t>
      </w:r>
      <w:r w:rsidRPr="00D55166">
        <w:rPr>
          <w:rFonts w:ascii="Candara" w:hAnsi="Candara"/>
          <w:sz w:val="22"/>
          <w:szCs w:val="22"/>
        </w:rPr>
        <w:t xml:space="preserve"> ir 15% gadījumu (19 projektiem) no kopējā atbalstīto projektu skaita. Aplūkojot 7.IP rādītājus, kur visā ietvarprogrammas īstenošanas laikā Latvijas dalībnieki bija projektu koordinatori 12,5% gadījumu, secināms, ka Latvijas dalībnieku iniciatīva uzņemties vadošo lomu projekta īstenošanā pieaug. Ievērojot, ka tie projekti, kuros Latvijas dalībnieks ir projekta koordinators, kopumā ir piesaistījuši 14,09 MEUR jeb 40% no visa Latvijas dalībnieku piesaistītā programmas “Apvārsnis 2020” finansējuma, nepieciešams mērķtiecīgi strādāt, lai stiprinātu Latvijas zinātnisko institūciju kapacitāti un interesi uzņemties iniciatīvu būt vadošajam partnerim projekta īstenošanā.</w:t>
      </w:r>
    </w:p>
    <w:p w:rsidR="00D55166" w:rsidP="00D55166" w14:paraId="017729E9" w14:textId="77777777">
      <w:pPr>
        <w:pStyle w:val="ListParagraph"/>
        <w:ind w:firstLine="0"/>
        <w:rPr>
          <w:rFonts w:ascii="Candara" w:hAnsi="Candara"/>
          <w:sz w:val="22"/>
          <w:szCs w:val="22"/>
        </w:rPr>
      </w:pPr>
    </w:p>
    <w:p w:rsidR="0028747D" w:rsidP="00D55166" w14:paraId="74E97EBD" w14:textId="77777777">
      <w:pPr>
        <w:pStyle w:val="ListParagraph"/>
        <w:ind w:firstLine="0"/>
        <w:rPr>
          <w:rFonts w:ascii="Candara" w:hAnsi="Candara"/>
          <w:sz w:val="22"/>
          <w:szCs w:val="22"/>
        </w:rPr>
      </w:pPr>
    </w:p>
    <w:p w:rsidR="0028747D" w:rsidP="00D55166" w14:paraId="3CAFFC64" w14:textId="77777777">
      <w:pPr>
        <w:pStyle w:val="ListParagraph"/>
        <w:ind w:firstLine="0"/>
        <w:rPr>
          <w:rFonts w:ascii="Candara" w:hAnsi="Candara"/>
          <w:sz w:val="22"/>
          <w:szCs w:val="22"/>
        </w:rPr>
      </w:pPr>
    </w:p>
    <w:p w:rsidR="0028747D" w:rsidP="00D55166" w14:paraId="3869FAC8" w14:textId="77777777">
      <w:pPr>
        <w:pStyle w:val="ListParagraph"/>
        <w:ind w:firstLine="0"/>
        <w:rPr>
          <w:rFonts w:ascii="Candara" w:hAnsi="Candara"/>
          <w:sz w:val="22"/>
          <w:szCs w:val="22"/>
        </w:rPr>
      </w:pPr>
    </w:p>
    <w:p w:rsidR="0028747D" w:rsidP="00D55166" w14:paraId="54C69A74" w14:textId="77777777">
      <w:pPr>
        <w:pStyle w:val="ListParagraph"/>
        <w:ind w:firstLine="0"/>
        <w:rPr>
          <w:rFonts w:ascii="Candara" w:hAnsi="Candara"/>
          <w:sz w:val="22"/>
          <w:szCs w:val="22"/>
        </w:rPr>
      </w:pPr>
    </w:p>
    <w:p w:rsidR="0028747D" w:rsidRPr="00D55166" w:rsidP="00D55166" w14:paraId="4672592D" w14:textId="77777777">
      <w:pPr>
        <w:pStyle w:val="ListParagraph"/>
        <w:ind w:firstLine="0"/>
        <w:rPr>
          <w:rFonts w:ascii="Candara" w:hAnsi="Candara"/>
          <w:sz w:val="22"/>
          <w:szCs w:val="22"/>
        </w:rPr>
      </w:pPr>
    </w:p>
    <w:p w:rsidR="006A6349" w:rsidRPr="00A92534" w:rsidP="00D55166" w14:paraId="538F76D5" w14:textId="77777777">
      <w:pPr>
        <w:jc w:val="center"/>
        <w:rPr>
          <w:rFonts w:ascii="Candara" w:hAnsi="Candara"/>
          <w:b/>
        </w:rPr>
      </w:pPr>
      <w:r>
        <w:rPr>
          <w:rFonts w:ascii="Candara" w:hAnsi="Candara"/>
          <w:b/>
        </w:rPr>
        <w:t>42</w:t>
      </w:r>
      <w:r w:rsidRPr="006A6349">
        <w:rPr>
          <w:rFonts w:ascii="Candara" w:hAnsi="Candara"/>
          <w:b/>
        </w:rPr>
        <w:t>.attēls. Latvijas dalība</w:t>
      </w:r>
      <w:r w:rsidRPr="00A92534">
        <w:rPr>
          <w:rFonts w:ascii="Candara" w:hAnsi="Candara"/>
          <w:b/>
        </w:rPr>
        <w:t xml:space="preserve"> ES Ietvara programmās</w:t>
      </w:r>
    </w:p>
    <w:tbl>
      <w:tblPr>
        <w:tblW w:w="9520" w:type="dxa"/>
        <w:tblInd w:w="-5" w:type="dxa"/>
        <w:tblLook w:val="04A0"/>
      </w:tblPr>
      <w:tblGrid>
        <w:gridCol w:w="2080"/>
        <w:gridCol w:w="1860"/>
        <w:gridCol w:w="1860"/>
        <w:gridCol w:w="1860"/>
        <w:gridCol w:w="1860"/>
      </w:tblGrid>
      <w:tr w14:paraId="5F50BB66" w14:textId="77777777" w:rsidTr="00175ACF">
        <w:tblPrEx>
          <w:tblW w:w="9520" w:type="dxa"/>
          <w:tblInd w:w="-5" w:type="dxa"/>
          <w:tblLook w:val="04A0"/>
        </w:tblPrEx>
        <w:trPr>
          <w:trHeight w:val="600"/>
        </w:trPr>
        <w:tc>
          <w:tcPr>
            <w:tcW w:w="2080"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6A6349" w:rsidRPr="00D53AE5" w:rsidP="00175ACF" w14:paraId="41CEA325" w14:textId="77777777">
            <w:pPr>
              <w:spacing w:after="0" w:line="240" w:lineRule="auto"/>
              <w:jc w:val="center"/>
              <w:rPr>
                <w:rFonts w:ascii="Candara" w:eastAsia="Times New Roman" w:hAnsi="Candara" w:cs="Times New Roman"/>
                <w:color w:val="FFFFFF"/>
                <w:sz w:val="20"/>
                <w:szCs w:val="20"/>
                <w:lang w:eastAsia="lv-LV"/>
              </w:rPr>
            </w:pPr>
            <w:r w:rsidRPr="00D53AE5">
              <w:rPr>
                <w:rFonts w:ascii="Candara" w:eastAsia="Times New Roman" w:hAnsi="Candara" w:cs="Times New Roman"/>
                <w:color w:val="FFFFFF"/>
                <w:sz w:val="20"/>
                <w:szCs w:val="20"/>
                <w:lang w:eastAsia="lv-LV"/>
              </w:rPr>
              <w:t>Rādītājs</w:t>
            </w:r>
          </w:p>
        </w:tc>
        <w:tc>
          <w:tcPr>
            <w:tcW w:w="1860" w:type="dxa"/>
            <w:tcBorders>
              <w:top w:val="single" w:sz="4" w:space="0" w:color="auto"/>
              <w:left w:val="nil"/>
              <w:bottom w:val="single" w:sz="4" w:space="0" w:color="auto"/>
              <w:right w:val="single" w:sz="4" w:space="0" w:color="auto"/>
            </w:tcBorders>
            <w:shd w:val="clear" w:color="000000" w:fill="1F497D"/>
            <w:vAlign w:val="center"/>
            <w:hideMark/>
          </w:tcPr>
          <w:p w:rsidR="006A6349" w:rsidRPr="00D53AE5" w:rsidP="00175ACF" w14:paraId="2F55989C" w14:textId="77777777">
            <w:pPr>
              <w:spacing w:after="0" w:line="240" w:lineRule="auto"/>
              <w:jc w:val="center"/>
              <w:rPr>
                <w:rFonts w:ascii="Candara" w:eastAsia="Times New Roman" w:hAnsi="Candara" w:cs="Times New Roman"/>
                <w:color w:val="FFFFFF"/>
                <w:sz w:val="20"/>
                <w:szCs w:val="20"/>
                <w:lang w:eastAsia="lv-LV"/>
              </w:rPr>
            </w:pPr>
            <w:r w:rsidRPr="00D53AE5">
              <w:rPr>
                <w:rFonts w:ascii="Candara" w:eastAsia="Times New Roman" w:hAnsi="Candara" w:cs="Times New Roman"/>
                <w:color w:val="FFFFFF"/>
                <w:sz w:val="20"/>
                <w:szCs w:val="20"/>
                <w:lang w:eastAsia="lv-LV"/>
              </w:rPr>
              <w:t>5.IP (1999-2002)</w:t>
            </w:r>
          </w:p>
        </w:tc>
        <w:tc>
          <w:tcPr>
            <w:tcW w:w="1860" w:type="dxa"/>
            <w:tcBorders>
              <w:top w:val="single" w:sz="4" w:space="0" w:color="auto"/>
              <w:left w:val="nil"/>
              <w:bottom w:val="single" w:sz="4" w:space="0" w:color="auto"/>
              <w:right w:val="single" w:sz="4" w:space="0" w:color="auto"/>
            </w:tcBorders>
            <w:shd w:val="clear" w:color="000000" w:fill="1F497D"/>
            <w:vAlign w:val="center"/>
            <w:hideMark/>
          </w:tcPr>
          <w:p w:rsidR="006A6349" w:rsidRPr="00D53AE5" w:rsidP="00175ACF" w14:paraId="01CC6E2B" w14:textId="77777777">
            <w:pPr>
              <w:spacing w:after="0" w:line="240" w:lineRule="auto"/>
              <w:jc w:val="center"/>
              <w:rPr>
                <w:rFonts w:ascii="Candara" w:eastAsia="Times New Roman" w:hAnsi="Candara" w:cs="Times New Roman"/>
                <w:color w:val="FFFFFF"/>
                <w:sz w:val="20"/>
                <w:szCs w:val="20"/>
                <w:lang w:eastAsia="lv-LV"/>
              </w:rPr>
            </w:pPr>
            <w:r w:rsidRPr="00D53AE5">
              <w:rPr>
                <w:rFonts w:ascii="Candara" w:eastAsia="Times New Roman" w:hAnsi="Candara" w:cs="Times New Roman"/>
                <w:color w:val="FFFFFF"/>
                <w:sz w:val="20"/>
                <w:szCs w:val="20"/>
                <w:lang w:eastAsia="lv-LV"/>
              </w:rPr>
              <w:t>6.IP (2002-2006)</w:t>
            </w:r>
          </w:p>
        </w:tc>
        <w:tc>
          <w:tcPr>
            <w:tcW w:w="1860" w:type="dxa"/>
            <w:tcBorders>
              <w:top w:val="single" w:sz="4" w:space="0" w:color="auto"/>
              <w:left w:val="nil"/>
              <w:bottom w:val="single" w:sz="4" w:space="0" w:color="auto"/>
              <w:right w:val="single" w:sz="4" w:space="0" w:color="auto"/>
            </w:tcBorders>
            <w:shd w:val="clear" w:color="000000" w:fill="1F497D"/>
            <w:vAlign w:val="center"/>
            <w:hideMark/>
          </w:tcPr>
          <w:p w:rsidR="006A6349" w:rsidRPr="00D53AE5" w:rsidP="00175ACF" w14:paraId="1AAB24C4" w14:textId="77777777">
            <w:pPr>
              <w:spacing w:after="0" w:line="240" w:lineRule="auto"/>
              <w:jc w:val="center"/>
              <w:rPr>
                <w:rFonts w:ascii="Candara" w:eastAsia="Times New Roman" w:hAnsi="Candara" w:cs="Times New Roman"/>
                <w:color w:val="FFFFFF"/>
                <w:sz w:val="20"/>
                <w:szCs w:val="20"/>
                <w:lang w:eastAsia="lv-LV"/>
              </w:rPr>
            </w:pPr>
            <w:r w:rsidRPr="00D53AE5">
              <w:rPr>
                <w:rFonts w:ascii="Candara" w:eastAsia="Times New Roman" w:hAnsi="Candara" w:cs="Times New Roman"/>
                <w:color w:val="FFFFFF"/>
                <w:sz w:val="20"/>
                <w:szCs w:val="20"/>
                <w:lang w:eastAsia="lv-LV"/>
              </w:rPr>
              <w:t>7.IP (2007-2013)</w:t>
            </w:r>
          </w:p>
        </w:tc>
        <w:tc>
          <w:tcPr>
            <w:tcW w:w="1860" w:type="dxa"/>
            <w:tcBorders>
              <w:top w:val="single" w:sz="4" w:space="0" w:color="auto"/>
              <w:left w:val="nil"/>
              <w:bottom w:val="single" w:sz="4" w:space="0" w:color="auto"/>
              <w:right w:val="single" w:sz="4" w:space="0" w:color="auto"/>
            </w:tcBorders>
            <w:shd w:val="clear" w:color="000000" w:fill="1F497D"/>
            <w:vAlign w:val="center"/>
            <w:hideMark/>
          </w:tcPr>
          <w:p w:rsidR="006A6349" w:rsidRPr="00D53AE5" w:rsidP="00175ACF" w14:paraId="32AE2F13" w14:textId="77777777">
            <w:pPr>
              <w:spacing w:after="0" w:line="240" w:lineRule="auto"/>
              <w:jc w:val="center"/>
              <w:rPr>
                <w:rFonts w:ascii="Candara" w:eastAsia="Times New Roman" w:hAnsi="Candara" w:cs="Times New Roman"/>
                <w:color w:val="FFFFFF"/>
                <w:sz w:val="20"/>
                <w:szCs w:val="20"/>
                <w:lang w:eastAsia="lv-LV"/>
              </w:rPr>
            </w:pPr>
            <w:r w:rsidRPr="00D53AE5">
              <w:rPr>
                <w:rFonts w:ascii="Candara" w:eastAsia="Times New Roman" w:hAnsi="Candara" w:cs="Times New Roman"/>
                <w:color w:val="FFFFFF"/>
                <w:sz w:val="20"/>
                <w:szCs w:val="20"/>
                <w:lang w:eastAsia="lv-LV"/>
              </w:rPr>
              <w:t>“Apvārsnis 2020” (2014-2017*)</w:t>
            </w:r>
          </w:p>
        </w:tc>
      </w:tr>
      <w:tr w14:paraId="65E7227C" w14:textId="77777777" w:rsidTr="00175ACF">
        <w:tblPrEx>
          <w:tblW w:w="9520" w:type="dxa"/>
          <w:tblInd w:w="-5" w:type="dxa"/>
          <w:tblLook w:val="04A0"/>
        </w:tblPrEx>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6A6349" w:rsidRPr="00D53AE5" w:rsidP="00175ACF" w14:paraId="37322D8B"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Projektu pieteikumu skaits</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1B0A0025"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667</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69B44C54"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1027</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44E117E5"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1127</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0A5E7CD1" w14:textId="77777777">
            <w:pPr>
              <w:spacing w:after="0" w:line="240" w:lineRule="auto"/>
              <w:jc w:val="center"/>
              <w:rPr>
                <w:rFonts w:ascii="Candara" w:eastAsia="Times New Roman" w:hAnsi="Candara" w:cs="Times New Roman"/>
                <w:b/>
                <w:bCs/>
                <w:color w:val="000000"/>
                <w:sz w:val="20"/>
                <w:szCs w:val="20"/>
                <w:lang w:eastAsia="lv-LV"/>
              </w:rPr>
            </w:pPr>
            <w:r w:rsidRPr="00D53AE5">
              <w:rPr>
                <w:rFonts w:ascii="Candara" w:eastAsia="Times New Roman" w:hAnsi="Candara" w:cs="Times New Roman"/>
                <w:b/>
                <w:bCs/>
                <w:color w:val="000000"/>
                <w:sz w:val="20"/>
                <w:szCs w:val="20"/>
                <w:lang w:eastAsia="lv-LV"/>
              </w:rPr>
              <w:t>1114</w:t>
            </w:r>
          </w:p>
        </w:tc>
      </w:tr>
      <w:tr w14:paraId="1DD1DEBA" w14:textId="77777777" w:rsidTr="00175ACF">
        <w:tblPrEx>
          <w:tblW w:w="9520" w:type="dxa"/>
          <w:tblInd w:w="-5" w:type="dxa"/>
          <w:tblLook w:val="04A0"/>
        </w:tblPrEx>
        <w:trPr>
          <w:trHeight w:val="51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6A6349" w:rsidRPr="00D53AE5" w:rsidP="00175ACF" w14:paraId="6F22D09A"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Dalību skaits projektu pieteikumos</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25A990D1"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776</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752578EA"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1206</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399CA4CA"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1424</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496AB5EB" w14:textId="77777777">
            <w:pPr>
              <w:spacing w:after="0" w:line="240" w:lineRule="auto"/>
              <w:jc w:val="center"/>
              <w:rPr>
                <w:rFonts w:ascii="Candara" w:eastAsia="Times New Roman" w:hAnsi="Candara" w:cs="Times New Roman"/>
                <w:b/>
                <w:bCs/>
                <w:color w:val="000000"/>
                <w:sz w:val="20"/>
                <w:szCs w:val="20"/>
                <w:lang w:eastAsia="lv-LV"/>
              </w:rPr>
            </w:pPr>
            <w:r w:rsidRPr="00D53AE5">
              <w:rPr>
                <w:rFonts w:ascii="Candara" w:eastAsia="Times New Roman" w:hAnsi="Candara" w:cs="Times New Roman"/>
                <w:b/>
                <w:bCs/>
                <w:color w:val="000000"/>
                <w:sz w:val="20"/>
                <w:szCs w:val="20"/>
                <w:lang w:eastAsia="lv-LV"/>
              </w:rPr>
              <w:t>1392</w:t>
            </w:r>
          </w:p>
        </w:tc>
      </w:tr>
      <w:tr w14:paraId="06FA3335" w14:textId="77777777" w:rsidTr="00175ACF">
        <w:tblPrEx>
          <w:tblW w:w="9520" w:type="dxa"/>
          <w:tblInd w:w="-5" w:type="dxa"/>
          <w:tblLook w:val="04A0"/>
        </w:tblPrEx>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6A6349" w:rsidRPr="00D53AE5" w:rsidP="00175ACF" w14:paraId="175A3DB2"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Atbalstītie projekti</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7BFD8B02"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178</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48CAD884"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217</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28E1257C"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240</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6067BE3E" w14:textId="77777777">
            <w:pPr>
              <w:spacing w:after="0" w:line="240" w:lineRule="auto"/>
              <w:jc w:val="center"/>
              <w:rPr>
                <w:rFonts w:ascii="Candara" w:eastAsia="Times New Roman" w:hAnsi="Candara" w:cs="Times New Roman"/>
                <w:b/>
                <w:bCs/>
                <w:color w:val="000000"/>
                <w:sz w:val="20"/>
                <w:szCs w:val="20"/>
                <w:lang w:eastAsia="lv-LV"/>
              </w:rPr>
            </w:pPr>
            <w:r w:rsidRPr="00D53AE5">
              <w:rPr>
                <w:rFonts w:ascii="Candara" w:eastAsia="Times New Roman" w:hAnsi="Candara" w:cs="Times New Roman"/>
                <w:b/>
                <w:bCs/>
                <w:color w:val="000000"/>
                <w:sz w:val="20"/>
                <w:szCs w:val="20"/>
                <w:lang w:eastAsia="lv-LV"/>
              </w:rPr>
              <w:t>131</w:t>
            </w:r>
          </w:p>
        </w:tc>
      </w:tr>
      <w:tr w14:paraId="768E4D8D" w14:textId="77777777" w:rsidTr="00175ACF">
        <w:tblPrEx>
          <w:tblW w:w="9520" w:type="dxa"/>
          <w:tblInd w:w="-5" w:type="dxa"/>
          <w:tblLook w:val="04A0"/>
        </w:tblPrEx>
        <w:trPr>
          <w:trHeight w:val="52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6A6349" w:rsidRPr="00D53AE5" w:rsidP="00175ACF" w14:paraId="478B3432"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Dalību skaits atbalstītajos projektos</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425E47FE"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204</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35FCAF58"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258</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39DF952A"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337</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516A5010" w14:textId="77777777">
            <w:pPr>
              <w:spacing w:after="0" w:line="240" w:lineRule="auto"/>
              <w:jc w:val="center"/>
              <w:rPr>
                <w:rFonts w:ascii="Candara" w:eastAsia="Times New Roman" w:hAnsi="Candara" w:cs="Times New Roman"/>
                <w:b/>
                <w:bCs/>
                <w:color w:val="000000"/>
                <w:sz w:val="20"/>
                <w:szCs w:val="20"/>
                <w:lang w:eastAsia="lv-LV"/>
              </w:rPr>
            </w:pPr>
            <w:r w:rsidRPr="00D53AE5">
              <w:rPr>
                <w:rFonts w:ascii="Candara" w:eastAsia="Times New Roman" w:hAnsi="Candara" w:cs="Times New Roman"/>
                <w:b/>
                <w:bCs/>
                <w:color w:val="000000"/>
                <w:sz w:val="20"/>
                <w:szCs w:val="20"/>
                <w:lang w:eastAsia="lv-LV"/>
              </w:rPr>
              <w:t>150</w:t>
            </w:r>
          </w:p>
        </w:tc>
      </w:tr>
      <w:tr w14:paraId="6D3309D6" w14:textId="77777777" w:rsidTr="00175ACF">
        <w:tblPrEx>
          <w:tblW w:w="9520" w:type="dxa"/>
          <w:tblInd w:w="-5" w:type="dxa"/>
          <w:tblLook w:val="04A0"/>
        </w:tblPrEx>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6A6349" w:rsidRPr="00D53AE5" w:rsidP="00175ACF" w14:paraId="4C420EF6"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Projektu koordinatori</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1D44CD35"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73813BEC"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11</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3FE4CC7D"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30</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4785A5B6" w14:textId="77777777">
            <w:pPr>
              <w:spacing w:after="0" w:line="240" w:lineRule="auto"/>
              <w:jc w:val="center"/>
              <w:rPr>
                <w:rFonts w:ascii="Candara" w:eastAsia="Times New Roman" w:hAnsi="Candara" w:cs="Times New Roman"/>
                <w:b/>
                <w:bCs/>
                <w:color w:val="000000"/>
                <w:sz w:val="20"/>
                <w:szCs w:val="20"/>
                <w:lang w:eastAsia="lv-LV"/>
              </w:rPr>
            </w:pPr>
            <w:r w:rsidRPr="00D53AE5">
              <w:rPr>
                <w:rFonts w:ascii="Candara" w:eastAsia="Times New Roman" w:hAnsi="Candara" w:cs="Times New Roman"/>
                <w:b/>
                <w:bCs/>
                <w:color w:val="000000"/>
                <w:sz w:val="20"/>
                <w:szCs w:val="20"/>
                <w:lang w:eastAsia="lv-LV"/>
              </w:rPr>
              <w:t>19</w:t>
            </w:r>
          </w:p>
        </w:tc>
      </w:tr>
      <w:tr w14:paraId="38CD48DE" w14:textId="77777777" w:rsidTr="00175ACF">
        <w:tblPrEx>
          <w:tblW w:w="9520" w:type="dxa"/>
          <w:tblInd w:w="-5" w:type="dxa"/>
          <w:tblLook w:val="04A0"/>
        </w:tblPrEx>
        <w:trPr>
          <w:trHeight w:val="31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6A6349" w:rsidRPr="00D53AE5" w:rsidP="00175ACF" w14:paraId="5A0D44F6"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Sekmības līmenis (%)</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4A1B72B3"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26,7</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1A0C14FF"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21,1</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5C8E378D"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21,3</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56F60FE9" w14:textId="77777777">
            <w:pPr>
              <w:spacing w:after="0" w:line="240" w:lineRule="auto"/>
              <w:jc w:val="center"/>
              <w:rPr>
                <w:rFonts w:ascii="Candara" w:eastAsia="Times New Roman" w:hAnsi="Candara" w:cs="Times New Roman"/>
                <w:b/>
                <w:bCs/>
                <w:color w:val="000000"/>
                <w:sz w:val="20"/>
                <w:szCs w:val="20"/>
                <w:lang w:eastAsia="lv-LV"/>
              </w:rPr>
            </w:pPr>
            <w:r w:rsidRPr="00D53AE5">
              <w:rPr>
                <w:rFonts w:ascii="Candara" w:eastAsia="Times New Roman" w:hAnsi="Candara" w:cs="Times New Roman"/>
                <w:b/>
                <w:bCs/>
                <w:color w:val="000000"/>
                <w:sz w:val="20"/>
                <w:szCs w:val="20"/>
                <w:lang w:eastAsia="lv-LV"/>
              </w:rPr>
              <w:t>12,57</w:t>
            </w:r>
          </w:p>
        </w:tc>
      </w:tr>
      <w:tr w14:paraId="232C5731" w14:textId="77777777" w:rsidTr="00175ACF">
        <w:tblPrEx>
          <w:tblW w:w="9520" w:type="dxa"/>
          <w:tblInd w:w="-5" w:type="dxa"/>
          <w:tblLook w:val="04A0"/>
        </w:tblPrEx>
        <w:trPr>
          <w:trHeight w:val="52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6A6349" w:rsidRPr="00D53AE5" w:rsidP="00175ACF" w14:paraId="367143B7"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EK finansējums (EUR, miljoni)</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323F9FDE"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14,6</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4DE4E010"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21,6</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6074AC8A" w14:textId="77777777">
            <w:pPr>
              <w:spacing w:after="0" w:line="240" w:lineRule="auto"/>
              <w:jc w:val="center"/>
              <w:rPr>
                <w:rFonts w:ascii="Candara" w:eastAsia="Times New Roman" w:hAnsi="Candara" w:cs="Times New Roman"/>
                <w:color w:val="000000"/>
                <w:sz w:val="20"/>
                <w:szCs w:val="20"/>
                <w:lang w:eastAsia="lv-LV"/>
              </w:rPr>
            </w:pPr>
            <w:r w:rsidRPr="00D53AE5">
              <w:rPr>
                <w:rFonts w:ascii="Candara" w:eastAsia="Times New Roman" w:hAnsi="Candara" w:cs="Times New Roman"/>
                <w:color w:val="000000"/>
                <w:sz w:val="20"/>
                <w:szCs w:val="20"/>
                <w:lang w:eastAsia="lv-LV"/>
              </w:rPr>
              <w:t>49,04</w:t>
            </w:r>
          </w:p>
        </w:tc>
        <w:tc>
          <w:tcPr>
            <w:tcW w:w="1860" w:type="dxa"/>
            <w:tcBorders>
              <w:top w:val="nil"/>
              <w:left w:val="nil"/>
              <w:bottom w:val="single" w:sz="4" w:space="0" w:color="auto"/>
              <w:right w:val="single" w:sz="4" w:space="0" w:color="auto"/>
            </w:tcBorders>
            <w:shd w:val="clear" w:color="auto" w:fill="auto"/>
            <w:vAlign w:val="center"/>
            <w:hideMark/>
          </w:tcPr>
          <w:p w:rsidR="006A6349" w:rsidRPr="00D53AE5" w:rsidP="00175ACF" w14:paraId="770C0518" w14:textId="77777777">
            <w:pPr>
              <w:spacing w:after="0" w:line="240" w:lineRule="auto"/>
              <w:jc w:val="center"/>
              <w:rPr>
                <w:rFonts w:ascii="Candara" w:eastAsia="Times New Roman" w:hAnsi="Candara" w:cs="Times New Roman"/>
                <w:b/>
                <w:bCs/>
                <w:color w:val="000000"/>
                <w:sz w:val="20"/>
                <w:szCs w:val="20"/>
                <w:lang w:eastAsia="lv-LV"/>
              </w:rPr>
            </w:pPr>
            <w:r w:rsidRPr="00D53AE5">
              <w:rPr>
                <w:rFonts w:ascii="Candara" w:eastAsia="Times New Roman" w:hAnsi="Candara" w:cs="Times New Roman"/>
                <w:b/>
                <w:bCs/>
                <w:color w:val="000000"/>
                <w:sz w:val="20"/>
                <w:szCs w:val="20"/>
                <w:lang w:eastAsia="lv-LV"/>
              </w:rPr>
              <w:t>35,22</w:t>
            </w:r>
          </w:p>
        </w:tc>
      </w:tr>
    </w:tbl>
    <w:p w:rsidR="006A6349" w:rsidRPr="00F338A0" w:rsidP="006A6349" w14:paraId="7719B4CF" w14:textId="77777777">
      <w:pPr>
        <w:spacing w:after="0"/>
        <w:jc w:val="both"/>
        <w:rPr>
          <w:sz w:val="20"/>
          <w:szCs w:val="20"/>
        </w:rPr>
      </w:pPr>
      <w:r w:rsidRPr="00F338A0">
        <w:rPr>
          <w:sz w:val="20"/>
          <w:szCs w:val="20"/>
        </w:rPr>
        <w:t>* dati uz 2017. gada 28. februāri</w:t>
      </w:r>
    </w:p>
    <w:p w:rsidR="006A6349" w:rsidRPr="00293839" w:rsidP="009F2C2C" w14:paraId="303A6A60" w14:textId="77777777">
      <w:pPr>
        <w:spacing w:before="120" w:after="0"/>
        <w:ind w:firstLine="426"/>
        <w:jc w:val="both"/>
        <w:rPr>
          <w:rFonts w:ascii="Candara" w:hAnsi="Candara"/>
        </w:rPr>
      </w:pPr>
      <w:r>
        <w:rPr>
          <w:rFonts w:ascii="Candara" w:hAnsi="Candara"/>
        </w:rPr>
        <w:t>Aplūkojot</w:t>
      </w:r>
      <w:r w:rsidRPr="00D53AE5">
        <w:rPr>
          <w:rFonts w:ascii="Candara" w:hAnsi="Candara"/>
        </w:rPr>
        <w:t xml:space="preserve"> Latvijas un divu Baltijas kaimiņvalstu</w:t>
      </w:r>
      <w:r w:rsidR="00964D44">
        <w:rPr>
          <w:rFonts w:ascii="Candara" w:hAnsi="Candara"/>
        </w:rPr>
        <w:t xml:space="preserve">, </w:t>
      </w:r>
      <w:r w:rsidRPr="00D53AE5">
        <w:rPr>
          <w:rFonts w:ascii="Candara" w:hAnsi="Candara"/>
        </w:rPr>
        <w:t>Lietuvas un Igaunijas</w:t>
      </w:r>
      <w:r w:rsidR="00964D44">
        <w:rPr>
          <w:rFonts w:ascii="Candara" w:hAnsi="Candara"/>
        </w:rPr>
        <w:t>,</w:t>
      </w:r>
      <w:r w:rsidRPr="00D53AE5">
        <w:rPr>
          <w:rFonts w:ascii="Candara" w:hAnsi="Candara"/>
        </w:rPr>
        <w:t xml:space="preserve"> dalības aktivitāti un sekmes (</w:t>
      </w:r>
      <w:r w:rsidR="00625C7B">
        <w:rPr>
          <w:rFonts w:ascii="Candara" w:hAnsi="Candara"/>
        </w:rPr>
        <w:t>43</w:t>
      </w:r>
      <w:r>
        <w:rPr>
          <w:rFonts w:ascii="Candara" w:hAnsi="Candara"/>
        </w:rPr>
        <w:t>.attēls</w:t>
      </w:r>
      <w:r w:rsidRPr="00D53AE5">
        <w:rPr>
          <w:rFonts w:ascii="Candara" w:hAnsi="Candara"/>
        </w:rPr>
        <w:t xml:space="preserve">), </w:t>
      </w:r>
      <w:r>
        <w:rPr>
          <w:rFonts w:ascii="Candara" w:hAnsi="Candara"/>
        </w:rPr>
        <w:t>secināms</w:t>
      </w:r>
      <w:r w:rsidRPr="00D53AE5">
        <w:rPr>
          <w:rFonts w:ascii="Candara" w:hAnsi="Candara"/>
        </w:rPr>
        <w:t>, ka Latvijai ir sliktākas sekmes attiecībā uz iesniegto projektu pieteikumu skaitu, kā arī sekmīgo projektu u</w:t>
      </w:r>
      <w:r w:rsidRPr="00293839">
        <w:rPr>
          <w:rFonts w:ascii="Candara" w:hAnsi="Candara"/>
        </w:rPr>
        <w:t xml:space="preserve">n koordinatoru skaitu. </w:t>
      </w:r>
      <w:r>
        <w:rPr>
          <w:rFonts w:ascii="Candara" w:hAnsi="Candara"/>
        </w:rPr>
        <w:t>Tomēr šeit jāņem vērā kopējais zinātniskā personāla cilvēkresursu apmērs – ja Latvijā tie ir 3613 PLE, tad Igaunijā – 4186 PLE un Lietuvā – 8124 PLE</w:t>
      </w:r>
      <w:r>
        <w:rPr>
          <w:rStyle w:val="FootnoteReference"/>
          <w:rFonts w:ascii="Candara" w:hAnsi="Candara"/>
        </w:rPr>
        <w:footnoteReference w:id="27"/>
      </w:r>
      <w:r>
        <w:rPr>
          <w:rFonts w:ascii="Candara" w:hAnsi="Candara"/>
        </w:rPr>
        <w:t xml:space="preserve">. </w:t>
      </w:r>
      <w:r w:rsidRPr="00293839">
        <w:rPr>
          <w:rFonts w:ascii="Candara" w:hAnsi="Candara"/>
        </w:rPr>
        <w:t>Vienlaikus Latvija sekmīgāk kā Lietuva piesaista programmas “Apvārsnis 2020” investīcijas</w:t>
      </w:r>
      <w:r w:rsidR="00964D44">
        <w:rPr>
          <w:rFonts w:ascii="Candara" w:hAnsi="Candara"/>
        </w:rPr>
        <w:t>,</w:t>
      </w:r>
      <w:r w:rsidRPr="00293839">
        <w:rPr>
          <w:rFonts w:ascii="Candara" w:hAnsi="Candara"/>
        </w:rPr>
        <w:t xml:space="preserve"> un projektu pieteikumu sekmība ir visaugstākā triju Baltijas valstu starpā.</w:t>
      </w:r>
    </w:p>
    <w:p w:rsidR="00625C7B" w:rsidP="006A6349" w14:paraId="4C0FC468" w14:textId="77777777">
      <w:pPr>
        <w:pStyle w:val="ListParagraph"/>
        <w:spacing w:before="0"/>
        <w:ind w:left="1080" w:firstLine="0"/>
        <w:jc w:val="center"/>
        <w:rPr>
          <w:rFonts w:ascii="Candara" w:hAnsi="Candara"/>
          <w:b/>
          <w:sz w:val="22"/>
          <w:szCs w:val="22"/>
        </w:rPr>
      </w:pPr>
    </w:p>
    <w:p w:rsidR="006A6349" w:rsidRPr="00A92534" w:rsidP="006A6349" w14:paraId="13EEBA54" w14:textId="77777777">
      <w:pPr>
        <w:pStyle w:val="ListParagraph"/>
        <w:spacing w:before="0"/>
        <w:ind w:left="1080" w:firstLine="0"/>
        <w:jc w:val="center"/>
        <w:rPr>
          <w:rFonts w:ascii="Candara" w:hAnsi="Candara"/>
          <w:b/>
          <w:sz w:val="22"/>
          <w:szCs w:val="22"/>
        </w:rPr>
      </w:pPr>
      <w:r w:rsidRPr="002C4322">
        <w:rPr>
          <w:rFonts w:ascii="Candara" w:hAnsi="Candara"/>
          <w:b/>
          <w:sz w:val="22"/>
          <w:szCs w:val="22"/>
        </w:rPr>
        <w:t>4</w:t>
      </w:r>
      <w:r w:rsidR="00A65B70">
        <w:rPr>
          <w:rFonts w:ascii="Candara" w:hAnsi="Candara"/>
          <w:b/>
          <w:sz w:val="22"/>
          <w:szCs w:val="22"/>
        </w:rPr>
        <w:t>3</w:t>
      </w:r>
      <w:r w:rsidRPr="002C4322">
        <w:rPr>
          <w:rFonts w:ascii="Candara" w:hAnsi="Candara"/>
          <w:b/>
          <w:sz w:val="22"/>
          <w:szCs w:val="22"/>
        </w:rPr>
        <w:t>.attēls. Dalības</w:t>
      </w:r>
      <w:r w:rsidRPr="00A92534">
        <w:rPr>
          <w:rFonts w:ascii="Candara" w:hAnsi="Candara"/>
          <w:b/>
          <w:sz w:val="22"/>
          <w:szCs w:val="22"/>
        </w:rPr>
        <w:t xml:space="preserve"> aktivitātes un sekmības salīdzinājums programmā Apvārsnis 2020 starp </w:t>
      </w:r>
      <w:r>
        <w:rPr>
          <w:rFonts w:ascii="Candara" w:hAnsi="Candara"/>
          <w:b/>
          <w:sz w:val="22"/>
          <w:szCs w:val="22"/>
        </w:rPr>
        <w:t>Baltijas valstīm</w:t>
      </w:r>
    </w:p>
    <w:tbl>
      <w:tblPr>
        <w:tblStyle w:val="TableGrid"/>
        <w:tblW w:w="9693" w:type="dxa"/>
        <w:tblLook w:val="04A0"/>
      </w:tblPr>
      <w:tblGrid>
        <w:gridCol w:w="1131"/>
        <w:gridCol w:w="4551"/>
        <w:gridCol w:w="1337"/>
        <w:gridCol w:w="1337"/>
        <w:gridCol w:w="1337"/>
      </w:tblGrid>
      <w:tr w14:paraId="663CA1A5" w14:textId="77777777" w:rsidTr="00175ACF">
        <w:tblPrEx>
          <w:tblW w:w="9693" w:type="dxa"/>
          <w:tblLook w:val="04A0"/>
        </w:tblPrEx>
        <w:trPr>
          <w:trHeight w:val="230"/>
        </w:trPr>
        <w:tc>
          <w:tcPr>
            <w:tcW w:w="1131" w:type="dxa"/>
            <w:shd w:val="clear" w:color="auto" w:fill="491347" w:themeFill="accent1" w:themeFillShade="80"/>
            <w:hideMark/>
          </w:tcPr>
          <w:p w:rsidR="006A6349" w:rsidRPr="00D53AE5" w:rsidP="00175ACF" w14:paraId="486ED53F" w14:textId="77777777">
            <w:pPr>
              <w:rPr>
                <w:rFonts w:ascii="Candara" w:hAnsi="Candara"/>
                <w:sz w:val="20"/>
                <w:szCs w:val="20"/>
              </w:rPr>
            </w:pPr>
          </w:p>
        </w:tc>
        <w:tc>
          <w:tcPr>
            <w:tcW w:w="4551" w:type="dxa"/>
            <w:shd w:val="clear" w:color="auto" w:fill="491347" w:themeFill="accent1" w:themeFillShade="80"/>
            <w:hideMark/>
          </w:tcPr>
          <w:p w:rsidR="006A6349" w:rsidRPr="00D53AE5" w:rsidP="00175ACF" w14:paraId="5EF7BC95" w14:textId="77777777">
            <w:pPr>
              <w:rPr>
                <w:rFonts w:ascii="Candara" w:hAnsi="Candara" w:cs="Calibri"/>
                <w:sz w:val="20"/>
                <w:szCs w:val="20"/>
              </w:rPr>
            </w:pPr>
            <w:r w:rsidRPr="00D53AE5">
              <w:rPr>
                <w:rFonts w:ascii="Candara" w:hAnsi="Candara"/>
                <w:sz w:val="20"/>
                <w:szCs w:val="20"/>
              </w:rPr>
              <w:t>Rādītājs</w:t>
            </w:r>
          </w:p>
        </w:tc>
        <w:tc>
          <w:tcPr>
            <w:tcW w:w="1337" w:type="dxa"/>
            <w:shd w:val="clear" w:color="auto" w:fill="491347" w:themeFill="accent1" w:themeFillShade="80"/>
            <w:hideMark/>
          </w:tcPr>
          <w:p w:rsidR="006A6349" w:rsidRPr="00D53AE5" w:rsidP="00175ACF" w14:paraId="610A9324" w14:textId="77777777">
            <w:pPr>
              <w:jc w:val="center"/>
              <w:rPr>
                <w:rFonts w:ascii="Candara" w:hAnsi="Candara"/>
                <w:sz w:val="20"/>
                <w:szCs w:val="20"/>
              </w:rPr>
            </w:pPr>
            <w:r w:rsidRPr="00D53AE5">
              <w:rPr>
                <w:rFonts w:ascii="Candara" w:hAnsi="Candara"/>
                <w:sz w:val="20"/>
                <w:szCs w:val="20"/>
              </w:rPr>
              <w:t>Latvija</w:t>
            </w:r>
          </w:p>
        </w:tc>
        <w:tc>
          <w:tcPr>
            <w:tcW w:w="1337" w:type="dxa"/>
            <w:shd w:val="clear" w:color="auto" w:fill="491347" w:themeFill="accent1" w:themeFillShade="80"/>
            <w:hideMark/>
          </w:tcPr>
          <w:p w:rsidR="006A6349" w:rsidRPr="00D53AE5" w:rsidP="00175ACF" w14:paraId="6DBBC54F" w14:textId="77777777">
            <w:pPr>
              <w:jc w:val="center"/>
              <w:rPr>
                <w:rFonts w:ascii="Candara" w:hAnsi="Candara"/>
                <w:sz w:val="20"/>
                <w:szCs w:val="20"/>
              </w:rPr>
            </w:pPr>
            <w:r w:rsidRPr="00D53AE5">
              <w:rPr>
                <w:rFonts w:ascii="Candara" w:hAnsi="Candara"/>
                <w:sz w:val="20"/>
                <w:szCs w:val="20"/>
              </w:rPr>
              <w:t>Igaunija</w:t>
            </w:r>
          </w:p>
        </w:tc>
        <w:tc>
          <w:tcPr>
            <w:tcW w:w="1337" w:type="dxa"/>
            <w:shd w:val="clear" w:color="auto" w:fill="491347" w:themeFill="accent1" w:themeFillShade="80"/>
            <w:hideMark/>
          </w:tcPr>
          <w:p w:rsidR="006A6349" w:rsidRPr="00D53AE5" w:rsidP="00175ACF" w14:paraId="578D63DB" w14:textId="77777777">
            <w:pPr>
              <w:jc w:val="center"/>
              <w:rPr>
                <w:rFonts w:ascii="Candara" w:hAnsi="Candara"/>
                <w:sz w:val="20"/>
                <w:szCs w:val="20"/>
              </w:rPr>
            </w:pPr>
            <w:r w:rsidRPr="00D53AE5">
              <w:rPr>
                <w:rFonts w:ascii="Candara" w:hAnsi="Candara"/>
                <w:sz w:val="20"/>
                <w:szCs w:val="20"/>
              </w:rPr>
              <w:t>Lietuva</w:t>
            </w:r>
          </w:p>
        </w:tc>
      </w:tr>
      <w:tr w14:paraId="43E042A9" w14:textId="77777777" w:rsidTr="00175ACF">
        <w:tblPrEx>
          <w:tblW w:w="9693" w:type="dxa"/>
          <w:tblLook w:val="04A0"/>
        </w:tblPrEx>
        <w:trPr>
          <w:trHeight w:val="285"/>
        </w:trPr>
        <w:tc>
          <w:tcPr>
            <w:tcW w:w="1131" w:type="dxa"/>
            <w:vMerge w:val="restart"/>
            <w:textDirection w:val="btLr"/>
            <w:hideMark/>
          </w:tcPr>
          <w:p w:rsidR="006A6349" w:rsidRPr="00D53AE5" w:rsidP="00175ACF" w14:paraId="3F123605" w14:textId="77777777">
            <w:pPr>
              <w:jc w:val="center"/>
              <w:rPr>
                <w:rFonts w:ascii="Candara" w:hAnsi="Candara"/>
                <w:sz w:val="20"/>
                <w:szCs w:val="20"/>
              </w:rPr>
            </w:pPr>
            <w:r w:rsidRPr="00D53AE5">
              <w:rPr>
                <w:rFonts w:ascii="Candara" w:hAnsi="Candara"/>
                <w:sz w:val="20"/>
                <w:szCs w:val="20"/>
              </w:rPr>
              <w:t>H2020*</w:t>
            </w:r>
          </w:p>
        </w:tc>
        <w:tc>
          <w:tcPr>
            <w:tcW w:w="4551" w:type="dxa"/>
            <w:hideMark/>
          </w:tcPr>
          <w:p w:rsidR="006A6349" w:rsidRPr="00D53AE5" w:rsidP="00175ACF" w14:paraId="38AF3A0E" w14:textId="77777777">
            <w:pPr>
              <w:rPr>
                <w:rFonts w:ascii="Candara" w:hAnsi="Candara"/>
                <w:sz w:val="20"/>
                <w:szCs w:val="20"/>
              </w:rPr>
            </w:pPr>
            <w:r w:rsidRPr="00D53AE5">
              <w:rPr>
                <w:rFonts w:ascii="Candara" w:hAnsi="Candara"/>
                <w:sz w:val="20"/>
                <w:szCs w:val="20"/>
              </w:rPr>
              <w:t>Iesniegto projektu pieteikumu skaits</w:t>
            </w:r>
          </w:p>
        </w:tc>
        <w:tc>
          <w:tcPr>
            <w:tcW w:w="1337" w:type="dxa"/>
            <w:hideMark/>
          </w:tcPr>
          <w:p w:rsidR="006A6349" w:rsidRPr="00D53AE5" w:rsidP="00175ACF" w14:paraId="3552F591" w14:textId="77777777">
            <w:pPr>
              <w:jc w:val="center"/>
              <w:rPr>
                <w:rFonts w:ascii="Candara" w:hAnsi="Candara"/>
                <w:b/>
                <w:sz w:val="20"/>
                <w:szCs w:val="20"/>
              </w:rPr>
            </w:pPr>
            <w:r w:rsidRPr="00D53AE5">
              <w:rPr>
                <w:rFonts w:ascii="Candara" w:hAnsi="Candara"/>
                <w:b/>
                <w:sz w:val="20"/>
                <w:szCs w:val="20"/>
              </w:rPr>
              <w:t>1114</w:t>
            </w:r>
          </w:p>
        </w:tc>
        <w:tc>
          <w:tcPr>
            <w:tcW w:w="1337" w:type="dxa"/>
            <w:hideMark/>
          </w:tcPr>
          <w:p w:rsidR="006A6349" w:rsidRPr="00D53AE5" w:rsidP="00175ACF" w14:paraId="4AA38448" w14:textId="77777777">
            <w:pPr>
              <w:jc w:val="center"/>
              <w:rPr>
                <w:rFonts w:ascii="Candara" w:hAnsi="Candara"/>
                <w:sz w:val="20"/>
                <w:szCs w:val="20"/>
              </w:rPr>
            </w:pPr>
            <w:r w:rsidRPr="00D53AE5">
              <w:rPr>
                <w:rFonts w:ascii="Candara" w:hAnsi="Candara"/>
                <w:sz w:val="20"/>
                <w:szCs w:val="20"/>
              </w:rPr>
              <w:t>1662</w:t>
            </w:r>
          </w:p>
        </w:tc>
        <w:tc>
          <w:tcPr>
            <w:tcW w:w="1337" w:type="dxa"/>
            <w:hideMark/>
          </w:tcPr>
          <w:p w:rsidR="006A6349" w:rsidRPr="00D53AE5" w:rsidP="00175ACF" w14:paraId="7E16985E" w14:textId="77777777">
            <w:pPr>
              <w:jc w:val="center"/>
              <w:rPr>
                <w:rFonts w:ascii="Candara" w:hAnsi="Candara"/>
                <w:sz w:val="20"/>
                <w:szCs w:val="20"/>
              </w:rPr>
            </w:pPr>
            <w:r w:rsidRPr="00D53AE5">
              <w:rPr>
                <w:rFonts w:ascii="Candara" w:hAnsi="Candara"/>
                <w:sz w:val="20"/>
                <w:szCs w:val="20"/>
              </w:rPr>
              <w:t>1309</w:t>
            </w:r>
          </w:p>
        </w:tc>
      </w:tr>
      <w:tr w14:paraId="40E6F9D9" w14:textId="77777777" w:rsidTr="00175ACF">
        <w:tblPrEx>
          <w:tblW w:w="9693" w:type="dxa"/>
          <w:tblLook w:val="04A0"/>
        </w:tblPrEx>
        <w:trPr>
          <w:trHeight w:val="33"/>
        </w:trPr>
        <w:tc>
          <w:tcPr>
            <w:tcW w:w="0" w:type="auto"/>
            <w:vMerge/>
            <w:hideMark/>
          </w:tcPr>
          <w:p w:rsidR="006A6349" w:rsidRPr="00D53AE5" w:rsidP="00175ACF" w14:paraId="0D6A389F" w14:textId="77777777">
            <w:pPr>
              <w:rPr>
                <w:rFonts w:ascii="Candara" w:hAnsi="Candara" w:cs="Calibri"/>
                <w:sz w:val="20"/>
                <w:szCs w:val="20"/>
              </w:rPr>
            </w:pPr>
          </w:p>
        </w:tc>
        <w:tc>
          <w:tcPr>
            <w:tcW w:w="4551" w:type="dxa"/>
            <w:hideMark/>
          </w:tcPr>
          <w:p w:rsidR="006A6349" w:rsidRPr="00D53AE5" w:rsidP="00175ACF" w14:paraId="3F0ADC77" w14:textId="77777777">
            <w:pPr>
              <w:rPr>
                <w:rFonts w:ascii="Candara" w:hAnsi="Candara"/>
                <w:sz w:val="20"/>
                <w:szCs w:val="20"/>
              </w:rPr>
            </w:pPr>
            <w:r w:rsidRPr="00D53AE5">
              <w:rPr>
                <w:rFonts w:ascii="Candara" w:hAnsi="Candara"/>
                <w:sz w:val="20"/>
                <w:szCs w:val="20"/>
              </w:rPr>
              <w:t>Dalību skaits projektu pieteikumos</w:t>
            </w:r>
          </w:p>
        </w:tc>
        <w:tc>
          <w:tcPr>
            <w:tcW w:w="1337" w:type="dxa"/>
            <w:hideMark/>
          </w:tcPr>
          <w:p w:rsidR="006A6349" w:rsidRPr="00D53AE5" w:rsidP="00175ACF" w14:paraId="1EB89D9F" w14:textId="77777777">
            <w:pPr>
              <w:jc w:val="center"/>
              <w:rPr>
                <w:rFonts w:ascii="Candara" w:hAnsi="Candara"/>
                <w:b/>
                <w:sz w:val="20"/>
                <w:szCs w:val="20"/>
              </w:rPr>
            </w:pPr>
            <w:r w:rsidRPr="00D53AE5">
              <w:rPr>
                <w:rFonts w:ascii="Candara" w:hAnsi="Candara"/>
                <w:b/>
                <w:sz w:val="20"/>
                <w:szCs w:val="20"/>
              </w:rPr>
              <w:t>1392</w:t>
            </w:r>
          </w:p>
        </w:tc>
        <w:tc>
          <w:tcPr>
            <w:tcW w:w="1337" w:type="dxa"/>
            <w:hideMark/>
          </w:tcPr>
          <w:p w:rsidR="006A6349" w:rsidRPr="00D53AE5" w:rsidP="00175ACF" w14:paraId="2B838ED1" w14:textId="77777777">
            <w:pPr>
              <w:jc w:val="center"/>
              <w:rPr>
                <w:rFonts w:ascii="Candara" w:hAnsi="Candara"/>
                <w:sz w:val="20"/>
                <w:szCs w:val="20"/>
              </w:rPr>
            </w:pPr>
            <w:r w:rsidRPr="00D53AE5">
              <w:rPr>
                <w:rFonts w:ascii="Candara" w:hAnsi="Candara"/>
                <w:sz w:val="20"/>
                <w:szCs w:val="20"/>
              </w:rPr>
              <w:t>1941</w:t>
            </w:r>
          </w:p>
        </w:tc>
        <w:tc>
          <w:tcPr>
            <w:tcW w:w="1337" w:type="dxa"/>
            <w:hideMark/>
          </w:tcPr>
          <w:p w:rsidR="006A6349" w:rsidRPr="00D53AE5" w:rsidP="00175ACF" w14:paraId="710AA849" w14:textId="77777777">
            <w:pPr>
              <w:jc w:val="center"/>
              <w:rPr>
                <w:rFonts w:ascii="Candara" w:hAnsi="Candara"/>
                <w:sz w:val="20"/>
                <w:szCs w:val="20"/>
              </w:rPr>
            </w:pPr>
            <w:r w:rsidRPr="00D53AE5">
              <w:rPr>
                <w:rFonts w:ascii="Candara" w:hAnsi="Candara"/>
                <w:sz w:val="20"/>
                <w:szCs w:val="20"/>
              </w:rPr>
              <w:t>1588</w:t>
            </w:r>
          </w:p>
        </w:tc>
      </w:tr>
      <w:tr w14:paraId="0C7774BE" w14:textId="77777777" w:rsidTr="00175ACF">
        <w:tblPrEx>
          <w:tblW w:w="9693" w:type="dxa"/>
          <w:tblLook w:val="04A0"/>
        </w:tblPrEx>
        <w:trPr>
          <w:trHeight w:val="33"/>
        </w:trPr>
        <w:tc>
          <w:tcPr>
            <w:tcW w:w="0" w:type="auto"/>
            <w:vMerge/>
          </w:tcPr>
          <w:p w:rsidR="006A6349" w:rsidRPr="00D53AE5" w:rsidP="00175ACF" w14:paraId="780BC116" w14:textId="77777777">
            <w:pPr>
              <w:rPr>
                <w:rFonts w:ascii="Candara" w:hAnsi="Candara" w:cs="Calibri"/>
                <w:sz w:val="20"/>
                <w:szCs w:val="20"/>
              </w:rPr>
            </w:pPr>
          </w:p>
        </w:tc>
        <w:tc>
          <w:tcPr>
            <w:tcW w:w="4551" w:type="dxa"/>
          </w:tcPr>
          <w:p w:rsidR="006A6349" w:rsidRPr="00D53AE5" w:rsidP="00175ACF" w14:paraId="75FB5F3A" w14:textId="77777777">
            <w:pPr>
              <w:rPr>
                <w:rFonts w:ascii="Candara" w:hAnsi="Candara"/>
                <w:sz w:val="20"/>
                <w:szCs w:val="20"/>
              </w:rPr>
            </w:pPr>
            <w:r w:rsidRPr="00D53AE5">
              <w:rPr>
                <w:rFonts w:ascii="Candara" w:hAnsi="Candara"/>
                <w:sz w:val="20"/>
                <w:szCs w:val="20"/>
              </w:rPr>
              <w:t>Sekmīgo projektu skaits</w:t>
            </w:r>
          </w:p>
        </w:tc>
        <w:tc>
          <w:tcPr>
            <w:tcW w:w="1337" w:type="dxa"/>
          </w:tcPr>
          <w:p w:rsidR="006A6349" w:rsidRPr="00D53AE5" w:rsidP="00175ACF" w14:paraId="47812630" w14:textId="77777777">
            <w:pPr>
              <w:jc w:val="center"/>
              <w:rPr>
                <w:rFonts w:ascii="Candara" w:hAnsi="Candara"/>
                <w:b/>
                <w:sz w:val="20"/>
                <w:szCs w:val="20"/>
              </w:rPr>
            </w:pPr>
            <w:r w:rsidRPr="00D53AE5">
              <w:rPr>
                <w:rFonts w:ascii="Candara" w:hAnsi="Candara"/>
                <w:b/>
                <w:sz w:val="20"/>
                <w:szCs w:val="20"/>
              </w:rPr>
              <w:t>131</w:t>
            </w:r>
          </w:p>
        </w:tc>
        <w:tc>
          <w:tcPr>
            <w:tcW w:w="1337" w:type="dxa"/>
          </w:tcPr>
          <w:p w:rsidR="006A6349" w:rsidRPr="00D53AE5" w:rsidP="00175ACF" w14:paraId="40A2CB7D" w14:textId="77777777">
            <w:pPr>
              <w:jc w:val="center"/>
              <w:rPr>
                <w:rFonts w:ascii="Candara" w:hAnsi="Candara"/>
                <w:sz w:val="20"/>
                <w:szCs w:val="20"/>
              </w:rPr>
            </w:pPr>
            <w:r w:rsidRPr="00D53AE5">
              <w:rPr>
                <w:rFonts w:ascii="Candara" w:hAnsi="Candara"/>
                <w:sz w:val="20"/>
                <w:szCs w:val="20"/>
              </w:rPr>
              <w:t>198</w:t>
            </w:r>
          </w:p>
        </w:tc>
        <w:tc>
          <w:tcPr>
            <w:tcW w:w="1337" w:type="dxa"/>
          </w:tcPr>
          <w:p w:rsidR="006A6349" w:rsidRPr="00D53AE5" w:rsidP="00175ACF" w14:paraId="40656243" w14:textId="77777777">
            <w:pPr>
              <w:jc w:val="center"/>
              <w:rPr>
                <w:rFonts w:ascii="Candara" w:hAnsi="Candara"/>
                <w:sz w:val="20"/>
                <w:szCs w:val="20"/>
              </w:rPr>
            </w:pPr>
            <w:r w:rsidRPr="00D53AE5">
              <w:rPr>
                <w:rFonts w:ascii="Candara" w:hAnsi="Candara"/>
                <w:sz w:val="20"/>
                <w:szCs w:val="20"/>
              </w:rPr>
              <w:t>150</w:t>
            </w:r>
          </w:p>
        </w:tc>
      </w:tr>
      <w:tr w14:paraId="1BB60726" w14:textId="77777777" w:rsidTr="00175ACF">
        <w:tblPrEx>
          <w:tblW w:w="9693" w:type="dxa"/>
          <w:tblLook w:val="04A0"/>
        </w:tblPrEx>
        <w:trPr>
          <w:trHeight w:val="315"/>
        </w:trPr>
        <w:tc>
          <w:tcPr>
            <w:tcW w:w="0" w:type="auto"/>
            <w:vMerge/>
            <w:hideMark/>
          </w:tcPr>
          <w:p w:rsidR="006A6349" w:rsidRPr="00D53AE5" w:rsidP="00175ACF" w14:paraId="5DC64CAD" w14:textId="77777777">
            <w:pPr>
              <w:rPr>
                <w:rFonts w:ascii="Candara" w:hAnsi="Candara" w:cs="Calibri"/>
                <w:sz w:val="20"/>
                <w:szCs w:val="20"/>
              </w:rPr>
            </w:pPr>
          </w:p>
        </w:tc>
        <w:tc>
          <w:tcPr>
            <w:tcW w:w="4551" w:type="dxa"/>
            <w:hideMark/>
          </w:tcPr>
          <w:p w:rsidR="006A6349" w:rsidRPr="00D53AE5" w:rsidP="00175ACF" w14:paraId="1B7876C5" w14:textId="77777777">
            <w:pPr>
              <w:rPr>
                <w:rFonts w:ascii="Candara" w:hAnsi="Candara"/>
                <w:sz w:val="20"/>
                <w:szCs w:val="20"/>
              </w:rPr>
            </w:pPr>
            <w:r w:rsidRPr="00D53AE5">
              <w:rPr>
                <w:rFonts w:ascii="Candara" w:hAnsi="Candara"/>
                <w:sz w:val="20"/>
                <w:szCs w:val="20"/>
              </w:rPr>
              <w:t>Projektu koordinatoru skaits</w:t>
            </w:r>
          </w:p>
        </w:tc>
        <w:tc>
          <w:tcPr>
            <w:tcW w:w="1337" w:type="dxa"/>
            <w:hideMark/>
          </w:tcPr>
          <w:p w:rsidR="006A6349" w:rsidRPr="00D53AE5" w:rsidP="00175ACF" w14:paraId="777128F2" w14:textId="77777777">
            <w:pPr>
              <w:jc w:val="center"/>
              <w:rPr>
                <w:rFonts w:ascii="Candara" w:hAnsi="Candara"/>
                <w:b/>
                <w:sz w:val="20"/>
                <w:szCs w:val="20"/>
              </w:rPr>
            </w:pPr>
            <w:r w:rsidRPr="00D53AE5">
              <w:rPr>
                <w:rFonts w:ascii="Candara" w:hAnsi="Candara"/>
                <w:b/>
                <w:sz w:val="20"/>
                <w:szCs w:val="20"/>
              </w:rPr>
              <w:t>19</w:t>
            </w:r>
          </w:p>
        </w:tc>
        <w:tc>
          <w:tcPr>
            <w:tcW w:w="1337" w:type="dxa"/>
            <w:hideMark/>
          </w:tcPr>
          <w:p w:rsidR="006A6349" w:rsidRPr="00D53AE5" w:rsidP="00175ACF" w14:paraId="4B3CD3C2" w14:textId="77777777">
            <w:pPr>
              <w:jc w:val="center"/>
              <w:rPr>
                <w:rFonts w:ascii="Candara" w:hAnsi="Candara"/>
                <w:sz w:val="20"/>
                <w:szCs w:val="20"/>
              </w:rPr>
            </w:pPr>
            <w:r w:rsidRPr="00D53AE5">
              <w:rPr>
                <w:rFonts w:ascii="Candara" w:hAnsi="Candara"/>
                <w:sz w:val="20"/>
                <w:szCs w:val="20"/>
              </w:rPr>
              <w:t>67</w:t>
            </w:r>
          </w:p>
        </w:tc>
        <w:tc>
          <w:tcPr>
            <w:tcW w:w="1337" w:type="dxa"/>
            <w:hideMark/>
          </w:tcPr>
          <w:p w:rsidR="006A6349" w:rsidRPr="00D53AE5" w:rsidP="00175ACF" w14:paraId="77949F73" w14:textId="77777777">
            <w:pPr>
              <w:jc w:val="center"/>
              <w:rPr>
                <w:rFonts w:ascii="Candara" w:hAnsi="Candara"/>
                <w:sz w:val="20"/>
                <w:szCs w:val="20"/>
              </w:rPr>
            </w:pPr>
            <w:r w:rsidRPr="00D53AE5">
              <w:rPr>
                <w:rFonts w:ascii="Candara" w:hAnsi="Candara"/>
                <w:sz w:val="20"/>
                <w:szCs w:val="20"/>
              </w:rPr>
              <w:t>29</w:t>
            </w:r>
          </w:p>
        </w:tc>
      </w:tr>
      <w:tr w14:paraId="2401AF98" w14:textId="77777777" w:rsidTr="00175ACF">
        <w:tblPrEx>
          <w:tblW w:w="9693" w:type="dxa"/>
          <w:tblLook w:val="04A0"/>
        </w:tblPrEx>
        <w:trPr>
          <w:trHeight w:val="141"/>
        </w:trPr>
        <w:tc>
          <w:tcPr>
            <w:tcW w:w="0" w:type="auto"/>
            <w:vMerge/>
            <w:hideMark/>
          </w:tcPr>
          <w:p w:rsidR="006A6349" w:rsidRPr="00D53AE5" w:rsidP="00175ACF" w14:paraId="313D06C3" w14:textId="77777777">
            <w:pPr>
              <w:rPr>
                <w:rFonts w:ascii="Candara" w:hAnsi="Candara" w:cs="Calibri"/>
                <w:sz w:val="20"/>
                <w:szCs w:val="20"/>
              </w:rPr>
            </w:pPr>
          </w:p>
        </w:tc>
        <w:tc>
          <w:tcPr>
            <w:tcW w:w="4551" w:type="dxa"/>
            <w:hideMark/>
          </w:tcPr>
          <w:p w:rsidR="006A6349" w:rsidRPr="00D53AE5" w:rsidP="00175ACF" w14:paraId="0D392509" w14:textId="77777777">
            <w:pPr>
              <w:rPr>
                <w:rFonts w:ascii="Candara" w:hAnsi="Candara"/>
                <w:sz w:val="20"/>
                <w:szCs w:val="20"/>
              </w:rPr>
            </w:pPr>
            <w:r w:rsidRPr="00D53AE5">
              <w:rPr>
                <w:rFonts w:ascii="Candara" w:hAnsi="Candara"/>
                <w:sz w:val="20"/>
                <w:szCs w:val="20"/>
              </w:rPr>
              <w:t>Finansējums sekmīgajiem projektiem</w:t>
            </w:r>
          </w:p>
        </w:tc>
        <w:tc>
          <w:tcPr>
            <w:tcW w:w="1337" w:type="dxa"/>
            <w:hideMark/>
          </w:tcPr>
          <w:p w:rsidR="006A6349" w:rsidRPr="00D53AE5" w:rsidP="00175ACF" w14:paraId="644E749A" w14:textId="77777777">
            <w:pPr>
              <w:jc w:val="center"/>
              <w:rPr>
                <w:rFonts w:ascii="Candara" w:hAnsi="Candara"/>
                <w:b/>
                <w:sz w:val="20"/>
                <w:szCs w:val="20"/>
              </w:rPr>
            </w:pPr>
            <w:r w:rsidRPr="00D53AE5">
              <w:rPr>
                <w:rFonts w:ascii="Candara" w:hAnsi="Candara"/>
                <w:b/>
                <w:sz w:val="20"/>
                <w:szCs w:val="20"/>
              </w:rPr>
              <w:t>35,22 milj.€</w:t>
            </w:r>
          </w:p>
        </w:tc>
        <w:tc>
          <w:tcPr>
            <w:tcW w:w="1337" w:type="dxa"/>
            <w:hideMark/>
          </w:tcPr>
          <w:p w:rsidR="006A6349" w:rsidRPr="00D53AE5" w:rsidP="00175ACF" w14:paraId="30DC29D6" w14:textId="77777777">
            <w:pPr>
              <w:jc w:val="center"/>
              <w:rPr>
                <w:rFonts w:ascii="Candara" w:hAnsi="Candara"/>
                <w:sz w:val="20"/>
                <w:szCs w:val="20"/>
              </w:rPr>
            </w:pPr>
            <w:r w:rsidRPr="00D53AE5">
              <w:rPr>
                <w:rFonts w:ascii="Candara" w:hAnsi="Candara"/>
                <w:sz w:val="20"/>
                <w:szCs w:val="20"/>
              </w:rPr>
              <w:t>66,25 milj.€</w:t>
            </w:r>
          </w:p>
        </w:tc>
        <w:tc>
          <w:tcPr>
            <w:tcW w:w="1337" w:type="dxa"/>
            <w:hideMark/>
          </w:tcPr>
          <w:p w:rsidR="006A6349" w:rsidRPr="00D53AE5" w:rsidP="00175ACF" w14:paraId="093DD42E" w14:textId="77777777">
            <w:pPr>
              <w:jc w:val="center"/>
              <w:rPr>
                <w:rFonts w:ascii="Candara" w:hAnsi="Candara"/>
                <w:sz w:val="20"/>
                <w:szCs w:val="20"/>
              </w:rPr>
            </w:pPr>
            <w:r w:rsidRPr="00D53AE5">
              <w:rPr>
                <w:rFonts w:ascii="Candara" w:hAnsi="Candara"/>
                <w:sz w:val="20"/>
                <w:szCs w:val="20"/>
              </w:rPr>
              <w:t>21,18 milj.€</w:t>
            </w:r>
          </w:p>
        </w:tc>
      </w:tr>
      <w:tr w14:paraId="69D0B103" w14:textId="77777777" w:rsidTr="00175ACF">
        <w:tblPrEx>
          <w:tblW w:w="9693" w:type="dxa"/>
          <w:tblLook w:val="04A0"/>
        </w:tblPrEx>
        <w:trPr>
          <w:trHeight w:val="299"/>
        </w:trPr>
        <w:tc>
          <w:tcPr>
            <w:tcW w:w="0" w:type="auto"/>
            <w:vMerge/>
            <w:hideMark/>
          </w:tcPr>
          <w:p w:rsidR="006A6349" w:rsidRPr="00D53AE5" w:rsidP="00175ACF" w14:paraId="6FBA2D9D" w14:textId="77777777">
            <w:pPr>
              <w:rPr>
                <w:rFonts w:ascii="Candara" w:hAnsi="Candara" w:cs="Calibri"/>
                <w:sz w:val="20"/>
                <w:szCs w:val="20"/>
              </w:rPr>
            </w:pPr>
          </w:p>
        </w:tc>
        <w:tc>
          <w:tcPr>
            <w:tcW w:w="4551" w:type="dxa"/>
            <w:hideMark/>
          </w:tcPr>
          <w:p w:rsidR="006A6349" w:rsidRPr="00D53AE5" w:rsidP="00175ACF" w14:paraId="5474C03E" w14:textId="77777777">
            <w:pPr>
              <w:rPr>
                <w:rFonts w:ascii="Candara" w:hAnsi="Candara"/>
                <w:sz w:val="20"/>
                <w:szCs w:val="20"/>
              </w:rPr>
            </w:pPr>
            <w:r w:rsidRPr="00D53AE5">
              <w:rPr>
                <w:rFonts w:ascii="Candara" w:hAnsi="Candara"/>
                <w:sz w:val="20"/>
                <w:szCs w:val="20"/>
              </w:rPr>
              <w:t>Sekmības līmenis</w:t>
            </w:r>
          </w:p>
        </w:tc>
        <w:tc>
          <w:tcPr>
            <w:tcW w:w="1337" w:type="dxa"/>
            <w:hideMark/>
          </w:tcPr>
          <w:p w:rsidR="006A6349" w:rsidRPr="00D53AE5" w:rsidP="00175ACF" w14:paraId="1DFFED0E" w14:textId="77777777">
            <w:pPr>
              <w:jc w:val="center"/>
              <w:rPr>
                <w:rFonts w:ascii="Candara" w:hAnsi="Candara"/>
                <w:b/>
                <w:sz w:val="20"/>
                <w:szCs w:val="20"/>
              </w:rPr>
            </w:pPr>
            <w:r w:rsidRPr="00D53AE5">
              <w:rPr>
                <w:rFonts w:ascii="Candara" w:hAnsi="Candara"/>
                <w:b/>
                <w:sz w:val="20"/>
                <w:szCs w:val="20"/>
              </w:rPr>
              <w:t>12,57%</w:t>
            </w:r>
          </w:p>
        </w:tc>
        <w:tc>
          <w:tcPr>
            <w:tcW w:w="1337" w:type="dxa"/>
            <w:hideMark/>
          </w:tcPr>
          <w:p w:rsidR="006A6349" w:rsidRPr="00D53AE5" w:rsidP="00175ACF" w14:paraId="7E360674" w14:textId="77777777">
            <w:pPr>
              <w:jc w:val="center"/>
              <w:rPr>
                <w:rFonts w:ascii="Candara" w:hAnsi="Candara"/>
                <w:sz w:val="20"/>
                <w:szCs w:val="20"/>
              </w:rPr>
            </w:pPr>
            <w:r w:rsidRPr="00D53AE5">
              <w:rPr>
                <w:rFonts w:ascii="Candara" w:hAnsi="Candara"/>
                <w:sz w:val="20"/>
                <w:szCs w:val="20"/>
              </w:rPr>
              <w:t>12,03%</w:t>
            </w:r>
          </w:p>
        </w:tc>
        <w:tc>
          <w:tcPr>
            <w:tcW w:w="1337" w:type="dxa"/>
            <w:hideMark/>
          </w:tcPr>
          <w:p w:rsidR="006A6349" w:rsidRPr="00D53AE5" w:rsidP="00175ACF" w14:paraId="79A27E35" w14:textId="77777777">
            <w:pPr>
              <w:jc w:val="center"/>
              <w:rPr>
                <w:rFonts w:ascii="Candara" w:hAnsi="Candara"/>
                <w:sz w:val="20"/>
                <w:szCs w:val="20"/>
              </w:rPr>
            </w:pPr>
            <w:r w:rsidRPr="00D53AE5">
              <w:rPr>
                <w:rFonts w:ascii="Candara" w:hAnsi="Candara"/>
                <w:sz w:val="20"/>
                <w:szCs w:val="20"/>
              </w:rPr>
              <w:t>12,15%</w:t>
            </w:r>
          </w:p>
        </w:tc>
      </w:tr>
    </w:tbl>
    <w:p w:rsidR="006A6349" w:rsidP="006A6349" w14:paraId="0623A060" w14:textId="77777777">
      <w:pPr>
        <w:spacing w:after="0"/>
        <w:jc w:val="both"/>
        <w:rPr>
          <w:rFonts w:ascii="Candara" w:hAnsi="Candara"/>
          <w:sz w:val="20"/>
          <w:szCs w:val="20"/>
        </w:rPr>
      </w:pPr>
      <w:r w:rsidRPr="00F338A0">
        <w:rPr>
          <w:rFonts w:ascii="Candara" w:hAnsi="Candara"/>
          <w:sz w:val="20"/>
          <w:szCs w:val="20"/>
        </w:rPr>
        <w:t>* dati uz 2017. gada 28. februāri</w:t>
      </w:r>
    </w:p>
    <w:p w:rsidR="00B921B8" w:rsidRPr="007713D8" w:rsidP="00B921B8" w14:paraId="1FCC4603" w14:textId="77777777">
      <w:pPr>
        <w:spacing w:after="0"/>
        <w:jc w:val="both"/>
        <w:rPr>
          <w:rFonts w:ascii="Candara" w:hAnsi="Candara"/>
          <w:color w:val="000000"/>
        </w:rPr>
      </w:pPr>
    </w:p>
    <w:p w:rsidR="002D2715" w:rsidRPr="006062C2" w:rsidP="006062C2" w14:paraId="7AA6B156" w14:textId="77777777">
      <w:pPr>
        <w:spacing w:after="0"/>
        <w:jc w:val="both"/>
        <w:rPr>
          <w:rFonts w:ascii="Candara" w:hAnsi="Candara"/>
          <w:b/>
          <w:color w:val="000000"/>
        </w:rPr>
      </w:pPr>
      <w:r w:rsidRPr="007713D8">
        <w:rPr>
          <w:rFonts w:ascii="Candara" w:hAnsi="Candara"/>
          <w:b/>
          <w:color w:val="000000"/>
        </w:rPr>
        <w:t>Zinātniskie raksti, kas publicēti starptautiskās datu bāzēs indeksētos žurnālos (</w:t>
      </w:r>
      <w:r w:rsidRPr="007713D8">
        <w:rPr>
          <w:rFonts w:ascii="Candara" w:hAnsi="Candara"/>
          <w:b/>
          <w:i/>
          <w:color w:val="000000"/>
        </w:rPr>
        <w:t>Scopus, Web of Science</w:t>
      </w:r>
      <w:r w:rsidR="006062C2">
        <w:rPr>
          <w:rFonts w:ascii="Candara" w:hAnsi="Candara"/>
          <w:b/>
          <w:color w:val="000000"/>
        </w:rPr>
        <w:t>)</w:t>
      </w:r>
    </w:p>
    <w:p w:rsidR="00860A6B" w:rsidRPr="00CC788F" w:rsidP="009F2C2C" w14:paraId="67EE1EAF" w14:textId="77777777">
      <w:pPr>
        <w:spacing w:after="0"/>
        <w:ind w:firstLine="426"/>
        <w:jc w:val="both"/>
      </w:pPr>
      <w:r w:rsidRPr="007713D8">
        <w:rPr>
          <w:rFonts w:ascii="Candara" w:hAnsi="Candara"/>
        </w:rPr>
        <w:t>Zinātnes bāzes finansējuma aprēķināšanā kā viens no rezultatīvajiem rādītājiem ir noteikts zinātniskās institūcijas zinātniskā personāla iepriekšējos trijos finansēšanas periodos Web of Science vai SCOPUS datubāzēs iekļautajos izdevumos publicētie oriģinālie zinātniskie raksti (bez šīm publikācijām šajā rādītājā ir ņemtas vērā publicētās recenzētās zinātniskās monogrāfijas un ārvalstīs spēkā uzturētais vai reģistrētais intelektuālais īpašums).</w:t>
      </w:r>
      <w:r w:rsidR="00CC788F">
        <w:t xml:space="preserve"> </w:t>
      </w:r>
      <w:r>
        <w:rPr>
          <w:rFonts w:ascii="Candara" w:hAnsi="Candara"/>
        </w:rPr>
        <w:t>Bez tam,</w:t>
      </w:r>
      <w:r w:rsidRPr="007713D8">
        <w:rPr>
          <w:rFonts w:ascii="Candara" w:hAnsi="Candara"/>
        </w:rPr>
        <w:t xml:space="preserve"> zinātnes bāzes finansējuma noteikumi nosaka to, ka Izglītības un zinātnes ministrija nodrošina zinātniskajām institūcijām pieeju minētajām datubāzēm.</w:t>
      </w:r>
    </w:p>
    <w:p w:rsidR="009524A9" w:rsidP="009F2C2C" w14:paraId="351C15E3" w14:textId="77777777">
      <w:pPr>
        <w:spacing w:after="0"/>
        <w:ind w:firstLine="426"/>
        <w:jc w:val="both"/>
        <w:rPr>
          <w:rFonts w:ascii="Candara" w:hAnsi="Candara"/>
          <w:color w:val="000000"/>
        </w:rPr>
      </w:pPr>
      <w:r w:rsidRPr="00926349">
        <w:rPr>
          <w:rFonts w:ascii="Candara" w:hAnsi="Candara"/>
          <w:color w:val="000000"/>
        </w:rPr>
        <w:t>Valsts pētījumu programmu īstenot</w:t>
      </w:r>
      <w:r w:rsidR="003C0B5F">
        <w:rPr>
          <w:rFonts w:ascii="Candara" w:hAnsi="Candara"/>
          <w:color w:val="000000"/>
        </w:rPr>
        <w:t>o</w:t>
      </w:r>
      <w:r w:rsidRPr="00926349">
        <w:rPr>
          <w:rFonts w:ascii="Candara" w:hAnsi="Candara"/>
          <w:color w:val="000000"/>
        </w:rPr>
        <w:t xml:space="preserve"> projekt</w:t>
      </w:r>
      <w:r w:rsidR="003C0B5F">
        <w:rPr>
          <w:rFonts w:ascii="Candara" w:hAnsi="Candara"/>
          <w:color w:val="000000"/>
        </w:rPr>
        <w:t>u</w:t>
      </w:r>
      <w:r w:rsidRPr="00926349">
        <w:rPr>
          <w:rFonts w:ascii="Candara" w:hAnsi="Candara"/>
          <w:color w:val="000000"/>
        </w:rPr>
        <w:t xml:space="preserve"> starp 2014. –</w:t>
      </w:r>
      <w:r>
        <w:rPr>
          <w:rFonts w:ascii="Candara" w:hAnsi="Candara"/>
          <w:color w:val="000000"/>
        </w:rPr>
        <w:t xml:space="preserve"> 2017.gadu iegūt</w:t>
      </w:r>
      <w:r w:rsidR="003C0B5F">
        <w:rPr>
          <w:rFonts w:ascii="Candara" w:hAnsi="Candara"/>
          <w:color w:val="000000"/>
        </w:rPr>
        <w:t>ajiem</w:t>
      </w:r>
      <w:r>
        <w:rPr>
          <w:rFonts w:ascii="Candara" w:hAnsi="Candara"/>
          <w:color w:val="000000"/>
        </w:rPr>
        <w:t xml:space="preserve"> zinātnisk</w:t>
      </w:r>
      <w:r w:rsidR="003C0B5F">
        <w:rPr>
          <w:rFonts w:ascii="Candara" w:hAnsi="Candara"/>
          <w:color w:val="000000"/>
        </w:rPr>
        <w:t xml:space="preserve">ajiem </w:t>
      </w:r>
      <w:r>
        <w:rPr>
          <w:rFonts w:ascii="Candara" w:hAnsi="Candara"/>
          <w:color w:val="000000"/>
        </w:rPr>
        <w:t>rezultāt</w:t>
      </w:r>
      <w:r w:rsidR="003C0B5F">
        <w:rPr>
          <w:rFonts w:ascii="Candara" w:hAnsi="Candara"/>
          <w:color w:val="000000"/>
        </w:rPr>
        <w:t>iem ir</w:t>
      </w:r>
      <w:r>
        <w:rPr>
          <w:rFonts w:ascii="Candara" w:hAnsi="Candara"/>
          <w:color w:val="000000"/>
        </w:rPr>
        <w:t xml:space="preserve"> ietekme uz Latvijas kopējo publikāciju skaitu </w:t>
      </w:r>
      <w:r w:rsidRPr="00710403">
        <w:rPr>
          <w:rFonts w:ascii="Candara" w:hAnsi="Candara"/>
          <w:i/>
          <w:color w:val="000000"/>
        </w:rPr>
        <w:t>Scopus</w:t>
      </w:r>
      <w:r>
        <w:rPr>
          <w:rFonts w:ascii="Candara" w:hAnsi="Candara"/>
          <w:color w:val="000000"/>
        </w:rPr>
        <w:t xml:space="preserve"> un </w:t>
      </w:r>
      <w:r w:rsidRPr="00710403">
        <w:rPr>
          <w:rFonts w:ascii="Candara" w:hAnsi="Candara"/>
          <w:i/>
          <w:color w:val="000000"/>
        </w:rPr>
        <w:t>Web of Science</w:t>
      </w:r>
      <w:r>
        <w:rPr>
          <w:rFonts w:ascii="Candara" w:hAnsi="Candara"/>
          <w:color w:val="000000"/>
        </w:rPr>
        <w:t xml:space="preserve"> datubāzēs, kopā šajos projektos sagatavojot </w:t>
      </w:r>
      <w:r w:rsidR="003C0B5F">
        <w:rPr>
          <w:rFonts w:ascii="Candara" w:hAnsi="Candara"/>
          <w:color w:val="000000"/>
        </w:rPr>
        <w:t xml:space="preserve">581 </w:t>
      </w:r>
      <w:r>
        <w:rPr>
          <w:rFonts w:ascii="Candara" w:hAnsi="Candara"/>
          <w:color w:val="000000"/>
        </w:rPr>
        <w:t xml:space="preserve">izdotu publikāciju šajās datubāzēs. </w:t>
      </w:r>
      <w:r w:rsidR="003C0B5F">
        <w:rPr>
          <w:rFonts w:ascii="Candara" w:hAnsi="Candara"/>
          <w:color w:val="000000"/>
        </w:rPr>
        <w:t>Līdzīga</w:t>
      </w:r>
      <w:r>
        <w:rPr>
          <w:rFonts w:ascii="Candara" w:hAnsi="Candara"/>
          <w:color w:val="000000"/>
        </w:rPr>
        <w:t xml:space="preserve"> situācija ir Fundamentālo un lietišķo pētījumu gadījumā, kuros kopējais publikāciju skaits pārsniedz 560.</w:t>
      </w:r>
    </w:p>
    <w:p w:rsidR="00B921B8" w:rsidP="009F2C2C" w14:paraId="1180780A" w14:textId="007E816E">
      <w:pPr>
        <w:spacing w:after="0"/>
        <w:ind w:firstLine="426"/>
        <w:jc w:val="both"/>
        <w:rPr>
          <w:rFonts w:ascii="Candara" w:hAnsi="Candara"/>
          <w:color w:val="000000"/>
        </w:rPr>
      </w:pPr>
      <w:r>
        <w:rPr>
          <w:rFonts w:ascii="Candara" w:hAnsi="Candara"/>
          <w:color w:val="000000"/>
        </w:rPr>
        <w:t>1.1.1.</w:t>
      </w:r>
      <w:r w:rsidR="00442B76">
        <w:rPr>
          <w:rFonts w:ascii="Candara" w:hAnsi="Candara"/>
          <w:color w:val="000000"/>
        </w:rPr>
        <w:t>SAM pētniecības projektu</w:t>
      </w:r>
      <w:r>
        <w:rPr>
          <w:rFonts w:ascii="Candara" w:hAnsi="Candara"/>
          <w:color w:val="000000"/>
        </w:rPr>
        <w:t xml:space="preserve"> ietvaros (1.1.1.1. un 1.1.1.2.</w:t>
      </w:r>
      <w:r w:rsidR="00442B76">
        <w:rPr>
          <w:rFonts w:ascii="Candara" w:hAnsi="Candara"/>
          <w:color w:val="000000"/>
        </w:rPr>
        <w:t xml:space="preserve">pasākums) kopumā plānots izdot  </w:t>
      </w:r>
      <w:r w:rsidR="00CA105F">
        <w:rPr>
          <w:rFonts w:ascii="Candara" w:hAnsi="Candara"/>
          <w:color w:val="000000"/>
        </w:rPr>
        <w:t>970 zinātniskos rakstus</w:t>
      </w:r>
      <w:r>
        <w:rPr>
          <w:rFonts w:ascii="Candara" w:hAnsi="Candara"/>
          <w:color w:val="000000"/>
        </w:rPr>
        <w:t>. 1.1.1.1.</w:t>
      </w:r>
      <w:r w:rsidR="00442B76">
        <w:rPr>
          <w:rFonts w:ascii="Candara" w:hAnsi="Candara"/>
          <w:color w:val="000000"/>
        </w:rPr>
        <w:t>pasākuma pirmās projektu iesniegumu atlases kārtas ietvaros</w:t>
      </w:r>
      <w:r w:rsidR="009524A9">
        <w:rPr>
          <w:rFonts w:ascii="Candara" w:hAnsi="Candara"/>
          <w:color w:val="000000"/>
        </w:rPr>
        <w:t xml:space="preserve"> kopumā plānots </w:t>
      </w:r>
      <w:r w:rsidR="00442B76">
        <w:rPr>
          <w:rFonts w:ascii="Candara" w:hAnsi="Candara"/>
          <w:color w:val="000000"/>
        </w:rPr>
        <w:t>izstrādāt</w:t>
      </w:r>
      <w:r w:rsidR="009524A9">
        <w:rPr>
          <w:rFonts w:ascii="Candara" w:hAnsi="Candara"/>
          <w:color w:val="000000"/>
        </w:rPr>
        <w:t xml:space="preserve">  </w:t>
      </w:r>
      <w:r w:rsidR="00BA0380">
        <w:rPr>
          <w:rFonts w:ascii="Candara" w:hAnsi="Candara"/>
          <w:color w:val="000000"/>
        </w:rPr>
        <w:t xml:space="preserve">482 </w:t>
      </w:r>
      <w:r w:rsidR="009524A9">
        <w:rPr>
          <w:rFonts w:ascii="Candara" w:hAnsi="Candara"/>
          <w:color w:val="000000"/>
        </w:rPr>
        <w:t>starptautiskās publikācijas, no kurām 270 plānots izdot žurnālos, kas publicēti Web Of Science un Scopus datu bāzēs, savukārt 195 – publicēšanai žurnālos vai konferenču rakstu krājumos, kuru citēšanas indekss sasniedz vismaz 50 procentus no noza</w:t>
      </w:r>
      <w:r w:rsidR="00442B76">
        <w:rPr>
          <w:rFonts w:ascii="Candara" w:hAnsi="Candara"/>
          <w:color w:val="000000"/>
        </w:rPr>
        <w:t xml:space="preserve">res vidējā citēšanas indeksa. Savukārt </w:t>
      </w:r>
      <w:r>
        <w:rPr>
          <w:rFonts w:ascii="Candara" w:hAnsi="Candara"/>
          <w:color w:val="000000"/>
        </w:rPr>
        <w:t>1.1.1.2.</w:t>
      </w:r>
      <w:r>
        <w:rPr>
          <w:rFonts w:ascii="Candara" w:hAnsi="Candara"/>
          <w:color w:val="000000"/>
        </w:rPr>
        <w:t>pasākumā</w:t>
      </w:r>
      <w:r w:rsidR="00442B76">
        <w:rPr>
          <w:rFonts w:ascii="Candara" w:hAnsi="Candara"/>
          <w:color w:val="000000"/>
        </w:rPr>
        <w:t xml:space="preserve"> </w:t>
      </w:r>
      <w:r w:rsidR="00CA105F">
        <w:rPr>
          <w:rFonts w:ascii="Candara" w:hAnsi="Candara"/>
          <w:color w:val="000000"/>
        </w:rPr>
        <w:t>plānoti 488 zinātniskie raksti</w:t>
      </w:r>
      <w:r w:rsidR="00442B76">
        <w:rPr>
          <w:rFonts w:ascii="Candara" w:hAnsi="Candara"/>
          <w:color w:val="000000"/>
        </w:rPr>
        <w:t>.</w:t>
      </w:r>
      <w:r>
        <w:rPr>
          <w:rFonts w:ascii="Candara" w:hAnsi="Candara"/>
          <w:color w:val="000000"/>
        </w:rPr>
        <w:t xml:space="preserve"> </w:t>
      </w:r>
    </w:p>
    <w:p w:rsidR="00CC788F" w:rsidRPr="00CC788F" w:rsidP="009F2C2C" w14:paraId="0889D18E" w14:textId="77777777">
      <w:pPr>
        <w:spacing w:after="0" w:line="240" w:lineRule="auto"/>
        <w:ind w:firstLine="426"/>
        <w:jc w:val="both"/>
        <w:rPr>
          <w:rFonts w:ascii="Candara" w:hAnsi="Candara"/>
        </w:rPr>
      </w:pPr>
      <w:r>
        <w:rPr>
          <w:rFonts w:ascii="Candara" w:hAnsi="Candara"/>
        </w:rPr>
        <w:t>1.2.1.1.</w:t>
      </w:r>
      <w:r>
        <w:rPr>
          <w:rFonts w:ascii="Candara" w:hAnsi="Candara"/>
        </w:rPr>
        <w:t>pasākuma ietvaros līdz 2016. gada beigām publicētas 9 k</w:t>
      </w:r>
      <w:r w:rsidRPr="002349E2">
        <w:rPr>
          <w:rFonts w:ascii="Candara" w:hAnsi="Candara"/>
        </w:rPr>
        <w:t>omersanta un zināšanu izplatīšanas organi</w:t>
      </w:r>
      <w:r>
        <w:rPr>
          <w:rFonts w:ascii="Candara" w:hAnsi="Candara"/>
        </w:rPr>
        <w:t>zācijas pētnieku koppublikācijas.</w:t>
      </w:r>
    </w:p>
    <w:p w:rsidR="002D2715" w:rsidP="00B921B8" w14:paraId="2A38F7B9" w14:textId="77777777">
      <w:pPr>
        <w:spacing w:after="0"/>
        <w:jc w:val="both"/>
        <w:rPr>
          <w:rFonts w:ascii="Candara" w:hAnsi="Candara"/>
          <w:color w:val="000000"/>
        </w:rPr>
      </w:pPr>
    </w:p>
    <w:p w:rsidR="002D2715" w:rsidRPr="002349E2" w:rsidP="002D2715" w14:paraId="66844474" w14:textId="77777777">
      <w:pPr>
        <w:spacing w:after="0"/>
        <w:rPr>
          <w:rFonts w:ascii="Candara" w:hAnsi="Candara"/>
          <w:b/>
        </w:rPr>
      </w:pPr>
      <w:r w:rsidRPr="002349E2">
        <w:rPr>
          <w:rFonts w:ascii="Candara" w:hAnsi="Candara"/>
          <w:b/>
        </w:rPr>
        <w:t>Apmācītie darbinieki</w:t>
      </w:r>
    </w:p>
    <w:p w:rsidR="00D0722B" w:rsidP="009F2C2C" w14:paraId="7B430495" w14:textId="77777777">
      <w:pPr>
        <w:spacing w:after="0"/>
        <w:ind w:firstLine="426"/>
        <w:jc w:val="both"/>
        <w:rPr>
          <w:rFonts w:ascii="Candara" w:hAnsi="Candara"/>
          <w:color w:val="000000"/>
        </w:rPr>
      </w:pPr>
      <w:r w:rsidRPr="007713D8">
        <w:rPr>
          <w:rFonts w:ascii="Candara" w:hAnsi="Candara"/>
        </w:rPr>
        <w:t xml:space="preserve">Attiecībā uz </w:t>
      </w:r>
      <w:r>
        <w:rPr>
          <w:rFonts w:ascii="Candara" w:hAnsi="Candara"/>
        </w:rPr>
        <w:t>apmācīto darbinieku skaitu,</w:t>
      </w:r>
      <w:r w:rsidRPr="007713D8">
        <w:rPr>
          <w:rFonts w:ascii="Candara" w:hAnsi="Candara"/>
        </w:rPr>
        <w:t xml:space="preserve"> ieguldījumu šim rādītājam snied</w:t>
      </w:r>
      <w:r>
        <w:rPr>
          <w:rFonts w:ascii="Candara" w:hAnsi="Candara"/>
        </w:rPr>
        <w:t xml:space="preserve">z </w:t>
      </w:r>
      <w:r>
        <w:rPr>
          <w:rFonts w:ascii="Candara" w:hAnsi="Candara"/>
          <w:color w:val="000000"/>
        </w:rPr>
        <w:t>Ministru Kabineta 2015.gada 27.oktobra noteikumos Nr.617</w:t>
      </w:r>
      <w:r w:rsidRPr="007713D8">
        <w:rPr>
          <w:rFonts w:ascii="Candara" w:hAnsi="Candara"/>
          <w:color w:val="000000"/>
        </w:rPr>
        <w:t xml:space="preserve"> “</w:t>
      </w:r>
      <w:r w:rsidRPr="00D1559D">
        <w:rPr>
          <w:rFonts w:ascii="Candara" w:hAnsi="Candara"/>
          <w:color w:val="000000"/>
        </w:rPr>
        <w:t>Darbības progra</w:t>
      </w:r>
      <w:r>
        <w:rPr>
          <w:rFonts w:ascii="Candara" w:hAnsi="Candara"/>
          <w:color w:val="000000"/>
        </w:rPr>
        <w:t>mmas “Izaugsme un nodarbinātība”</w:t>
      </w:r>
      <w:r w:rsidR="00625C7B">
        <w:rPr>
          <w:rFonts w:ascii="Candara" w:hAnsi="Candara"/>
          <w:color w:val="000000"/>
        </w:rPr>
        <w:t xml:space="preserve"> 1.2.2.</w:t>
      </w:r>
      <w:r w:rsidRPr="00D1559D">
        <w:rPr>
          <w:rFonts w:ascii="Candara" w:hAnsi="Candara"/>
          <w:color w:val="000000"/>
        </w:rPr>
        <w:t xml:space="preserve">specifiskā atbalsta mērķa "Veicināt inovāciju </w:t>
      </w:r>
      <w:r w:rsidR="00625C7B">
        <w:rPr>
          <w:rFonts w:ascii="Candara" w:hAnsi="Candara"/>
          <w:color w:val="000000"/>
        </w:rPr>
        <w:t>ieviešanu komersantos" 1.2.2.1.</w:t>
      </w:r>
      <w:r w:rsidRPr="00D1559D">
        <w:rPr>
          <w:rFonts w:ascii="Candara" w:hAnsi="Candara"/>
          <w:color w:val="000000"/>
        </w:rPr>
        <w:t xml:space="preserve">pasākuma "Atbalsts nodarbināto </w:t>
      </w:r>
      <w:r>
        <w:rPr>
          <w:rFonts w:ascii="Candara" w:hAnsi="Candara"/>
          <w:color w:val="000000"/>
        </w:rPr>
        <w:t>apmācībām”</w:t>
      </w:r>
      <w:r w:rsidRPr="00D1559D">
        <w:rPr>
          <w:rFonts w:ascii="Candara" w:hAnsi="Candara"/>
          <w:color w:val="000000"/>
        </w:rPr>
        <w:t xml:space="preserve"> pirmās projektu iesniegumu atlases kārtas īstenošanas noteikumi</w:t>
      </w:r>
      <w:r>
        <w:rPr>
          <w:rFonts w:ascii="Candara" w:hAnsi="Candara"/>
          <w:color w:val="000000"/>
        </w:rPr>
        <w:t>”</w:t>
      </w:r>
      <w:r w:rsidRPr="007713D8">
        <w:rPr>
          <w:rFonts w:ascii="Candara" w:hAnsi="Candara"/>
          <w:color w:val="000000"/>
        </w:rPr>
        <w:t xml:space="preserve">. </w:t>
      </w:r>
      <w:r w:rsidR="00625C7B">
        <w:rPr>
          <w:rFonts w:ascii="Candara" w:hAnsi="Candara"/>
          <w:color w:val="000000"/>
        </w:rPr>
        <w:t>1.2.2.1.</w:t>
      </w:r>
      <w:r>
        <w:rPr>
          <w:rFonts w:ascii="Candara" w:hAnsi="Candara"/>
          <w:color w:val="000000"/>
        </w:rPr>
        <w:t>pasākuma iet</w:t>
      </w:r>
      <w:r w:rsidR="00625C7B">
        <w:rPr>
          <w:rFonts w:ascii="Candara" w:hAnsi="Candara"/>
          <w:color w:val="000000"/>
        </w:rPr>
        <w:t>varos līdz 2017.</w:t>
      </w:r>
      <w:r>
        <w:rPr>
          <w:rFonts w:ascii="Candara" w:hAnsi="Candara"/>
          <w:color w:val="000000"/>
        </w:rPr>
        <w:t>gada maijam apmācībās iesaistīti 193 komersanti un apmācīti</w:t>
      </w:r>
      <w:r w:rsidRPr="002349E2">
        <w:rPr>
          <w:rFonts w:ascii="Candara" w:hAnsi="Candara"/>
          <w:color w:val="000000"/>
        </w:rPr>
        <w:t xml:space="preserve"> 2404 </w:t>
      </w:r>
      <w:r>
        <w:rPr>
          <w:rFonts w:ascii="Candara" w:hAnsi="Candara"/>
          <w:color w:val="000000"/>
        </w:rPr>
        <w:t xml:space="preserve">unikāli </w:t>
      </w:r>
      <w:r w:rsidRPr="002349E2">
        <w:rPr>
          <w:rFonts w:ascii="Candara" w:hAnsi="Candara"/>
          <w:color w:val="000000"/>
        </w:rPr>
        <w:t>darbinieki</w:t>
      </w:r>
      <w:r>
        <w:rPr>
          <w:rFonts w:ascii="Candara" w:hAnsi="Candara"/>
          <w:color w:val="000000"/>
        </w:rPr>
        <w:t>.</w:t>
      </w:r>
    </w:p>
    <w:p w:rsidR="00CC788F" w:rsidP="00B655BE" w14:paraId="5513BE4A" w14:textId="77777777">
      <w:pPr>
        <w:spacing w:after="0"/>
        <w:rPr>
          <w:rFonts w:ascii="Candara" w:hAnsi="Candara"/>
          <w:b/>
        </w:rPr>
      </w:pPr>
    </w:p>
    <w:p w:rsidR="00B655BE" w:rsidP="00B655BE" w14:paraId="717807F4" w14:textId="77777777">
      <w:pPr>
        <w:spacing w:after="0"/>
        <w:rPr>
          <w:rFonts w:ascii="Candara" w:hAnsi="Candara"/>
          <w:b/>
        </w:rPr>
      </w:pPr>
      <w:r w:rsidRPr="007713D8">
        <w:rPr>
          <w:rFonts w:ascii="Candara" w:hAnsi="Candara"/>
          <w:b/>
        </w:rPr>
        <w:t>P&amp;I projektos iesaistīto maģistrantu un doktorantu skaits</w:t>
      </w:r>
    </w:p>
    <w:p w:rsidR="00B921B8" w:rsidRPr="00B655BE" w:rsidP="009F2C2C" w14:paraId="24D60B23" w14:textId="77777777">
      <w:pPr>
        <w:spacing w:after="0"/>
        <w:ind w:firstLine="426"/>
        <w:jc w:val="both"/>
        <w:rPr>
          <w:rFonts w:ascii="Candara" w:hAnsi="Candara"/>
          <w:b/>
        </w:rPr>
      </w:pPr>
      <w:r>
        <w:rPr>
          <w:noProof/>
          <w:lang w:eastAsia="lv-LV"/>
        </w:rPr>
        <w:drawing>
          <wp:anchor distT="0" distB="0" distL="114300" distR="114300" simplePos="0" relativeHeight="251720704" behindDoc="1" locked="0" layoutInCell="1" allowOverlap="1">
            <wp:simplePos x="0" y="0"/>
            <wp:positionH relativeFrom="margin">
              <wp:posOffset>57150</wp:posOffset>
            </wp:positionH>
            <wp:positionV relativeFrom="paragraph">
              <wp:posOffset>-111125</wp:posOffset>
            </wp:positionV>
            <wp:extent cx="3276600" cy="2628900"/>
            <wp:effectExtent l="0" t="0" r="0" b="0"/>
            <wp:wrapTight wrapText="bothSides">
              <wp:wrapPolygon>
                <wp:start x="0" y="0"/>
                <wp:lineTo x="0" y="21443"/>
                <wp:lineTo x="21474" y="21443"/>
                <wp:lineTo x="21474" y="0"/>
                <wp:lineTo x="0" y="0"/>
              </wp:wrapPolygon>
            </wp:wrapTight>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Pr>
          <w:rFonts w:ascii="Candara" w:hAnsi="Candara"/>
        </w:rPr>
        <w:t xml:space="preserve">2015.gadā tika ieviests jauns augstākās izglītības finansēšanas modelis, </w:t>
      </w:r>
      <w:r w:rsidRPr="007713D8">
        <w:rPr>
          <w:rFonts w:ascii="Candara" w:hAnsi="Candara"/>
        </w:rPr>
        <w:t xml:space="preserve">kurš ir balstīts uz trim pīlāriem, no kuriem otrais paredz augstskolām finansējumu par sasniegtajiem </w:t>
      </w:r>
      <w:r w:rsidR="00C24755">
        <w:rPr>
          <w:rFonts w:ascii="Candara" w:hAnsi="Candara"/>
        </w:rPr>
        <w:t xml:space="preserve">rezultātiem. </w:t>
      </w:r>
      <w:r>
        <w:rPr>
          <w:rFonts w:ascii="Candara" w:hAnsi="Candara"/>
        </w:rPr>
        <w:t>Šis finansējums tika reglamentēts ar grozījumiem</w:t>
      </w:r>
      <w:r w:rsidRPr="007713D8">
        <w:rPr>
          <w:rFonts w:ascii="Candara" w:hAnsi="Candara"/>
        </w:rPr>
        <w:t xml:space="preserve"> Ministru kabineta 2006.gada 12.decembra noteikumos Nr. 994 "Kārtība, kādā augstskolas un koledžas tiek finansētas no valsts budžeta līdzekļiem" </w:t>
      </w:r>
      <w:r>
        <w:rPr>
          <w:rFonts w:ascii="Candara" w:hAnsi="Candara"/>
        </w:rPr>
        <w:t xml:space="preserve">17.3. apakšpunktā nosakot kritērijus pēc </w:t>
      </w:r>
      <w:r w:rsidRPr="007713D8">
        <w:rPr>
          <w:rFonts w:ascii="Candara" w:hAnsi="Candara"/>
        </w:rPr>
        <w:t>nosakot kritērijus pēc kuriem augstskolām tiek šis finansējums piešķirts (2015.gadā 5,5 milj. eiro apmērā, 2016. un 20</w:t>
      </w:r>
      <w:r w:rsidR="009F2C2C">
        <w:rPr>
          <w:rFonts w:ascii="Candara" w:hAnsi="Candara"/>
        </w:rPr>
        <w:t>17.gadā 6,5 milj. eiro apmērā).</w:t>
      </w:r>
    </w:p>
    <w:p w:rsidR="00B921B8" w:rsidP="009F2C2C" w14:paraId="4275FBFB" w14:textId="77777777">
      <w:pPr>
        <w:spacing w:after="0"/>
        <w:ind w:firstLine="426"/>
        <w:jc w:val="both"/>
        <w:rPr>
          <w:rFonts w:ascii="Candara" w:hAnsi="Candara"/>
        </w:rPr>
      </w:pPr>
      <w:r>
        <w:rPr>
          <w:noProof/>
          <w:lang w:eastAsia="lv-LV"/>
        </w:rPr>
        <w:drawing>
          <wp:anchor distT="0" distB="0" distL="114300" distR="114300" simplePos="0" relativeHeight="251721728" behindDoc="0" locked="0" layoutInCell="1" allowOverlap="1">
            <wp:simplePos x="0" y="0"/>
            <wp:positionH relativeFrom="margin">
              <wp:posOffset>3569970</wp:posOffset>
            </wp:positionH>
            <wp:positionV relativeFrom="paragraph">
              <wp:posOffset>386715</wp:posOffset>
            </wp:positionV>
            <wp:extent cx="2520000" cy="1980000"/>
            <wp:effectExtent l="0" t="0" r="0" b="1270"/>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Pr>
          <w:rFonts w:ascii="Candara" w:hAnsi="Candara"/>
        </w:rPr>
        <w:t>Kā viens no kritērijiem, pēc kuriem augstskolām tiek aprēķināts šis finansējums ir augstskolā</w:t>
      </w:r>
      <w:r w:rsidRPr="005A0A8A">
        <w:rPr>
          <w:rFonts w:ascii="Candara" w:hAnsi="Candara"/>
        </w:rPr>
        <w:t xml:space="preserve"> kā vadošie pētnieki, pētnieki un zinātniskie asistenti iepriekšējā gadā nodarbinātie maģistranti, doktoranti, kā arī pēdējo piecu gadu laikā doktora grādu ieguvušie jaunie zinātnieki pilna darba laika ekvivalenta </w:t>
      </w:r>
      <w:r>
        <w:rPr>
          <w:rFonts w:ascii="Candara" w:hAnsi="Candara"/>
        </w:rPr>
        <w:t>izteiksmē.</w:t>
      </w:r>
    </w:p>
    <w:p w:rsidR="00B921B8" w:rsidP="009F2C2C" w14:paraId="4350A3DA" w14:textId="77777777">
      <w:pPr>
        <w:spacing w:after="0"/>
        <w:ind w:firstLine="426"/>
        <w:jc w:val="both"/>
        <w:rPr>
          <w:rFonts w:ascii="Candara" w:hAnsi="Candara"/>
        </w:rPr>
      </w:pPr>
      <w:r>
        <w:rPr>
          <w:noProof/>
          <w:lang w:eastAsia="lv-LV"/>
        </w:rPr>
        <w:drawing>
          <wp:anchor distT="0" distB="0" distL="114300" distR="114300" simplePos="0" relativeHeight="251722752" behindDoc="0" locked="0" layoutInCell="1" allowOverlap="1">
            <wp:simplePos x="0" y="0"/>
            <wp:positionH relativeFrom="margin">
              <wp:posOffset>3598545</wp:posOffset>
            </wp:positionH>
            <wp:positionV relativeFrom="paragraph">
              <wp:posOffset>1223645</wp:posOffset>
            </wp:positionV>
            <wp:extent cx="2520000" cy="1980000"/>
            <wp:effectExtent l="0" t="0" r="0" b="1270"/>
            <wp:wrapSquare wrapText="bothSides"/>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Pr>
          <w:rFonts w:ascii="Candara" w:hAnsi="Candara"/>
        </w:rPr>
        <w:t>Kopumā augstskolās starp 2014. un 2015.gadu tās ietvaros nodarbināto jauno pētnieku skaits ir palielinājies no 307 PLE līdz 397 PLE, jeb par 29 %  šo pētnieku skaitam pieaugot lielākajā daļā augstskolu</w:t>
      </w:r>
      <w:r w:rsidR="00A65B70">
        <w:rPr>
          <w:rFonts w:ascii="Candara" w:hAnsi="Candara"/>
        </w:rPr>
        <w:t xml:space="preserve"> (44</w:t>
      </w:r>
      <w:r w:rsidR="00E5585A">
        <w:rPr>
          <w:rFonts w:ascii="Candara" w:hAnsi="Candara"/>
        </w:rPr>
        <w:t>.atēls)</w:t>
      </w:r>
      <w:r>
        <w:rPr>
          <w:rFonts w:ascii="Candara" w:hAnsi="Candara"/>
        </w:rPr>
        <w:t>. Iemesls jauno pētnieku skaita pieaugumam ir saistīts gan ar 2.pīlāra snieguma finansējuma atbalstītajiem rādītājiem, gan, saistībā ar to, ka 2015.gadā tika īstenota ES</w:t>
      </w:r>
      <w:r w:rsidR="00CD3156">
        <w:rPr>
          <w:rFonts w:ascii="Candara" w:hAnsi="Candara"/>
        </w:rPr>
        <w:t xml:space="preserve"> struktūrfondu</w:t>
      </w:r>
      <w:r w:rsidRPr="00FE2DFC">
        <w:rPr>
          <w:rFonts w:ascii="Candara" w:hAnsi="Candara"/>
        </w:rPr>
        <w:t xml:space="preserve"> darbības programmas "Uzņēmējdarbība un inovācijas" 2.1.1.pasākuma "Zinātne, pētniecība un attīst</w:t>
      </w:r>
      <w:r w:rsidR="00625C7B">
        <w:rPr>
          <w:rFonts w:ascii="Candara" w:hAnsi="Candara"/>
        </w:rPr>
        <w:t>ība" 2.1.1.3.3.</w:t>
      </w:r>
      <w:r>
        <w:rPr>
          <w:rFonts w:ascii="Candara" w:hAnsi="Candara"/>
        </w:rPr>
        <w:t>apakšaktivitāte “</w:t>
      </w:r>
      <w:r w:rsidRPr="00FE2DFC">
        <w:rPr>
          <w:rFonts w:ascii="Candara" w:hAnsi="Candara"/>
        </w:rPr>
        <w:t>Zinātnisko institūciju institucionālās kapacitātes attīstība</w:t>
      </w:r>
      <w:r>
        <w:rPr>
          <w:rFonts w:ascii="Candara" w:hAnsi="Candara"/>
        </w:rPr>
        <w:t>”, kuras ietvaros notika zinātnisko institūciju konsolidācija, kas skāra arī vairākas no augstskolām, kurām tādējādi palielinājās to zinātniskā kapacitāte.</w:t>
      </w:r>
    </w:p>
    <w:p w:rsidR="00B921B8" w:rsidP="009F2C2C" w14:paraId="07AAA99B" w14:textId="77777777">
      <w:pPr>
        <w:spacing w:after="0"/>
        <w:ind w:firstLine="426"/>
        <w:jc w:val="both"/>
        <w:rPr>
          <w:rFonts w:ascii="Candara" w:hAnsi="Candara"/>
        </w:rPr>
      </w:pPr>
      <w:r>
        <w:rPr>
          <w:rFonts w:ascii="Candara" w:hAnsi="Candara"/>
        </w:rPr>
        <w:t xml:space="preserve">Attiecībā par maģistrantu un doktorantu iesaisti P&amp;A ir papildus jāņem vērā šo studējošo skaita izmaiņu tendences. Gan maģistrantiem, gan doktorantiem imatrikulēto skaits pēdējos gados ir stabils, ar nelielu samazinājuma tendenci. Kopš 2011.gada </w:t>
      </w:r>
      <w:r w:rsidR="00E5585A">
        <w:rPr>
          <w:rFonts w:ascii="Candara" w:hAnsi="Candara"/>
        </w:rPr>
        <w:t xml:space="preserve">Latvijas augstskolās </w:t>
      </w:r>
      <w:r>
        <w:rPr>
          <w:rFonts w:ascii="Candara" w:hAnsi="Candara"/>
        </w:rPr>
        <w:t>imatrikulēto maģistrantu skaits ir samazinājies par 8,9 %</w:t>
      </w:r>
      <w:r w:rsidR="00A65B70">
        <w:rPr>
          <w:rFonts w:ascii="Candara" w:hAnsi="Candara"/>
        </w:rPr>
        <w:t xml:space="preserve"> (45</w:t>
      </w:r>
      <w:r w:rsidR="00E5585A">
        <w:rPr>
          <w:rFonts w:ascii="Candara" w:hAnsi="Candara"/>
        </w:rPr>
        <w:t>.attēls)</w:t>
      </w:r>
      <w:r>
        <w:rPr>
          <w:rFonts w:ascii="Candara" w:hAnsi="Candara"/>
        </w:rPr>
        <w:t xml:space="preserve"> un imatrikulēto doktorantu skaits par 5,7 %</w:t>
      </w:r>
      <w:r w:rsidR="00A65B70">
        <w:rPr>
          <w:rFonts w:ascii="Candara" w:hAnsi="Candara"/>
        </w:rPr>
        <w:t xml:space="preserve"> (46</w:t>
      </w:r>
      <w:r w:rsidR="00E5585A">
        <w:rPr>
          <w:rFonts w:ascii="Candara" w:hAnsi="Candara"/>
        </w:rPr>
        <w:t>.attēls)</w:t>
      </w:r>
      <w:r>
        <w:rPr>
          <w:rFonts w:ascii="Candara" w:hAnsi="Candara"/>
        </w:rPr>
        <w:t>.</w:t>
      </w:r>
    </w:p>
    <w:p w:rsidR="00B921B8" w:rsidP="009F2C2C" w14:paraId="393956C2" w14:textId="77777777">
      <w:pPr>
        <w:spacing w:after="0"/>
        <w:ind w:firstLine="426"/>
        <w:jc w:val="both"/>
        <w:rPr>
          <w:rFonts w:ascii="Candara" w:hAnsi="Candara"/>
        </w:rPr>
      </w:pPr>
      <w:r>
        <w:rPr>
          <w:noProof/>
          <w:lang w:eastAsia="lv-LV"/>
        </w:rPr>
        <w:drawing>
          <wp:anchor distT="0" distB="0" distL="114300" distR="114300" simplePos="0" relativeHeight="251723776" behindDoc="0" locked="0" layoutInCell="1" allowOverlap="1">
            <wp:simplePos x="0" y="0"/>
            <wp:positionH relativeFrom="margin">
              <wp:align>left</wp:align>
            </wp:positionH>
            <wp:positionV relativeFrom="paragraph">
              <wp:posOffset>5080</wp:posOffset>
            </wp:positionV>
            <wp:extent cx="2752725" cy="2124075"/>
            <wp:effectExtent l="0" t="0" r="0" b="0"/>
            <wp:wrapSquare wrapText="bothSides"/>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00625C7B">
        <w:rPr>
          <w:rFonts w:ascii="Candara" w:hAnsi="Candara"/>
        </w:rPr>
        <w:t>1.1.1.</w:t>
      </w:r>
      <w:r>
        <w:rPr>
          <w:rFonts w:ascii="Candara" w:hAnsi="Candara"/>
        </w:rPr>
        <w:t xml:space="preserve">SAM ietvaros nosacījums par maģistrantu un doktorantu iesaisti pētniecības projektu īstenošanā iestrādāts </w:t>
      </w:r>
      <w:r w:rsidR="00625C7B">
        <w:rPr>
          <w:rFonts w:ascii="Candara" w:hAnsi="Candara"/>
        </w:rPr>
        <w:t>1.1.1.1.</w:t>
      </w:r>
      <w:r>
        <w:rPr>
          <w:rFonts w:ascii="Candara" w:hAnsi="Candara"/>
        </w:rPr>
        <w:t>pasākuma ieviešanas nosacījumos. Sask</w:t>
      </w:r>
      <w:r w:rsidR="00625C7B">
        <w:rPr>
          <w:rFonts w:ascii="Candara" w:hAnsi="Candara"/>
        </w:rPr>
        <w:t>aņā ar plānoto, kopumā 1.1.1.1.</w:t>
      </w:r>
      <w:r>
        <w:rPr>
          <w:rFonts w:ascii="Candara" w:hAnsi="Candara"/>
        </w:rPr>
        <w:t>projektu īstenošanai tiks piesaistīti 148 maģistra un doktora studiju prog</w:t>
      </w:r>
      <w:r>
        <w:rPr>
          <w:rFonts w:ascii="Candara" w:hAnsi="Candara"/>
        </w:rPr>
        <w:t>rammās studējošie 63 PLE apmērā</w:t>
      </w:r>
      <w:r w:rsidR="00F0137C">
        <w:rPr>
          <w:rFonts w:ascii="Candara" w:hAnsi="Candara"/>
        </w:rPr>
        <w:t xml:space="preserve"> (4</w:t>
      </w:r>
      <w:r w:rsidR="00A65B70">
        <w:rPr>
          <w:rFonts w:ascii="Candara" w:hAnsi="Candara"/>
        </w:rPr>
        <w:t>7</w:t>
      </w:r>
      <w:r w:rsidR="00E5585A">
        <w:rPr>
          <w:rFonts w:ascii="Candara" w:hAnsi="Candara"/>
        </w:rPr>
        <w:t>.attēls)</w:t>
      </w:r>
      <w:r>
        <w:rPr>
          <w:rFonts w:ascii="Candara" w:hAnsi="Candara"/>
        </w:rPr>
        <w:t>.</w:t>
      </w:r>
    </w:p>
    <w:p w:rsidR="00B921B8" w:rsidP="00B921B8" w14:paraId="67C213D6" w14:textId="77777777">
      <w:pPr>
        <w:spacing w:after="0"/>
        <w:jc w:val="both"/>
        <w:rPr>
          <w:rFonts w:ascii="Candara" w:hAnsi="Candara"/>
        </w:rPr>
      </w:pPr>
    </w:p>
    <w:p w:rsidR="00B921B8" w:rsidP="00B921B8" w14:paraId="1B7FDDE6" w14:textId="77777777">
      <w:pPr>
        <w:spacing w:after="0"/>
        <w:jc w:val="right"/>
        <w:rPr>
          <w:rFonts w:ascii="Candara" w:hAnsi="Candara"/>
        </w:rPr>
      </w:pPr>
    </w:p>
    <w:p w:rsidR="00834F00" w:rsidP="00B921B8" w14:paraId="13707C47" w14:textId="77777777">
      <w:pPr>
        <w:spacing w:after="0"/>
        <w:jc w:val="right"/>
        <w:rPr>
          <w:rFonts w:ascii="Candara" w:hAnsi="Candara"/>
        </w:rPr>
      </w:pPr>
    </w:p>
    <w:p w:rsidR="00834F00" w:rsidP="00B921B8" w14:paraId="5D5C5A5A" w14:textId="77777777">
      <w:pPr>
        <w:spacing w:after="0"/>
        <w:jc w:val="right"/>
        <w:rPr>
          <w:rFonts w:ascii="Candara" w:hAnsi="Candara"/>
        </w:rPr>
      </w:pPr>
    </w:p>
    <w:p w:rsidR="00B921B8" w:rsidP="00B921B8" w14:paraId="3B030F21" w14:textId="77777777">
      <w:pPr>
        <w:spacing w:after="0"/>
        <w:jc w:val="right"/>
        <w:rPr>
          <w:rFonts w:ascii="Candara" w:hAnsi="Candara"/>
        </w:rPr>
      </w:pPr>
    </w:p>
    <w:p w:rsidR="00CC788F" w:rsidP="00BA0380" w14:paraId="7F68360F" w14:textId="77777777">
      <w:pPr>
        <w:rPr>
          <w:rFonts w:ascii="Candara" w:eastAsia="Candara" w:hAnsi="Candara" w:cs="Candara"/>
          <w:b/>
          <w:sz w:val="24"/>
          <w:szCs w:val="24"/>
        </w:rPr>
      </w:pPr>
      <w:r>
        <w:rPr>
          <w:rFonts w:ascii="Candara" w:eastAsia="Candara" w:hAnsi="Candara" w:cs="Candara"/>
          <w:b/>
          <w:sz w:val="24"/>
          <w:szCs w:val="24"/>
        </w:rPr>
        <w:t xml:space="preserve">9.2. </w:t>
      </w:r>
      <w:r>
        <w:rPr>
          <w:rFonts w:ascii="Candara" w:eastAsia="Candara" w:hAnsi="Candara" w:cs="Candara"/>
          <w:b/>
          <w:sz w:val="24"/>
          <w:szCs w:val="24"/>
        </w:rPr>
        <w:t>RIS3 PROGRAMMU IEVIEŠANA</w:t>
      </w:r>
    </w:p>
    <w:p w:rsidR="00E06C6C" w:rsidRPr="00516C5D" w:rsidP="009F2C2C" w14:paraId="5BEECBD1" w14:textId="4AD08B1D">
      <w:pPr>
        <w:spacing w:after="120" w:line="240" w:lineRule="auto"/>
        <w:ind w:firstLine="426"/>
        <w:jc w:val="both"/>
        <w:rPr>
          <w:rFonts w:ascii="Candara" w:eastAsia="Candara" w:hAnsi="Candara" w:cs="Candara"/>
        </w:rPr>
      </w:pPr>
      <w:r w:rsidRPr="00516C5D">
        <w:rPr>
          <w:rFonts w:ascii="Candara" w:eastAsia="Candara" w:hAnsi="Candara" w:cs="Candara"/>
        </w:rPr>
        <w:t xml:space="preserve">Laika posmā no 2015.gada līdz </w:t>
      </w:r>
      <w:r w:rsidRPr="00516C5D" w:rsidR="00CA105F">
        <w:rPr>
          <w:rFonts w:ascii="Candara" w:eastAsia="Candara" w:hAnsi="Candara" w:cs="Candara"/>
        </w:rPr>
        <w:t>201</w:t>
      </w:r>
      <w:r w:rsidR="00CA105F">
        <w:rPr>
          <w:rFonts w:ascii="Candara" w:eastAsia="Candara" w:hAnsi="Candara" w:cs="Candara"/>
        </w:rPr>
        <w:t>8</w:t>
      </w:r>
      <w:r w:rsidRPr="00516C5D">
        <w:rPr>
          <w:rFonts w:ascii="Candara" w:eastAsia="Candara" w:hAnsi="Candara" w:cs="Candara"/>
        </w:rPr>
        <w:t xml:space="preserve">.gadam (uz </w:t>
      </w:r>
      <w:r w:rsidR="00CA105F">
        <w:rPr>
          <w:rFonts w:ascii="Candara" w:eastAsia="Candara" w:hAnsi="Candara" w:cs="Candara"/>
        </w:rPr>
        <w:t>31.12</w:t>
      </w:r>
      <w:r w:rsidRPr="00516C5D">
        <w:rPr>
          <w:rFonts w:ascii="Candara" w:eastAsia="Candara" w:hAnsi="Candara" w:cs="Candara"/>
        </w:rPr>
        <w:t>.2017.) uzsākta virkne pasākumu īstenošana, kas sniedz ieguldījumu un nodrošina RIS3 monitoringa ietvaros izvirzīto virsmēŗku, makro līmeņa un mikro līmeņa rādītāju izpildi. Šīs aktivitātes aptver gan īpaši pielāgotus valsts atbalsta instrumentus (programmas), gan normatīvā ietvara izmaiņas, gan citus pasākumus, kas palīdz sasniegt ne vien RIS3 mērķus, bet arī ietekmē RIS3 virsuzdevuma īstenošanos – transformēt valsts ekonomiku par labu augstākas pievienotās vērtības radīšanai un efektīvākai resursu izmantošanai.</w:t>
      </w:r>
    </w:p>
    <w:p w:rsidR="00E06C6C" w:rsidRPr="00516C5D" w:rsidP="009F2C2C" w14:paraId="730E0031" w14:textId="77777777">
      <w:pPr>
        <w:spacing w:after="120" w:line="240" w:lineRule="auto"/>
        <w:ind w:firstLine="426"/>
        <w:jc w:val="both"/>
        <w:rPr>
          <w:rFonts w:ascii="Candara" w:eastAsia="Candara" w:hAnsi="Candara" w:cs="Candara"/>
        </w:rPr>
      </w:pPr>
      <w:r w:rsidRPr="00516C5D">
        <w:rPr>
          <w:rFonts w:ascii="Candara" w:eastAsia="Candara" w:hAnsi="Candara" w:cs="Candara"/>
        </w:rPr>
        <w:t>Kopumā ES fondu plānošanas periodā 2014.-2020.gadam EM pieejami 491,2 milj. euro ES (ERAF) fondu finansējuma inovācijas un MVU konkurētspējas stiprināšanai. Inovācijas atbalsta aktivitātēm kopumā pieejami 195,5 milj. euro ES fondu finansējuma, bet MVU konkurētspējas veicināšanai – 295,7 milj. euro.</w:t>
      </w:r>
      <w:r>
        <w:rPr>
          <w:rFonts w:ascii="Candara" w:eastAsia="Candara" w:hAnsi="Candara" w:cs="Candara"/>
        </w:rPr>
        <w:t xml:space="preserve"> IZM kā atbildīgā iestāde nodrošina 278,96 milj. euro (ERAF) investīciju ieguldījumu Latvijas zinātnisko institūciju pētnieciskās un inovatīvās kapacitātes paaugstināšanā un spējā piesaistīt ārējo finansējumu, ieguldot cilvēkresursos un infrastruktūrā. </w:t>
      </w:r>
    </w:p>
    <w:p w:rsidR="00E06C6C" w:rsidP="009F2C2C" w14:paraId="7B2A4DE2" w14:textId="77777777">
      <w:pPr>
        <w:pStyle w:val="NormalWeb"/>
        <w:spacing w:before="0" w:beforeAutospacing="0" w:after="120" w:afterAutospacing="0"/>
        <w:ind w:firstLine="426"/>
        <w:jc w:val="both"/>
        <w:rPr>
          <w:rFonts w:ascii="Candara" w:hAnsi="Candara"/>
          <w:bCs/>
          <w:color w:val="000000"/>
          <w:sz w:val="22"/>
          <w:szCs w:val="22"/>
        </w:rPr>
      </w:pPr>
      <w:r w:rsidRPr="00755D9F">
        <w:rPr>
          <w:rFonts w:ascii="Candara" w:hAnsi="Candara"/>
          <w:b/>
          <w:bCs/>
          <w:color w:val="000000"/>
          <w:sz w:val="22"/>
          <w:szCs w:val="22"/>
        </w:rPr>
        <w:t xml:space="preserve">Praktiskas ievirzes pētījumi. </w:t>
      </w:r>
      <w:r w:rsidRPr="00755D9F">
        <w:rPr>
          <w:rFonts w:ascii="Candara" w:hAnsi="Candara"/>
          <w:bCs/>
          <w:color w:val="000000"/>
          <w:sz w:val="22"/>
          <w:szCs w:val="22"/>
        </w:rPr>
        <w:t>2016. gada 12</w:t>
      </w:r>
      <w:r w:rsidR="00625C7B">
        <w:rPr>
          <w:rFonts w:ascii="Candara" w:hAnsi="Candara"/>
          <w:bCs/>
          <w:color w:val="000000"/>
          <w:sz w:val="22"/>
          <w:szCs w:val="22"/>
        </w:rPr>
        <w:t>. janvārī apstiprināti 1.1.1.1.</w:t>
      </w:r>
      <w:r w:rsidRPr="00755D9F">
        <w:rPr>
          <w:rFonts w:ascii="Candara" w:hAnsi="Candara"/>
          <w:bCs/>
          <w:color w:val="000000"/>
          <w:sz w:val="22"/>
          <w:szCs w:val="22"/>
        </w:rPr>
        <w:t xml:space="preserve">pasākuma “Praktiskas ievirzes pētījumi” </w:t>
      </w:r>
      <w:r w:rsidR="00625C7B">
        <w:rPr>
          <w:rFonts w:ascii="Candara" w:hAnsi="Candara"/>
          <w:bCs/>
          <w:color w:val="000000"/>
          <w:sz w:val="22"/>
          <w:szCs w:val="22"/>
        </w:rPr>
        <w:t>(turpmāk – 1.1.1.1.</w:t>
      </w:r>
      <w:r>
        <w:rPr>
          <w:rFonts w:ascii="Candara" w:hAnsi="Candara"/>
          <w:bCs/>
          <w:color w:val="000000"/>
          <w:sz w:val="22"/>
          <w:szCs w:val="22"/>
        </w:rPr>
        <w:t xml:space="preserve">pasākums) </w:t>
      </w:r>
      <w:r w:rsidRPr="00755D9F">
        <w:rPr>
          <w:rFonts w:ascii="Candara" w:hAnsi="Candara"/>
          <w:bCs/>
          <w:color w:val="000000"/>
          <w:sz w:val="22"/>
          <w:szCs w:val="22"/>
        </w:rPr>
        <w:t xml:space="preserve">regulējošie MK noteikumi un uzsākta </w:t>
      </w:r>
      <w:r w:rsidR="00625C7B">
        <w:rPr>
          <w:rFonts w:ascii="Candara" w:hAnsi="Candara"/>
          <w:bCs/>
          <w:color w:val="000000"/>
          <w:sz w:val="22"/>
          <w:szCs w:val="22"/>
        </w:rPr>
        <w:t>programmas īstenošana. 1.1.1.1.</w:t>
      </w:r>
      <w:r w:rsidRPr="00755D9F">
        <w:rPr>
          <w:rFonts w:ascii="Candara" w:hAnsi="Candara"/>
          <w:bCs/>
          <w:color w:val="000000"/>
          <w:sz w:val="22"/>
          <w:szCs w:val="22"/>
        </w:rPr>
        <w:t xml:space="preserve">pasākuma </w:t>
      </w:r>
      <w:r>
        <w:rPr>
          <w:rFonts w:ascii="Candara" w:hAnsi="Candara"/>
          <w:bCs/>
          <w:color w:val="000000"/>
          <w:sz w:val="22"/>
          <w:szCs w:val="22"/>
        </w:rPr>
        <w:t>kopējais līdz 2023. gadam pieejamais</w:t>
      </w:r>
      <w:r w:rsidR="00625C7B">
        <w:rPr>
          <w:rFonts w:ascii="Candara" w:hAnsi="Candara"/>
          <w:bCs/>
          <w:color w:val="000000"/>
          <w:sz w:val="22"/>
          <w:szCs w:val="22"/>
        </w:rPr>
        <w:t xml:space="preserve"> publiskais finansējums ir 76,5 </w:t>
      </w:r>
      <w:r>
        <w:rPr>
          <w:rFonts w:ascii="Candara" w:hAnsi="Candara"/>
          <w:bCs/>
          <w:color w:val="000000"/>
          <w:sz w:val="22"/>
          <w:szCs w:val="22"/>
        </w:rPr>
        <w:t xml:space="preserve">MEUR (t.sk. ERAF 65 MEUR) un tā ir </w:t>
      </w:r>
      <w:r w:rsidRPr="00755D9F">
        <w:rPr>
          <w:rFonts w:ascii="Candara" w:hAnsi="Candara"/>
          <w:bCs/>
          <w:color w:val="000000"/>
          <w:sz w:val="22"/>
          <w:szCs w:val="22"/>
        </w:rPr>
        <w:t xml:space="preserve">mērķis ir atbalstīt pētniecību, kas sniedz ieguldījumu Latvijas Viedās specializācijas stratēģijas mērķu sasniegšanā, zinātnes un tehnoloģiju cilvēkkapitāla attīstībā un jaunu zināšanu radīšanā tautsaimniecības konkurētspējas uzlabošanai. </w:t>
      </w:r>
      <w:r>
        <w:rPr>
          <w:rFonts w:ascii="Candara" w:hAnsi="Candara"/>
          <w:bCs/>
          <w:color w:val="000000"/>
          <w:sz w:val="22"/>
          <w:szCs w:val="22"/>
        </w:rPr>
        <w:t xml:space="preserve">Pasākuma </w:t>
      </w:r>
      <w:r>
        <w:rPr>
          <w:rFonts w:ascii="Candara" w:hAnsi="Candara"/>
          <w:bCs/>
          <w:color w:val="000000"/>
          <w:sz w:val="22"/>
          <w:szCs w:val="22"/>
        </w:rPr>
        <w:t>ietvaros tiek sniegts atbalsts zinātnisko institūciju vai komersantu individuāli vai partnerībā īstenotiem praktiskas ievirzes pētījumiem inovatīvu risinājumu izstrādei praktisku tautsaimniecības problēmu risināšanai, nodrošinot zināšanu pārnesi Latvijas viedās specializācijas jomās un fokusējot atbalstu uz pētniecības projektiem ar augstu komercializācijas potenciālu. Pasākuma ieviešanas nosacījumi paredz, ka projektu pieteikumu konkurss tiks organizēts vairākās kārtās, lai maksimāli izmantotu Latvijā pieejamo zinātnes infrastruktūru un cilvēkresursus un nodrošinātu sabalansētu investīciju ieguldījumu, tostarp nodrošinot iespēju institūcijām operatīvi sagatavot projektus tiklīdz rodas pieprasījums pēc izpētes un tehnoloģiskiem risinājumiem, kā arī pilnveidot noraidītos projektu iesniegumus un iesniegt tos atkārtoti tuvākajā konkursā. 2017. gada</w:t>
      </w:r>
      <w:r w:rsidR="00625C7B">
        <w:rPr>
          <w:rFonts w:ascii="Candara" w:hAnsi="Candara"/>
          <w:bCs/>
          <w:color w:val="000000"/>
          <w:sz w:val="22"/>
          <w:szCs w:val="22"/>
        </w:rPr>
        <w:t xml:space="preserve"> I ceturksnī noslēdzās 1.1.1.1.</w:t>
      </w:r>
      <w:r>
        <w:rPr>
          <w:rFonts w:ascii="Candara" w:hAnsi="Candara"/>
          <w:bCs/>
          <w:color w:val="000000"/>
          <w:sz w:val="22"/>
          <w:szCs w:val="22"/>
        </w:rPr>
        <w:t xml:space="preserve">pasākuma pirmā projektu iesniegumu atlases kārta un tās ietvaros īstenošanai atbalstīti </w:t>
      </w:r>
      <w:r w:rsidR="00BF4CEA">
        <w:rPr>
          <w:rFonts w:ascii="Candara" w:hAnsi="Candara"/>
          <w:bCs/>
          <w:color w:val="000000"/>
          <w:sz w:val="22"/>
          <w:szCs w:val="22"/>
        </w:rPr>
        <w:t xml:space="preserve">74 </w:t>
      </w:r>
      <w:r>
        <w:rPr>
          <w:rFonts w:ascii="Candara" w:hAnsi="Candara"/>
          <w:bCs/>
          <w:color w:val="000000"/>
          <w:sz w:val="22"/>
          <w:szCs w:val="22"/>
        </w:rPr>
        <w:t xml:space="preserve">pētniecības projekti ar kopējo finansējumu </w:t>
      </w:r>
      <w:r w:rsidR="00BF4CEA">
        <w:rPr>
          <w:rFonts w:ascii="Candara" w:hAnsi="Candara"/>
          <w:bCs/>
          <w:color w:val="000000"/>
          <w:sz w:val="22"/>
          <w:szCs w:val="22"/>
        </w:rPr>
        <w:t>44,2</w:t>
      </w:r>
      <w:r>
        <w:rPr>
          <w:rFonts w:ascii="Candara" w:hAnsi="Candara"/>
          <w:bCs/>
          <w:color w:val="000000"/>
          <w:sz w:val="22"/>
          <w:szCs w:val="22"/>
        </w:rPr>
        <w:t xml:space="preserve"> MEUR (no kuriem </w:t>
      </w:r>
      <w:r w:rsidR="00BF4CEA">
        <w:rPr>
          <w:rFonts w:ascii="Candara" w:hAnsi="Candara"/>
          <w:bCs/>
          <w:color w:val="000000"/>
          <w:sz w:val="22"/>
          <w:szCs w:val="22"/>
        </w:rPr>
        <w:t>39,77</w:t>
      </w:r>
      <w:r>
        <w:rPr>
          <w:rFonts w:ascii="Candara" w:hAnsi="Candara"/>
          <w:bCs/>
          <w:color w:val="000000"/>
          <w:sz w:val="22"/>
          <w:szCs w:val="22"/>
        </w:rPr>
        <w:t xml:space="preserve"> MEUR publiskais pro</w:t>
      </w:r>
      <w:r w:rsidR="00625C7B">
        <w:rPr>
          <w:rFonts w:ascii="Candara" w:hAnsi="Candara"/>
          <w:bCs/>
          <w:color w:val="000000"/>
          <w:sz w:val="22"/>
          <w:szCs w:val="22"/>
        </w:rPr>
        <w:t>grammas finansējums). 1.1.1.1.p</w:t>
      </w:r>
      <w:r>
        <w:rPr>
          <w:rFonts w:ascii="Candara" w:hAnsi="Candara"/>
          <w:bCs/>
          <w:color w:val="000000"/>
          <w:sz w:val="22"/>
          <w:szCs w:val="22"/>
        </w:rPr>
        <w:t xml:space="preserve">asākuma pirmās atlases kārtas ietvaros apjomīgākās investīcijas paredzētas pētījumu īstenošanai </w:t>
      </w:r>
      <w:r w:rsidR="00D55166">
        <w:rPr>
          <w:rFonts w:ascii="Candara" w:hAnsi="Candara"/>
          <w:bCs/>
          <w:color w:val="000000"/>
          <w:sz w:val="22"/>
          <w:szCs w:val="22"/>
        </w:rPr>
        <w:t xml:space="preserve">RIS3 </w:t>
      </w:r>
      <w:r>
        <w:rPr>
          <w:rFonts w:ascii="Candara" w:hAnsi="Candara"/>
          <w:bCs/>
          <w:color w:val="000000"/>
          <w:sz w:val="22"/>
          <w:szCs w:val="22"/>
        </w:rPr>
        <w:t xml:space="preserve">specializācijas jomās “Viedie materiāli, tehnoloģijas un inženiersistēmas” – ieguldot </w:t>
      </w:r>
      <w:r w:rsidR="00B34442">
        <w:rPr>
          <w:rFonts w:ascii="Candara" w:hAnsi="Candara"/>
          <w:bCs/>
          <w:color w:val="000000"/>
          <w:sz w:val="22"/>
          <w:szCs w:val="22"/>
        </w:rPr>
        <w:t>16,99</w:t>
      </w:r>
      <w:r>
        <w:rPr>
          <w:rFonts w:ascii="Candara" w:hAnsi="Candara"/>
          <w:bCs/>
          <w:color w:val="000000"/>
          <w:sz w:val="22"/>
          <w:szCs w:val="22"/>
        </w:rPr>
        <w:t xml:space="preserve"> MEUR un “Biomedicīna, medicīnas tehnoloģijas, biofarmācija un biotehnoloģijas” – ieguldot 13,</w:t>
      </w:r>
      <w:r w:rsidR="00B34442">
        <w:rPr>
          <w:rFonts w:ascii="Candara" w:hAnsi="Candara"/>
          <w:bCs/>
          <w:color w:val="000000"/>
          <w:sz w:val="22"/>
          <w:szCs w:val="22"/>
        </w:rPr>
        <w:t xml:space="preserve">66 </w:t>
      </w:r>
      <w:r>
        <w:rPr>
          <w:rFonts w:ascii="Candara" w:hAnsi="Candara"/>
          <w:bCs/>
          <w:color w:val="000000"/>
          <w:sz w:val="22"/>
          <w:szCs w:val="22"/>
        </w:rPr>
        <w:t>MEUR (</w:t>
      </w:r>
      <w:r w:rsidR="00F0137C">
        <w:rPr>
          <w:rFonts w:ascii="Candara" w:hAnsi="Candara"/>
          <w:bCs/>
          <w:color w:val="000000"/>
          <w:sz w:val="22"/>
          <w:szCs w:val="22"/>
        </w:rPr>
        <w:t>4</w:t>
      </w:r>
      <w:r w:rsidR="00A65B70">
        <w:rPr>
          <w:rFonts w:ascii="Candara" w:hAnsi="Candara"/>
          <w:bCs/>
          <w:color w:val="000000"/>
          <w:sz w:val="22"/>
          <w:szCs w:val="22"/>
        </w:rPr>
        <w:t>8</w:t>
      </w:r>
      <w:r w:rsidR="00822D84">
        <w:rPr>
          <w:rFonts w:ascii="Candara" w:hAnsi="Candara"/>
          <w:bCs/>
          <w:color w:val="000000"/>
          <w:sz w:val="22"/>
          <w:szCs w:val="22"/>
        </w:rPr>
        <w:t>.attēls</w:t>
      </w:r>
      <w:r>
        <w:rPr>
          <w:rFonts w:ascii="Candara" w:hAnsi="Candara"/>
          <w:bCs/>
          <w:color w:val="000000"/>
          <w:sz w:val="22"/>
          <w:szCs w:val="22"/>
        </w:rPr>
        <w:t xml:space="preserve">). </w:t>
      </w:r>
    </w:p>
    <w:p w:rsidR="00E06C6C" w:rsidRPr="00755D9F" w:rsidP="00E06C6C" w14:paraId="20FAE17F" w14:textId="77777777">
      <w:pPr>
        <w:pStyle w:val="NormalWeb"/>
        <w:spacing w:before="0" w:beforeAutospacing="0" w:after="120" w:afterAutospacing="0"/>
        <w:jc w:val="center"/>
        <w:rPr>
          <w:rFonts w:ascii="Candara" w:hAnsi="Candara"/>
          <w:bCs/>
          <w:color w:val="000000"/>
          <w:sz w:val="22"/>
          <w:szCs w:val="22"/>
        </w:rPr>
      </w:pPr>
      <w:r>
        <w:rPr>
          <w:noProof/>
        </w:rPr>
        <w:drawing>
          <wp:inline distT="0" distB="0" distL="0" distR="0">
            <wp:extent cx="5177790" cy="2457450"/>
            <wp:effectExtent l="0" t="0" r="381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062C2" w:rsidP="00E06C6C" w14:paraId="53A98B7E" w14:textId="77777777">
      <w:pPr>
        <w:spacing w:after="120" w:line="240" w:lineRule="auto"/>
        <w:jc w:val="both"/>
        <w:rPr>
          <w:rFonts w:ascii="Candara" w:eastAsia="Times New Roman" w:hAnsi="Candara" w:cs="Times New Roman"/>
          <w:i/>
          <w:iCs/>
          <w:color w:val="000000"/>
          <w:sz w:val="20"/>
          <w:szCs w:val="20"/>
          <w:lang w:eastAsia="en-GB"/>
        </w:rPr>
      </w:pPr>
    </w:p>
    <w:p w:rsidR="00C8558B" w:rsidRPr="00C8558B" w:rsidP="00C8558B" w14:paraId="2A59501E" w14:textId="77777777">
      <w:pPr>
        <w:spacing w:after="120" w:line="240" w:lineRule="auto"/>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C8558B" w:rsidRPr="00C8558B" w:rsidP="00C8558B" w14:paraId="3F636597" w14:textId="77777777">
      <w:pPr>
        <w:jc w:val="center"/>
        <w:textAlignment w:val="baseline"/>
        <w:rPr>
          <w:rFonts w:ascii="Candara" w:hAnsi="Candara"/>
          <w:i/>
          <w:iCs/>
          <w:color w:val="000000"/>
          <w:sz w:val="20"/>
          <w:szCs w:val="20"/>
          <w:u w:val="single"/>
          <w:lang w:eastAsia="en-GB"/>
        </w:rPr>
        <w:sectPr w:rsidSect="00C8558B">
          <w:type w:val="continuous"/>
          <w:pgSz w:w="11906" w:h="16838"/>
          <w:pgMar w:top="1134" w:right="1134" w:bottom="1134" w:left="1701" w:header="425" w:footer="193" w:gutter="0"/>
          <w:cols w:space="708"/>
          <w:titlePg/>
          <w:docGrid w:linePitch="360"/>
        </w:sectPr>
      </w:pPr>
    </w:p>
    <w:p w:rsidR="00C8558B" w:rsidRPr="00161769" w:rsidP="00C8558B" w14:paraId="633D31C3" w14:textId="77777777">
      <w:pPr>
        <w:pStyle w:val="ListParagraph"/>
        <w:ind w:left="786" w:firstLine="0"/>
        <w:textAlignment w:val="baseline"/>
        <w:rPr>
          <w:rFonts w:ascii="Candara" w:hAnsi="Candara"/>
          <w:b/>
          <w:i/>
          <w:iCs/>
          <w:color w:val="000000"/>
          <w:sz w:val="20"/>
          <w:szCs w:val="20"/>
          <w:lang w:eastAsia="en-GB"/>
        </w:rPr>
      </w:pPr>
      <w:r>
        <w:rPr>
          <w:rFonts w:ascii="Candara" w:hAnsi="Candara"/>
          <w:b/>
          <w:i/>
          <w:iCs/>
          <w:color w:val="000000"/>
          <w:sz w:val="20"/>
          <w:szCs w:val="20"/>
          <w:lang w:eastAsia="en-GB"/>
        </w:rPr>
        <w:t>RIS3 mērķa sasniegšanas rādītāji:</w:t>
      </w:r>
    </w:p>
    <w:p w:rsidR="00C8558B" w:rsidP="00C8558B" w14:paraId="3DAAF2DC" w14:textId="77777777">
      <w:pPr>
        <w:pStyle w:val="ListParagraph"/>
        <w:numPr>
          <w:ilvl w:val="0"/>
          <w:numId w:val="7"/>
        </w:numPr>
        <w:textAlignment w:val="baseline"/>
        <w:rPr>
          <w:rFonts w:ascii="Candara" w:hAnsi="Candara"/>
          <w:i/>
          <w:iCs/>
          <w:color w:val="000000"/>
          <w:sz w:val="20"/>
          <w:szCs w:val="20"/>
          <w:lang w:eastAsia="en-GB"/>
        </w:rPr>
      </w:pPr>
      <w:r>
        <w:rPr>
          <w:rFonts w:ascii="Candara" w:hAnsi="Candara"/>
          <w:i/>
          <w:iCs/>
          <w:color w:val="000000"/>
          <w:sz w:val="20"/>
          <w:szCs w:val="20"/>
          <w:lang w:eastAsia="en-GB"/>
        </w:rPr>
        <w:t>Eiropas inovāciju rādītāju grupa (EIS pozīcija);</w:t>
      </w:r>
    </w:p>
    <w:p w:rsidR="00C8558B" w:rsidP="00C8558B" w14:paraId="6233C6C6" w14:textId="77777777">
      <w:pPr>
        <w:pStyle w:val="ListParagraph"/>
        <w:numPr>
          <w:ilvl w:val="0"/>
          <w:numId w:val="7"/>
        </w:numPr>
        <w:textAlignment w:val="baseline"/>
        <w:rPr>
          <w:rFonts w:ascii="Candara" w:hAnsi="Candara"/>
          <w:i/>
          <w:iCs/>
          <w:color w:val="000000"/>
          <w:sz w:val="20"/>
          <w:szCs w:val="20"/>
          <w:lang w:eastAsia="en-GB"/>
        </w:rPr>
      </w:pPr>
      <w:r>
        <w:rPr>
          <w:rFonts w:ascii="Candara" w:hAnsi="Candara"/>
          <w:i/>
          <w:iCs/>
          <w:color w:val="000000"/>
          <w:sz w:val="20"/>
          <w:szCs w:val="20"/>
          <w:lang w:eastAsia="en-GB"/>
        </w:rPr>
        <w:t>Ieguldījumi P&amp;A 1.5% no IKP;</w:t>
      </w:r>
    </w:p>
    <w:p w:rsidR="00C8558B" w:rsidP="00C8558B" w14:paraId="775D867F" w14:textId="77777777">
      <w:pPr>
        <w:pStyle w:val="ListParagraph"/>
        <w:numPr>
          <w:ilvl w:val="0"/>
          <w:numId w:val="7"/>
        </w:numPr>
        <w:jc w:val="left"/>
        <w:textAlignment w:val="baseline"/>
        <w:rPr>
          <w:rFonts w:ascii="Candara" w:hAnsi="Candara"/>
          <w:i/>
          <w:iCs/>
          <w:color w:val="000000"/>
          <w:sz w:val="20"/>
          <w:szCs w:val="20"/>
          <w:lang w:eastAsia="en-GB"/>
        </w:rPr>
      </w:pPr>
      <w:r>
        <w:rPr>
          <w:rFonts w:ascii="Candara" w:hAnsi="Candara"/>
          <w:i/>
          <w:iCs/>
          <w:color w:val="000000"/>
          <w:sz w:val="20"/>
          <w:szCs w:val="20"/>
          <w:lang w:eastAsia="en-GB"/>
        </w:rPr>
        <w:t>Produktivitāte apstrādes rūpniecībā;</w:t>
      </w:r>
    </w:p>
    <w:p w:rsidR="00C8558B" w:rsidRPr="00BE334C" w:rsidP="00C8558B" w14:paraId="59FDBDE8" w14:textId="77777777">
      <w:pPr>
        <w:pStyle w:val="ListParagraph"/>
        <w:numPr>
          <w:ilvl w:val="0"/>
          <w:numId w:val="7"/>
        </w:numPr>
        <w:textAlignment w:val="baseline"/>
        <w:rPr>
          <w:rFonts w:ascii="Candara" w:hAnsi="Candara"/>
          <w:i/>
          <w:iCs/>
          <w:color w:val="000000"/>
          <w:sz w:val="20"/>
          <w:szCs w:val="20"/>
          <w:lang w:eastAsia="en-GB"/>
        </w:rPr>
      </w:pPr>
      <w:r>
        <w:rPr>
          <w:rFonts w:ascii="Candara" w:hAnsi="Candara"/>
          <w:i/>
          <w:iCs/>
          <w:color w:val="000000"/>
          <w:sz w:val="20"/>
          <w:szCs w:val="20"/>
          <w:lang w:eastAsia="en-GB"/>
        </w:rPr>
        <w:t>Zinātnisko darbinieku skaits P&amp;A;</w:t>
      </w:r>
    </w:p>
    <w:p w:rsidR="00C8558B" w:rsidRPr="00161769" w:rsidP="00C8558B" w14:paraId="766B4C36" w14:textId="77777777">
      <w:pPr>
        <w:pStyle w:val="ListParagraph"/>
        <w:numPr>
          <w:ilvl w:val="0"/>
          <w:numId w:val="7"/>
        </w:numPr>
        <w:textAlignment w:val="baseline"/>
        <w:rPr>
          <w:rFonts w:ascii="Candara" w:hAnsi="Candara"/>
          <w:i/>
          <w:iCs/>
          <w:color w:val="000000"/>
          <w:sz w:val="20"/>
          <w:szCs w:val="20"/>
          <w:lang w:eastAsia="en-GB"/>
        </w:rPr>
      </w:pPr>
      <w:r w:rsidRPr="00161769">
        <w:rPr>
          <w:rFonts w:ascii="Candara" w:hAnsi="Candara"/>
          <w:i/>
          <w:iCs/>
          <w:color w:val="000000"/>
          <w:sz w:val="20"/>
          <w:szCs w:val="20"/>
          <w:lang w:eastAsia="en-GB"/>
        </w:rPr>
        <w:t>Zinātniskie raksti, kas publicēti starptautiskās datu bāzēs</w:t>
      </w:r>
      <w:r>
        <w:rPr>
          <w:rFonts w:ascii="Candara" w:hAnsi="Candara"/>
          <w:i/>
          <w:iCs/>
          <w:color w:val="000000"/>
          <w:sz w:val="20"/>
          <w:szCs w:val="20"/>
          <w:lang w:eastAsia="en-GB"/>
        </w:rPr>
        <w:t>;</w:t>
      </w:r>
      <w:r w:rsidRPr="00161769">
        <w:rPr>
          <w:rFonts w:ascii="Candara" w:hAnsi="Candara"/>
          <w:i/>
          <w:iCs/>
          <w:color w:val="000000"/>
          <w:sz w:val="20"/>
          <w:szCs w:val="20"/>
          <w:lang w:eastAsia="en-GB"/>
        </w:rPr>
        <w:t xml:space="preserve"> </w:t>
      </w:r>
    </w:p>
    <w:p w:rsidR="00C8558B" w:rsidRPr="00161769" w:rsidP="00C8558B" w14:paraId="0D57B925" w14:textId="77777777">
      <w:pPr>
        <w:pStyle w:val="ListParagraph"/>
        <w:numPr>
          <w:ilvl w:val="0"/>
          <w:numId w:val="7"/>
        </w:numPr>
        <w:textAlignment w:val="baseline"/>
        <w:rPr>
          <w:rFonts w:ascii="Candara" w:hAnsi="Candara"/>
          <w:i/>
          <w:iCs/>
          <w:color w:val="000000"/>
          <w:sz w:val="20"/>
          <w:szCs w:val="20"/>
          <w:lang w:eastAsia="en-GB"/>
        </w:rPr>
      </w:pPr>
      <w:r w:rsidRPr="00161769">
        <w:rPr>
          <w:rFonts w:ascii="Candara" w:hAnsi="Candara"/>
          <w:i/>
          <w:iCs/>
          <w:color w:val="000000"/>
          <w:sz w:val="20"/>
          <w:szCs w:val="20"/>
          <w:lang w:eastAsia="en-GB"/>
        </w:rPr>
        <w:t>Privātā sektora ieguldījumu proporcionāls pieaugums P&amp;A</w:t>
      </w:r>
      <w:r>
        <w:rPr>
          <w:rFonts w:ascii="Candara" w:hAnsi="Candara"/>
          <w:i/>
          <w:iCs/>
          <w:color w:val="000000"/>
          <w:sz w:val="20"/>
          <w:szCs w:val="20"/>
          <w:lang w:eastAsia="en-GB"/>
        </w:rPr>
        <w:t>;</w:t>
      </w:r>
    </w:p>
    <w:p w:rsidR="00C8558B" w:rsidRPr="00161769" w:rsidP="00C8558B" w14:paraId="796667ED" w14:textId="77777777">
      <w:pPr>
        <w:pStyle w:val="ListParagraph"/>
        <w:numPr>
          <w:ilvl w:val="0"/>
          <w:numId w:val="7"/>
        </w:numPr>
        <w:textAlignment w:val="baseline"/>
        <w:rPr>
          <w:rFonts w:ascii="Candara" w:hAnsi="Candara"/>
          <w:i/>
          <w:iCs/>
          <w:color w:val="000000"/>
          <w:sz w:val="20"/>
          <w:szCs w:val="20"/>
          <w:lang w:eastAsia="en-GB"/>
        </w:rPr>
      </w:pPr>
      <w:r w:rsidRPr="00161769">
        <w:rPr>
          <w:rFonts w:ascii="Candara" w:hAnsi="Candara"/>
          <w:i/>
          <w:iCs/>
          <w:color w:val="000000"/>
          <w:sz w:val="20"/>
          <w:szCs w:val="20"/>
          <w:lang w:eastAsia="en-GB"/>
        </w:rPr>
        <w:t>Zinātnisko darbinieku skaits, kas nodarbināti privātajā sektorā;</w:t>
      </w:r>
    </w:p>
    <w:p w:rsidR="00C8558B" w:rsidP="00C8558B" w14:paraId="68ADE4BC" w14:textId="77777777">
      <w:pPr>
        <w:pStyle w:val="ListParagraph"/>
        <w:numPr>
          <w:ilvl w:val="0"/>
          <w:numId w:val="7"/>
        </w:numPr>
        <w:textAlignment w:val="baseline"/>
        <w:rPr>
          <w:rFonts w:ascii="Candara" w:hAnsi="Candara"/>
          <w:i/>
          <w:iCs/>
          <w:color w:val="000000"/>
          <w:sz w:val="20"/>
          <w:szCs w:val="20"/>
          <w:lang w:eastAsia="en-GB"/>
        </w:rPr>
      </w:pPr>
      <w:r w:rsidRPr="00161769">
        <w:rPr>
          <w:rFonts w:ascii="Candara" w:hAnsi="Candara"/>
          <w:i/>
          <w:iCs/>
          <w:color w:val="000000"/>
          <w:sz w:val="20"/>
          <w:szCs w:val="20"/>
          <w:lang w:eastAsia="en-GB"/>
        </w:rPr>
        <w:t xml:space="preserve">Piešķirtie Eiropas patenti no zinātniekiem, kas rezidē Latvijā; </w:t>
      </w:r>
    </w:p>
    <w:p w:rsidR="00C8558B" w:rsidP="00C8558B" w14:paraId="722CE107" w14:textId="77777777">
      <w:pPr>
        <w:pStyle w:val="ListParagraph"/>
        <w:numPr>
          <w:ilvl w:val="0"/>
          <w:numId w:val="7"/>
        </w:numPr>
        <w:textAlignment w:val="baseline"/>
        <w:rPr>
          <w:rFonts w:ascii="Candara" w:hAnsi="Candara"/>
          <w:i/>
          <w:iCs/>
          <w:color w:val="000000"/>
          <w:sz w:val="20"/>
          <w:szCs w:val="20"/>
          <w:lang w:eastAsia="en-GB"/>
        </w:rPr>
      </w:pPr>
      <w:r>
        <w:rPr>
          <w:rFonts w:ascii="Candara" w:hAnsi="Candara"/>
          <w:i/>
          <w:iCs/>
          <w:color w:val="000000"/>
          <w:sz w:val="20"/>
          <w:szCs w:val="20"/>
          <w:lang w:eastAsia="en-GB"/>
        </w:rPr>
        <w:t>Apstrādes rūpniecības īpatsvars IKT un tās produktivitātes pieaugums;</w:t>
      </w:r>
    </w:p>
    <w:p w:rsidR="00C8558B" w:rsidP="00C8558B" w14:paraId="3EC1B67D" w14:textId="77777777">
      <w:pPr>
        <w:pStyle w:val="ListParagraph"/>
        <w:numPr>
          <w:ilvl w:val="0"/>
          <w:numId w:val="7"/>
        </w:numPr>
        <w:textAlignment w:val="baseline"/>
        <w:rPr>
          <w:rFonts w:ascii="Candara" w:hAnsi="Candara"/>
          <w:i/>
          <w:iCs/>
          <w:color w:val="000000"/>
          <w:sz w:val="20"/>
          <w:szCs w:val="20"/>
          <w:lang w:eastAsia="en-GB"/>
        </w:rPr>
      </w:pPr>
      <w:r>
        <w:rPr>
          <w:rFonts w:ascii="Candara" w:hAnsi="Candara"/>
          <w:i/>
          <w:iCs/>
          <w:color w:val="000000"/>
          <w:sz w:val="20"/>
          <w:szCs w:val="20"/>
          <w:lang w:eastAsia="en-GB"/>
        </w:rPr>
        <w:t>Eksporta pieaugums;</w:t>
      </w:r>
    </w:p>
    <w:p w:rsidR="00C8558B" w:rsidRPr="00C8558B" w:rsidP="00C8558B" w14:paraId="2882B772" w14:textId="77777777">
      <w:pPr>
        <w:pStyle w:val="ListParagraph"/>
        <w:numPr>
          <w:ilvl w:val="0"/>
          <w:numId w:val="7"/>
        </w:numPr>
        <w:textAlignment w:val="baseline"/>
        <w:rPr>
          <w:rFonts w:ascii="Candara" w:hAnsi="Candara"/>
          <w:i/>
          <w:iCs/>
          <w:color w:val="000000"/>
          <w:sz w:val="20"/>
          <w:szCs w:val="20"/>
          <w:lang w:eastAsia="en-GB"/>
        </w:rPr>
      </w:pPr>
      <w:r>
        <w:rPr>
          <w:rFonts w:ascii="Candara" w:hAnsi="Candara"/>
          <w:i/>
          <w:iCs/>
          <w:color w:val="000000"/>
          <w:sz w:val="20"/>
          <w:szCs w:val="20"/>
          <w:lang w:eastAsia="en-GB"/>
        </w:rPr>
        <w:t xml:space="preserve">Augsto tehnoloģiju produktu īpatsvars Latvijas kopējā eksportā un augsto un vidēji augsto </w:t>
      </w:r>
      <w:r>
        <w:rPr>
          <w:rFonts w:ascii="Candara" w:hAnsi="Candara"/>
          <w:i/>
          <w:iCs/>
          <w:color w:val="000000"/>
          <w:sz w:val="20"/>
          <w:szCs w:val="20"/>
          <w:lang w:eastAsia="en-GB"/>
        </w:rPr>
        <w:t>tehnoloģiju nozaru īpatsvars Latvijas preču eksportā</w:t>
      </w:r>
    </w:p>
    <w:p w:rsidR="00C8558B" w:rsidRPr="00C8558B" w:rsidP="00C8558B" w14:paraId="39C468AE" w14:textId="77777777">
      <w:pPr>
        <w:pStyle w:val="ListParagraph"/>
        <w:spacing w:before="120"/>
        <w:ind w:left="788" w:firstLine="0"/>
        <w:textAlignment w:val="baseline"/>
        <w:rPr>
          <w:rFonts w:ascii="Candara" w:hAnsi="Candara"/>
          <w:b/>
          <w:i/>
          <w:iCs/>
          <w:color w:val="000000"/>
          <w:sz w:val="10"/>
          <w:szCs w:val="10"/>
          <w:lang w:eastAsia="en-GB"/>
        </w:rPr>
      </w:pPr>
    </w:p>
    <w:p w:rsidR="00C8558B" w:rsidP="00C8558B" w14:paraId="3EF0B400" w14:textId="77777777">
      <w:pPr>
        <w:pStyle w:val="ListParagraph"/>
        <w:spacing w:before="120"/>
        <w:ind w:left="788" w:firstLine="0"/>
        <w:textAlignment w:val="baseline"/>
        <w:rPr>
          <w:rFonts w:ascii="Candara" w:hAnsi="Candara"/>
          <w:b/>
          <w:i/>
          <w:iCs/>
          <w:color w:val="000000"/>
          <w:sz w:val="20"/>
          <w:szCs w:val="20"/>
          <w:lang w:eastAsia="en-GB"/>
        </w:rPr>
      </w:pPr>
      <w:r w:rsidRPr="00161769">
        <w:rPr>
          <w:rFonts w:ascii="Candara" w:hAnsi="Candara"/>
          <w:b/>
          <w:i/>
          <w:iCs/>
          <w:color w:val="000000"/>
          <w:sz w:val="20"/>
          <w:szCs w:val="20"/>
          <w:lang w:eastAsia="en-GB"/>
        </w:rPr>
        <w:t>RIS3 mikro līmeņa rādītāji:</w:t>
      </w:r>
    </w:p>
    <w:p w:rsidR="00C8558B" w:rsidRPr="00C8558B" w:rsidP="00C8558B" w14:paraId="33364735" w14:textId="77777777">
      <w:pPr>
        <w:pStyle w:val="ListParagraph"/>
        <w:numPr>
          <w:ilvl w:val="0"/>
          <w:numId w:val="7"/>
        </w:numPr>
        <w:textAlignment w:val="baseline"/>
        <w:rPr>
          <w:rFonts w:ascii="Candara" w:hAnsi="Candara"/>
          <w:i/>
          <w:iCs/>
          <w:color w:val="000000"/>
          <w:sz w:val="20"/>
          <w:szCs w:val="20"/>
          <w:lang w:eastAsia="en-GB"/>
        </w:rPr>
      </w:pPr>
      <w:r w:rsidRPr="00C8558B">
        <w:rPr>
          <w:rFonts w:ascii="Candara" w:hAnsi="Candara"/>
          <w:i/>
          <w:iCs/>
          <w:color w:val="000000"/>
          <w:sz w:val="20"/>
          <w:szCs w:val="20"/>
          <w:lang w:eastAsia="en-GB"/>
        </w:rPr>
        <w:t>Zinātnisko institūciju licenču/patentu ieņēmumi (EUR);</w:t>
      </w:r>
    </w:p>
    <w:p w:rsidR="00C8558B" w:rsidRPr="00161769" w:rsidP="00C8558B" w14:paraId="4456829D" w14:textId="77777777">
      <w:pPr>
        <w:pStyle w:val="ListParagraph"/>
        <w:numPr>
          <w:ilvl w:val="0"/>
          <w:numId w:val="7"/>
        </w:numPr>
        <w:textAlignment w:val="baseline"/>
        <w:rPr>
          <w:rFonts w:ascii="Candara" w:hAnsi="Candara"/>
          <w:b/>
          <w:i/>
          <w:iCs/>
          <w:color w:val="000000"/>
          <w:sz w:val="20"/>
          <w:szCs w:val="20"/>
          <w:lang w:eastAsia="en-GB"/>
        </w:rPr>
      </w:pPr>
      <w:r>
        <w:rPr>
          <w:rFonts w:ascii="Candara" w:hAnsi="Candara"/>
          <w:i/>
          <w:iCs/>
          <w:color w:val="000000"/>
          <w:sz w:val="20"/>
          <w:szCs w:val="20"/>
          <w:lang w:eastAsia="en-GB"/>
        </w:rPr>
        <w:t>Uzņēmumu līdzfinansējums P&amp;A projektiem (EUR);</w:t>
      </w:r>
    </w:p>
    <w:p w:rsidR="00C8558B" w:rsidRPr="00BE334C" w:rsidP="00C8558B" w14:paraId="45DD8A04" w14:textId="77777777">
      <w:pPr>
        <w:pStyle w:val="ListParagraph"/>
        <w:numPr>
          <w:ilvl w:val="0"/>
          <w:numId w:val="7"/>
        </w:numPr>
        <w:textAlignment w:val="baseline"/>
        <w:rPr>
          <w:rFonts w:ascii="Arial" w:hAnsi="Arial" w:cs="Arial"/>
          <w:i/>
          <w:iCs/>
          <w:color w:val="000000"/>
          <w:sz w:val="20"/>
          <w:szCs w:val="20"/>
          <w:lang w:eastAsia="en-GB"/>
        </w:rPr>
      </w:pPr>
      <w:r w:rsidRPr="00BE334C">
        <w:rPr>
          <w:rFonts w:ascii="Candara" w:hAnsi="Candara" w:cs="Arial"/>
          <w:i/>
          <w:iCs/>
          <w:color w:val="000000"/>
          <w:sz w:val="20"/>
          <w:szCs w:val="20"/>
          <w:lang w:eastAsia="en-GB"/>
        </w:rPr>
        <w:t>Uzņēmumu skaits, kas saņēmuši atbalstu, lai ieviestu jaunus produktus un tehnoloģijas;</w:t>
      </w:r>
    </w:p>
    <w:p w:rsidR="00C8558B" w:rsidRPr="00BE334C" w:rsidP="00C8558B" w14:paraId="5F049225" w14:textId="77777777">
      <w:pPr>
        <w:pStyle w:val="ListParagraph"/>
        <w:numPr>
          <w:ilvl w:val="0"/>
          <w:numId w:val="7"/>
        </w:numPr>
        <w:textAlignment w:val="baseline"/>
        <w:rPr>
          <w:rFonts w:ascii="Arial" w:hAnsi="Arial" w:cs="Arial"/>
          <w:i/>
          <w:iCs/>
          <w:color w:val="000000"/>
          <w:sz w:val="20"/>
          <w:szCs w:val="20"/>
          <w:lang w:eastAsia="en-GB"/>
        </w:rPr>
      </w:pPr>
      <w:r w:rsidRPr="00BE334C">
        <w:rPr>
          <w:rFonts w:ascii="Candara" w:hAnsi="Candara" w:cs="Arial"/>
          <w:i/>
          <w:iCs/>
          <w:color w:val="000000"/>
          <w:sz w:val="20"/>
          <w:szCs w:val="20"/>
          <w:lang w:eastAsia="en-GB"/>
        </w:rPr>
        <w:t>Jaunradītās darba vietas, t.sk. tās, kurās nodarbināti zinātniskie darbinieki publiskā sektorā/ uzņēmējdarbības sektorā;</w:t>
      </w:r>
    </w:p>
    <w:p w:rsidR="00C8558B" w:rsidRPr="00BE334C" w:rsidP="00C8558B" w14:paraId="4D677559" w14:textId="77777777">
      <w:pPr>
        <w:pStyle w:val="ListParagraph"/>
        <w:numPr>
          <w:ilvl w:val="0"/>
          <w:numId w:val="7"/>
        </w:numPr>
        <w:textAlignment w:val="baseline"/>
        <w:rPr>
          <w:rFonts w:ascii="Arial" w:hAnsi="Arial" w:cs="Arial"/>
          <w:i/>
          <w:iCs/>
          <w:color w:val="000000"/>
          <w:sz w:val="20"/>
          <w:szCs w:val="20"/>
          <w:lang w:eastAsia="en-GB"/>
        </w:rPr>
      </w:pPr>
      <w:r w:rsidRPr="00BE334C">
        <w:rPr>
          <w:rFonts w:ascii="Candara" w:hAnsi="Candara" w:cs="Arial"/>
          <w:i/>
          <w:iCs/>
          <w:color w:val="000000"/>
          <w:sz w:val="20"/>
          <w:szCs w:val="20"/>
          <w:lang w:eastAsia="en-GB"/>
        </w:rPr>
        <w:t>Zinātniskie raksti, kas publicēti starptautiskās datu bāzēs indeksētos žurnālos (Scopus, Web of Science);</w:t>
      </w:r>
    </w:p>
    <w:p w:rsidR="00C8558B" w:rsidP="00C8558B" w14:paraId="150DC45B" w14:textId="77777777">
      <w:pPr>
        <w:pStyle w:val="ListParagraph"/>
        <w:numPr>
          <w:ilvl w:val="0"/>
          <w:numId w:val="7"/>
        </w:numPr>
        <w:textAlignment w:val="baseline"/>
        <w:rPr>
          <w:rFonts w:ascii="Arial" w:hAnsi="Arial" w:cs="Arial"/>
          <w:i/>
          <w:iCs/>
          <w:color w:val="000000"/>
          <w:sz w:val="20"/>
          <w:szCs w:val="20"/>
          <w:lang w:eastAsia="en-GB"/>
        </w:rPr>
      </w:pPr>
      <w:r w:rsidRPr="00BE334C">
        <w:rPr>
          <w:rFonts w:ascii="Candara" w:hAnsi="Candara" w:cs="Arial"/>
          <w:i/>
          <w:iCs/>
          <w:color w:val="000000"/>
          <w:sz w:val="20"/>
          <w:szCs w:val="20"/>
          <w:lang w:eastAsia="en-GB"/>
        </w:rPr>
        <w:t>P&amp;I projektos iesaistīto maģistrantu un doktorantu skaits.</w:t>
      </w:r>
    </w:p>
    <w:p w:rsidR="00C8558B" w:rsidP="00C8558B" w14:paraId="4C32958C" w14:textId="77777777">
      <w:pPr>
        <w:pStyle w:val="ListParagraph"/>
        <w:ind w:left="786" w:firstLine="0"/>
        <w:textAlignment w:val="baseline"/>
        <w:rPr>
          <w:rFonts w:ascii="Arial" w:hAnsi="Arial" w:cs="Arial"/>
          <w:i/>
          <w:iCs/>
          <w:color w:val="000000"/>
          <w:sz w:val="20"/>
          <w:szCs w:val="20"/>
          <w:lang w:eastAsia="en-GB"/>
        </w:rPr>
        <w:sectPr w:rsidSect="00161769">
          <w:type w:val="continuous"/>
          <w:pgSz w:w="11906" w:h="16838"/>
          <w:pgMar w:top="1134" w:right="2125" w:bottom="1134" w:left="1701" w:header="425" w:footer="193" w:gutter="0"/>
          <w:cols w:num="2" w:space="708"/>
          <w:titlePg/>
          <w:docGrid w:linePitch="360"/>
        </w:sectPr>
      </w:pPr>
    </w:p>
    <w:p w:rsidR="00161769" w:rsidRPr="00BE334C" w:rsidP="00BE334C" w14:paraId="4BA0086E" w14:textId="77777777">
      <w:pPr>
        <w:pStyle w:val="ListParagraph"/>
        <w:ind w:left="786" w:firstLine="0"/>
        <w:textAlignment w:val="baseline"/>
        <w:rPr>
          <w:rFonts w:ascii="Arial" w:hAnsi="Arial" w:cs="Arial"/>
          <w:i/>
          <w:iCs/>
          <w:color w:val="000000"/>
          <w:sz w:val="20"/>
          <w:szCs w:val="20"/>
          <w:lang w:eastAsia="en-GB"/>
        </w:rPr>
      </w:pPr>
    </w:p>
    <w:tbl>
      <w:tblPr>
        <w:tblW w:w="8359" w:type="dxa"/>
        <w:tblCellMar>
          <w:top w:w="15" w:type="dxa"/>
          <w:left w:w="15" w:type="dxa"/>
          <w:bottom w:w="15" w:type="dxa"/>
          <w:right w:w="15" w:type="dxa"/>
        </w:tblCellMar>
        <w:tblLook w:val="04A0"/>
      </w:tblPr>
      <w:tblGrid>
        <w:gridCol w:w="8359"/>
      </w:tblGrid>
      <w:tr w14:paraId="0AB93D16" w14:textId="77777777" w:rsidTr="00D31531">
        <w:tblPrEx>
          <w:tblW w:w="8359" w:type="dxa"/>
          <w:tblCellMar>
            <w:top w:w="15" w:type="dxa"/>
            <w:left w:w="15" w:type="dxa"/>
            <w:bottom w:w="15" w:type="dxa"/>
            <w:right w:w="15" w:type="dxa"/>
          </w:tblCellMar>
          <w:tblLook w:val="04A0"/>
        </w:tblPrEx>
        <w:trPr>
          <w:trHeight w:val="1820"/>
        </w:trPr>
        <w:tc>
          <w:tcPr>
            <w:tcW w:w="8359"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hideMark/>
          </w:tcPr>
          <w:p w:rsidR="00E06C6C" w:rsidRPr="00AD1682" w:rsidP="00D31531" w14:paraId="5570455E" w14:textId="77777777">
            <w:pPr>
              <w:pStyle w:val="NormalWeb"/>
              <w:spacing w:before="0" w:beforeAutospacing="0" w:after="120" w:afterAutospacing="0"/>
              <w:ind w:left="164"/>
              <w:jc w:val="both"/>
              <w:rPr>
                <w:rFonts w:ascii="Candara" w:hAnsi="Candara"/>
                <w:b/>
                <w:bCs/>
                <w:sz w:val="20"/>
                <w:szCs w:val="20"/>
              </w:rPr>
            </w:pPr>
            <w:r w:rsidRPr="00AD1682">
              <w:rPr>
                <w:rFonts w:ascii="Candara" w:hAnsi="Candara"/>
                <w:b/>
                <w:bCs/>
                <w:sz w:val="20"/>
                <w:szCs w:val="20"/>
              </w:rPr>
              <w:t>VADĪBAS METOŽU IZSTRĀDE INDUSTRIĀLAJĀM UN RAŽOŠANAS SILTUMNĪCĀM</w:t>
            </w:r>
          </w:p>
          <w:p w:rsidR="00E06C6C" w:rsidRPr="00AD1682" w:rsidP="002D1F13" w14:paraId="4F220615" w14:textId="77777777">
            <w:pPr>
              <w:pStyle w:val="NormalWeb"/>
              <w:numPr>
                <w:ilvl w:val="0"/>
                <w:numId w:val="8"/>
              </w:numPr>
              <w:spacing w:before="0" w:beforeAutospacing="0" w:after="120" w:afterAutospacing="0"/>
              <w:ind w:left="164"/>
              <w:jc w:val="both"/>
              <w:rPr>
                <w:rFonts w:ascii="Candara" w:hAnsi="Candara"/>
                <w:bCs/>
                <w:sz w:val="20"/>
                <w:szCs w:val="20"/>
              </w:rPr>
            </w:pPr>
            <w:r w:rsidRPr="00AD1682">
              <w:rPr>
                <w:rFonts w:ascii="Candara" w:hAnsi="Candara"/>
                <w:bCs/>
                <w:sz w:val="20"/>
                <w:szCs w:val="20"/>
              </w:rPr>
              <w:t>Rīgas Tehniskā universitāte sadarbībā ar Latvijas Lauksaimniecības universitāti un SIA “Eltex” veic pētījumu “Jaunu vadības metožu izstrāde siltumnīcu augu apgaismojuma sistēmām to enerģētisko un ekoloģisko parametru uzlabošanai (uMol)”.</w:t>
            </w:r>
          </w:p>
          <w:p w:rsidR="00E06C6C" w:rsidRPr="00427D35" w:rsidP="002D1F13" w14:paraId="675032C9" w14:textId="77777777">
            <w:pPr>
              <w:pStyle w:val="ListParagraph"/>
              <w:numPr>
                <w:ilvl w:val="0"/>
                <w:numId w:val="8"/>
              </w:numPr>
              <w:spacing w:after="120"/>
              <w:ind w:left="164"/>
              <w:rPr>
                <w:lang w:eastAsia="en-GB"/>
              </w:rPr>
            </w:pPr>
            <w:r w:rsidRPr="00AD1682">
              <w:rPr>
                <w:rFonts w:ascii="Candara" w:hAnsi="Candara"/>
                <w:bCs/>
                <w:sz w:val="20"/>
                <w:szCs w:val="20"/>
              </w:rPr>
              <w:t>Projekta ietvaros tiks izstrādātas jaunas fotobioloģiskās vadības metodes esošiem ražošanas procesiem siltumnīcās, auditēšanas metodes enerģijas un ekoloģisko parametru efektivitātes novērtēšanai. Projekta gaitā tiks izstrādātas, praktiski realizētas un testētas arī jaunas mērīšanas un vadības sistēmu ierīces. Izmantojot jaunos Bio-Enerģētiskās Sistēmas algoritmus, kas tiks testēti un salīdzināti pie dažādiem apgaismojuma avotiem reālas siltumnīcas apstākļos, plānots iegūt elektroenerģijas ietaupījumus līdz 30%, vienlaicīgi nodrošinot to pašu augšanas ražību. Tiks pārbaudīts kā papildus apgaismojums ietekmē bioloģiski aktīvu vielu veidošanās intensitāti dārzeņos (tomātos, gurķos, salātos) dažādās sezonās.</w:t>
            </w:r>
          </w:p>
        </w:tc>
      </w:tr>
    </w:tbl>
    <w:p w:rsidR="00E06C6C" w:rsidRPr="00755D9F" w:rsidP="00E06C6C" w14:paraId="7F693653" w14:textId="77777777">
      <w:pPr>
        <w:pStyle w:val="NormalWeb"/>
        <w:spacing w:before="0" w:beforeAutospacing="0" w:after="120" w:afterAutospacing="0"/>
        <w:jc w:val="both"/>
      </w:pPr>
    </w:p>
    <w:p w:rsidR="00CC788F" w:rsidRPr="006062C2" w:rsidP="009F2C2C" w14:paraId="02561D58" w14:textId="140A0DA6">
      <w:pPr>
        <w:spacing w:after="120"/>
        <w:ind w:firstLine="426"/>
        <w:jc w:val="both"/>
        <w:rPr>
          <w:rFonts w:ascii="Candara" w:eastAsia="SimSun" w:hAnsi="Candara" w:cs="Times New Roman"/>
          <w:lang w:eastAsia="zh-CN" w:bidi="lo-LA"/>
        </w:rPr>
      </w:pPr>
      <w:r>
        <w:rPr>
          <w:rFonts w:ascii="Candara" w:hAnsi="Candara"/>
          <w:b/>
          <w:bCs/>
          <w:color w:val="000000"/>
        </w:rPr>
        <w:t>Pēcdoktorantūras pētniecība</w:t>
      </w:r>
      <w:r w:rsidRPr="00755D9F">
        <w:rPr>
          <w:rFonts w:ascii="Candara" w:hAnsi="Candara"/>
          <w:b/>
          <w:bCs/>
          <w:color w:val="000000"/>
        </w:rPr>
        <w:t xml:space="preserve">. </w:t>
      </w:r>
      <w:r w:rsidR="00625C7B">
        <w:rPr>
          <w:rFonts w:ascii="Candara" w:hAnsi="Candara"/>
          <w:bCs/>
          <w:color w:val="000000"/>
        </w:rPr>
        <w:t>2016.</w:t>
      </w:r>
      <w:r w:rsidRPr="00755D9F">
        <w:rPr>
          <w:rFonts w:ascii="Candara" w:hAnsi="Candara"/>
          <w:bCs/>
          <w:color w:val="000000"/>
        </w:rPr>
        <w:t>gada 1</w:t>
      </w:r>
      <w:r>
        <w:rPr>
          <w:rFonts w:ascii="Candara" w:hAnsi="Candara"/>
          <w:bCs/>
          <w:color w:val="000000"/>
        </w:rPr>
        <w:t>9</w:t>
      </w:r>
      <w:r w:rsidR="00625C7B">
        <w:rPr>
          <w:rFonts w:ascii="Candara" w:hAnsi="Candara"/>
          <w:bCs/>
          <w:color w:val="000000"/>
        </w:rPr>
        <w:t>.</w:t>
      </w:r>
      <w:r w:rsidRPr="00755D9F">
        <w:rPr>
          <w:rFonts w:ascii="Candara" w:hAnsi="Candara"/>
          <w:bCs/>
          <w:color w:val="000000"/>
        </w:rPr>
        <w:t>janvārī apstiprināti 1.1.1.</w:t>
      </w:r>
      <w:r>
        <w:rPr>
          <w:rFonts w:ascii="Candara" w:hAnsi="Candara"/>
          <w:bCs/>
          <w:color w:val="000000"/>
        </w:rPr>
        <w:t>2</w:t>
      </w:r>
      <w:r w:rsidR="00625C7B">
        <w:rPr>
          <w:rFonts w:ascii="Candara" w:hAnsi="Candara"/>
          <w:bCs/>
          <w:color w:val="000000"/>
        </w:rPr>
        <w:t>.</w:t>
      </w:r>
      <w:r w:rsidRPr="00755D9F">
        <w:rPr>
          <w:rFonts w:ascii="Candara" w:hAnsi="Candara"/>
          <w:bCs/>
          <w:color w:val="000000"/>
        </w:rPr>
        <w:t>pasākuma “</w:t>
      </w:r>
      <w:r>
        <w:rPr>
          <w:rFonts w:ascii="Candara" w:hAnsi="Candara"/>
          <w:bCs/>
          <w:color w:val="000000"/>
        </w:rPr>
        <w:t>Pēcdoktorantūras pētniecības atbalsts</w:t>
      </w:r>
      <w:r w:rsidRPr="00755D9F">
        <w:rPr>
          <w:rFonts w:ascii="Candara" w:hAnsi="Candara"/>
          <w:bCs/>
          <w:color w:val="000000"/>
        </w:rPr>
        <w:t xml:space="preserve">” </w:t>
      </w:r>
      <w:r w:rsidR="00625C7B">
        <w:rPr>
          <w:rFonts w:ascii="Candara" w:hAnsi="Candara"/>
          <w:bCs/>
          <w:color w:val="000000"/>
        </w:rPr>
        <w:t>(turpmāk – 1.1.1.2.</w:t>
      </w:r>
      <w:r>
        <w:rPr>
          <w:rFonts w:ascii="Candara" w:hAnsi="Candara"/>
          <w:bCs/>
          <w:color w:val="000000"/>
        </w:rPr>
        <w:t xml:space="preserve">pasākums) </w:t>
      </w:r>
      <w:r w:rsidRPr="00755D9F">
        <w:rPr>
          <w:rFonts w:ascii="Candara" w:hAnsi="Candara"/>
          <w:bCs/>
          <w:color w:val="000000"/>
        </w:rPr>
        <w:t>regulējošie MK noteikumi un uzsākta programmas īstenošana. 1.1.1.</w:t>
      </w:r>
      <w:r>
        <w:rPr>
          <w:rFonts w:ascii="Candara" w:hAnsi="Candara"/>
          <w:bCs/>
          <w:color w:val="000000"/>
        </w:rPr>
        <w:t>2</w:t>
      </w:r>
      <w:r w:rsidR="00625C7B">
        <w:rPr>
          <w:rFonts w:ascii="Candara" w:hAnsi="Candara"/>
          <w:bCs/>
          <w:color w:val="000000"/>
        </w:rPr>
        <w:t>.</w:t>
      </w:r>
      <w:r w:rsidRPr="00755D9F">
        <w:rPr>
          <w:rFonts w:ascii="Candara" w:hAnsi="Candara"/>
          <w:bCs/>
          <w:color w:val="000000"/>
        </w:rPr>
        <w:t xml:space="preserve">pasākuma </w:t>
      </w:r>
      <w:r w:rsidR="00625C7B">
        <w:rPr>
          <w:rFonts w:ascii="Candara" w:hAnsi="Candara"/>
          <w:bCs/>
          <w:color w:val="000000"/>
        </w:rPr>
        <w:t>kopējais līdz 2023.</w:t>
      </w:r>
      <w:r>
        <w:rPr>
          <w:rFonts w:ascii="Candara" w:hAnsi="Candara"/>
          <w:bCs/>
          <w:color w:val="000000"/>
        </w:rPr>
        <w:t xml:space="preserve">gadam pieejamais publiskais finansējums ir 60,8 MEUR (t.sk. 54,4 MEUR ERAF) un tā ir </w:t>
      </w:r>
      <w:r w:rsidRPr="00755D9F">
        <w:rPr>
          <w:rFonts w:ascii="Candara" w:hAnsi="Candara"/>
          <w:bCs/>
          <w:color w:val="000000"/>
        </w:rPr>
        <w:t xml:space="preserve">mērķis ir </w:t>
      </w:r>
      <w:r>
        <w:rPr>
          <w:rFonts w:ascii="Candara" w:hAnsi="Candara"/>
          <w:bCs/>
          <w:color w:val="000000"/>
        </w:rPr>
        <w:t>attīstīt jauno zinātnieku prasmes un palielināt zinātnisko kapacitāti, nodrošinot jauno zinātnieku karjeras uzsākšanas iespējas zinātniskajās institūcijās un pie komersantiem, kā arī pētniecības kompetenču pilnveidošanu, cilvēkresursu atjaunoti un kvalificētu speciālistu skaita pieaugumu</w:t>
      </w:r>
      <w:r w:rsidRPr="00755D9F">
        <w:rPr>
          <w:rFonts w:ascii="Candara" w:hAnsi="Candara"/>
          <w:bCs/>
          <w:color w:val="000000"/>
        </w:rPr>
        <w:t xml:space="preserve">. </w:t>
      </w:r>
      <w:r w:rsidR="00625C7B">
        <w:rPr>
          <w:rFonts w:ascii="Candara" w:hAnsi="Candara"/>
          <w:bCs/>
          <w:color w:val="000000"/>
        </w:rPr>
        <w:t>1.1.1.2.</w:t>
      </w:r>
      <w:r>
        <w:rPr>
          <w:rFonts w:ascii="Candara" w:hAnsi="Candara"/>
          <w:bCs/>
          <w:color w:val="000000"/>
        </w:rPr>
        <w:t xml:space="preserve">pasākuma ietvaros kopumā paredzēts sniegt atbalstu aptuveni </w:t>
      </w:r>
      <w:r w:rsidR="0055053D">
        <w:rPr>
          <w:rFonts w:ascii="Candara" w:hAnsi="Candara"/>
          <w:bCs/>
          <w:color w:val="000000"/>
        </w:rPr>
        <w:t xml:space="preserve">indikatīvi 455 </w:t>
      </w:r>
      <w:r>
        <w:rPr>
          <w:rFonts w:ascii="Candara" w:hAnsi="Candara"/>
          <w:bCs/>
          <w:color w:val="000000"/>
        </w:rPr>
        <w:t>pēcdoktorantiem (jaunajiem zinātniekiem 5 gadu periodā pēc doktora grāda iegūšanas) zinātnieka karjeras uzsākšanai un k</w:t>
      </w:r>
      <w:r w:rsidR="00625C7B">
        <w:rPr>
          <w:rFonts w:ascii="Candara" w:hAnsi="Candara"/>
          <w:bCs/>
          <w:color w:val="000000"/>
        </w:rPr>
        <w:t xml:space="preserve">ompetenču stiprināšanai.  2017.gada </w:t>
      </w:r>
      <w:r w:rsidR="00CA105F">
        <w:rPr>
          <w:rFonts w:ascii="Candara" w:hAnsi="Candara"/>
          <w:bCs/>
          <w:color w:val="000000"/>
        </w:rPr>
        <w:t xml:space="preserve">decembrī noslēgti līgumi </w:t>
      </w:r>
      <w:r w:rsidR="00625C7B">
        <w:rPr>
          <w:rFonts w:ascii="Candara" w:hAnsi="Candara"/>
          <w:bCs/>
          <w:color w:val="000000"/>
        </w:rPr>
        <w:t>1.1.1.2.</w:t>
      </w:r>
      <w:r>
        <w:rPr>
          <w:rFonts w:ascii="Candara" w:hAnsi="Candara"/>
          <w:bCs/>
          <w:color w:val="000000"/>
        </w:rPr>
        <w:t>pasākuma pirmā</w:t>
      </w:r>
      <w:r w:rsidR="00CA105F">
        <w:rPr>
          <w:rFonts w:ascii="Candara" w:hAnsi="Candara"/>
          <w:bCs/>
          <w:color w:val="000000"/>
        </w:rPr>
        <w:t>s</w:t>
      </w:r>
      <w:r>
        <w:rPr>
          <w:rFonts w:ascii="Candara" w:hAnsi="Candara"/>
          <w:bCs/>
          <w:color w:val="000000"/>
        </w:rPr>
        <w:t xml:space="preserve"> projektu iesniegumu atlases kārta</w:t>
      </w:r>
      <w:r w:rsidR="00CA105F">
        <w:rPr>
          <w:rFonts w:ascii="Candara" w:hAnsi="Candara"/>
          <w:bCs/>
          <w:color w:val="000000"/>
        </w:rPr>
        <w:t>s ietvaros</w:t>
      </w:r>
      <w:r>
        <w:rPr>
          <w:rFonts w:ascii="Candara" w:hAnsi="Candara"/>
          <w:bCs/>
          <w:color w:val="000000"/>
        </w:rPr>
        <w:t xml:space="preserve"> ar kopējo finansējumu </w:t>
      </w:r>
      <w:r w:rsidR="00CA105F">
        <w:rPr>
          <w:rFonts w:ascii="Candara" w:hAnsi="Candara"/>
          <w:bCs/>
          <w:color w:val="000000"/>
        </w:rPr>
        <w:t>16,5</w:t>
      </w:r>
      <w:r>
        <w:rPr>
          <w:rFonts w:ascii="Candara" w:hAnsi="Candara"/>
          <w:bCs/>
          <w:color w:val="000000"/>
        </w:rPr>
        <w:t xml:space="preserve"> M EUR (no kuriem </w:t>
      </w:r>
      <w:r w:rsidR="00CA105F">
        <w:rPr>
          <w:rFonts w:ascii="Candara" w:hAnsi="Candara"/>
          <w:bCs/>
          <w:color w:val="000000"/>
        </w:rPr>
        <w:t>15,7</w:t>
      </w:r>
      <w:r>
        <w:rPr>
          <w:rFonts w:ascii="Candara" w:hAnsi="Candara"/>
          <w:bCs/>
          <w:color w:val="000000"/>
        </w:rPr>
        <w:t xml:space="preserve"> MEUR publiskais programmas finansējums) atbalstīšanu īstenošanai</w:t>
      </w:r>
      <w:r>
        <w:rPr>
          <w:rStyle w:val="FootnoteReference"/>
          <w:rFonts w:ascii="Candara" w:hAnsi="Candara"/>
          <w:bCs/>
          <w:color w:val="000000"/>
        </w:rPr>
        <w:footnoteReference w:id="28"/>
      </w:r>
      <w:r>
        <w:rPr>
          <w:rFonts w:ascii="Candara" w:hAnsi="Candara"/>
          <w:bCs/>
          <w:color w:val="000000"/>
        </w:rPr>
        <w:t xml:space="preserve">. </w:t>
      </w:r>
      <w:r w:rsidR="00B55C40">
        <w:rPr>
          <w:rFonts w:ascii="Candara" w:hAnsi="Candara"/>
          <w:bCs/>
          <w:color w:val="000000"/>
        </w:rPr>
        <w:t xml:space="preserve">35 projekti jeb </w:t>
      </w:r>
      <w:r w:rsidR="006B171E">
        <w:rPr>
          <w:rFonts w:ascii="Candara" w:eastAsia="SimSun" w:hAnsi="Candara" w:cs="Times New Roman"/>
          <w:lang w:eastAsia="zh-CN" w:bidi="lo-LA"/>
        </w:rPr>
        <w:t>2</w:t>
      </w:r>
      <w:r w:rsidR="00B55C40">
        <w:rPr>
          <w:rFonts w:ascii="Candara" w:eastAsia="SimSun" w:hAnsi="Candara" w:cs="Times New Roman"/>
          <w:lang w:eastAsia="zh-CN" w:bidi="lo-LA"/>
        </w:rPr>
        <w:t>8</w:t>
      </w:r>
      <w:r>
        <w:rPr>
          <w:rFonts w:ascii="Candara" w:eastAsia="SimSun" w:hAnsi="Candara" w:cs="Times New Roman"/>
          <w:lang w:eastAsia="zh-CN" w:bidi="lo-LA"/>
        </w:rPr>
        <w:t xml:space="preserve">% no kopējiem pēcdoktorantūras pētījumiem, ieguldot </w:t>
      </w:r>
      <w:r w:rsidR="00B55C40">
        <w:rPr>
          <w:rFonts w:ascii="Candara" w:eastAsia="SimSun" w:hAnsi="Candara" w:cs="Times New Roman"/>
          <w:lang w:eastAsia="zh-CN" w:bidi="lo-LA"/>
        </w:rPr>
        <w:t>4,68</w:t>
      </w:r>
      <w:r>
        <w:rPr>
          <w:rFonts w:ascii="Candara" w:eastAsia="SimSun" w:hAnsi="Candara" w:cs="Times New Roman"/>
          <w:lang w:eastAsia="zh-CN" w:bidi="lo-LA"/>
        </w:rPr>
        <w:t xml:space="preserve"> MEUR, tiks īstenoti RIS3 specializācijas jomā “Viedie materiāli, tehnoloģijas un inženiersistēmas”, </w:t>
      </w:r>
      <w:r w:rsidR="00B55C40">
        <w:rPr>
          <w:rFonts w:ascii="Candara" w:eastAsia="SimSun" w:hAnsi="Candara" w:cs="Times New Roman"/>
          <w:lang w:eastAsia="zh-CN" w:bidi="lo-LA"/>
        </w:rPr>
        <w:t xml:space="preserve">27 projekti jev </w:t>
      </w:r>
      <w:r>
        <w:rPr>
          <w:rFonts w:ascii="Candara" w:eastAsia="SimSun" w:hAnsi="Candara" w:cs="Times New Roman"/>
          <w:lang w:eastAsia="zh-CN" w:bidi="lo-LA"/>
        </w:rPr>
        <w:t>2</w:t>
      </w:r>
      <w:r w:rsidR="00B55C40">
        <w:rPr>
          <w:rFonts w:ascii="Candara" w:eastAsia="SimSun" w:hAnsi="Candara" w:cs="Times New Roman"/>
          <w:lang w:eastAsia="zh-CN" w:bidi="lo-LA"/>
        </w:rPr>
        <w:t>2</w:t>
      </w:r>
      <w:r>
        <w:rPr>
          <w:rFonts w:ascii="Candara" w:eastAsia="SimSun" w:hAnsi="Candara" w:cs="Times New Roman"/>
          <w:lang w:eastAsia="zh-CN" w:bidi="lo-LA"/>
        </w:rPr>
        <w:t xml:space="preserve">% - RIS3 specializācijas jomā “Biomedicīna, medicīnas tehnoloģijas, biofarmācija un biotehnoloģijas” ar kopējo attiecināmā finansējuma apmēru </w:t>
      </w:r>
      <w:r w:rsidR="00B55C40">
        <w:rPr>
          <w:rFonts w:ascii="Candara" w:eastAsia="SimSun" w:hAnsi="Candara" w:cs="Times New Roman"/>
          <w:lang w:eastAsia="zh-CN" w:bidi="lo-LA"/>
        </w:rPr>
        <w:t>3,59</w:t>
      </w:r>
      <w:r w:rsidR="006B171E">
        <w:rPr>
          <w:rFonts w:ascii="Candara" w:eastAsia="SimSun" w:hAnsi="Candara" w:cs="Times New Roman"/>
          <w:lang w:eastAsia="zh-CN" w:bidi="lo-LA"/>
        </w:rPr>
        <w:t xml:space="preserve"> </w:t>
      </w:r>
      <w:r>
        <w:rPr>
          <w:rFonts w:ascii="Candara" w:eastAsia="SimSun" w:hAnsi="Candara" w:cs="Times New Roman"/>
          <w:lang w:eastAsia="zh-CN" w:bidi="lo-LA"/>
        </w:rPr>
        <w:t>MEUR, kā arī apjomīgs skaits pēcdoktorantūras pētījumu –</w:t>
      </w:r>
      <w:r w:rsidR="00CA105F">
        <w:rPr>
          <w:rFonts w:ascii="Candara" w:eastAsia="SimSun" w:hAnsi="Candara" w:cs="Times New Roman"/>
          <w:lang w:eastAsia="zh-CN" w:bidi="lo-LA"/>
        </w:rPr>
        <w:t xml:space="preserve"> </w:t>
      </w:r>
      <w:r w:rsidR="0055053D">
        <w:rPr>
          <w:rFonts w:ascii="Candara" w:eastAsia="SimSun" w:hAnsi="Candara" w:cs="Times New Roman"/>
          <w:lang w:eastAsia="zh-CN" w:bidi="lo-LA"/>
        </w:rPr>
        <w:t>19</w:t>
      </w:r>
      <w:r>
        <w:rPr>
          <w:rFonts w:ascii="Candara" w:eastAsia="SimSun" w:hAnsi="Candara" w:cs="Times New Roman"/>
          <w:lang w:eastAsia="zh-CN" w:bidi="lo-LA"/>
        </w:rPr>
        <w:t xml:space="preserve">% no kopējiem atbalstu saņēmušajiem par kopējo attiecināmā finansējuma apmēru </w:t>
      </w:r>
      <w:r w:rsidR="00CA105F">
        <w:rPr>
          <w:rFonts w:ascii="Candara" w:eastAsia="SimSun" w:hAnsi="Candara" w:cs="Times New Roman"/>
          <w:lang w:eastAsia="zh-CN" w:bidi="lo-LA"/>
        </w:rPr>
        <w:t>3,</w:t>
      </w:r>
      <w:r w:rsidR="0055053D">
        <w:rPr>
          <w:rFonts w:ascii="Candara" w:eastAsia="SimSun" w:hAnsi="Candara" w:cs="Times New Roman"/>
          <w:lang w:eastAsia="zh-CN" w:bidi="lo-LA"/>
        </w:rPr>
        <w:t>05</w:t>
      </w:r>
      <w:r>
        <w:rPr>
          <w:rFonts w:ascii="Candara" w:eastAsia="SimSun" w:hAnsi="Candara" w:cs="Times New Roman"/>
          <w:lang w:eastAsia="zh-CN" w:bidi="lo-LA"/>
        </w:rPr>
        <w:t xml:space="preserve"> MEUR, tiks īstenoti kādā no zinātņu nozarēm, kas neatbilst nevienai no RIS3 specializācijas jomām</w:t>
      </w:r>
      <w:r>
        <w:rPr>
          <w:rStyle w:val="FootnoteReference"/>
          <w:rFonts w:ascii="Candara" w:eastAsia="SimSun" w:hAnsi="Candara" w:cs="Times New Roman"/>
          <w:lang w:eastAsia="zh-CN" w:bidi="lo-LA"/>
        </w:rPr>
        <w:footnoteReference w:id="29"/>
      </w:r>
      <w:r>
        <w:rPr>
          <w:rFonts w:ascii="Candara" w:eastAsia="SimSun" w:hAnsi="Candara" w:cs="Times New Roman"/>
          <w:lang w:eastAsia="zh-CN" w:bidi="lo-LA"/>
        </w:rPr>
        <w:t>, bet kuri sniedz nozīmīgu ieguldījumu kādā no RIS3 izvirzīto izaugsmes prioritāšu ī</w:t>
      </w:r>
      <w:r w:rsidR="00A65B70">
        <w:rPr>
          <w:rFonts w:ascii="Candara" w:eastAsia="SimSun" w:hAnsi="Candara" w:cs="Times New Roman"/>
          <w:lang w:eastAsia="zh-CN" w:bidi="lo-LA"/>
        </w:rPr>
        <w:t>stenošanā (49</w:t>
      </w:r>
      <w:r w:rsidR="00822D84">
        <w:rPr>
          <w:rFonts w:ascii="Candara" w:eastAsia="SimSun" w:hAnsi="Candara" w:cs="Times New Roman"/>
          <w:lang w:eastAsia="zh-CN" w:bidi="lo-LA"/>
        </w:rPr>
        <w:t>.attēls).</w:t>
      </w:r>
    </w:p>
    <w:p w:rsidR="00C8558B" w:rsidP="00B34442" w14:paraId="3CB070F1" w14:textId="77777777">
      <w:pPr>
        <w:spacing w:after="120" w:line="240" w:lineRule="auto"/>
        <w:ind w:left="284"/>
        <w:jc w:val="center"/>
        <w:rPr>
          <w:rFonts w:ascii="Candara" w:eastAsia="Times New Roman" w:hAnsi="Candara" w:cs="Times New Roman"/>
          <w:i/>
          <w:iCs/>
          <w:color w:val="000000"/>
          <w:sz w:val="20"/>
          <w:szCs w:val="20"/>
          <w:u w:val="single"/>
          <w:lang w:eastAsia="en-GB"/>
        </w:rPr>
      </w:pPr>
      <w:r>
        <w:rPr>
          <w:noProof/>
          <w:lang w:eastAsia="lv-LV"/>
        </w:rPr>
        <w:drawing>
          <wp:inline distT="0" distB="0" distL="0" distR="0">
            <wp:extent cx="4600575" cy="2867025"/>
            <wp:effectExtent l="0" t="0" r="9525"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A0380" w:rsidRPr="00BA0380" w:rsidP="00BA0380" w14:paraId="57E99B54" w14:textId="77777777">
      <w:pPr>
        <w:spacing w:after="12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BA0380" w:rsidRPr="00BA0380" w:rsidP="00BA0380" w14:paraId="37F8C4D3" w14:textId="77777777">
      <w:pPr>
        <w:pStyle w:val="ListParagraph"/>
        <w:ind w:left="786" w:firstLine="0"/>
        <w:textAlignment w:val="baseline"/>
        <w:rPr>
          <w:rFonts w:ascii="Candara" w:hAnsi="Candara"/>
          <w:b/>
          <w:i/>
          <w:iCs/>
          <w:color w:val="000000"/>
          <w:sz w:val="20"/>
          <w:szCs w:val="20"/>
          <w:lang w:eastAsia="en-GB"/>
        </w:rPr>
      </w:pP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2"/>
        <w:gridCol w:w="3742"/>
      </w:tblGrid>
      <w:tr w14:paraId="3830E9F7" w14:textId="77777777" w:rsidTr="00BA0380">
        <w:tblPrEx>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48" w:type="dxa"/>
          </w:tcPr>
          <w:p w:rsidR="00BA0380" w:rsidRPr="00161769" w:rsidP="00BA0380" w14:paraId="5DA3AE4A" w14:textId="77777777">
            <w:pPr>
              <w:pStyle w:val="ListParagraph"/>
              <w:ind w:left="207" w:firstLine="0"/>
              <w:textAlignment w:val="baseline"/>
              <w:rPr>
                <w:rFonts w:ascii="Candara" w:hAnsi="Candara"/>
                <w:b/>
                <w:i/>
                <w:iCs/>
                <w:color w:val="000000"/>
                <w:sz w:val="20"/>
                <w:szCs w:val="20"/>
                <w:lang w:eastAsia="en-GB"/>
              </w:rPr>
            </w:pPr>
            <w:r>
              <w:rPr>
                <w:rFonts w:ascii="Candara" w:hAnsi="Candara"/>
                <w:b/>
                <w:i/>
                <w:iCs/>
                <w:color w:val="000000"/>
                <w:sz w:val="20"/>
                <w:szCs w:val="20"/>
                <w:lang w:eastAsia="en-GB"/>
              </w:rPr>
              <w:t>RIS3 mērķa sasniegšanas rādītāji:</w:t>
            </w:r>
          </w:p>
          <w:p w:rsidR="00BA0380" w:rsidP="00BA0380" w14:paraId="6B622C57" w14:textId="77777777">
            <w:pPr>
              <w:pStyle w:val="ListParagraph"/>
              <w:numPr>
                <w:ilvl w:val="0"/>
                <w:numId w:val="7"/>
              </w:numPr>
              <w:ind w:left="207"/>
              <w:textAlignment w:val="baseline"/>
              <w:rPr>
                <w:rFonts w:ascii="Candara" w:hAnsi="Candara"/>
                <w:i/>
                <w:iCs/>
                <w:color w:val="000000"/>
                <w:sz w:val="20"/>
                <w:szCs w:val="20"/>
                <w:lang w:eastAsia="en-GB"/>
              </w:rPr>
            </w:pPr>
            <w:r>
              <w:rPr>
                <w:rFonts w:ascii="Candara" w:hAnsi="Candara"/>
                <w:i/>
                <w:iCs/>
                <w:color w:val="000000"/>
                <w:sz w:val="20"/>
                <w:szCs w:val="20"/>
                <w:lang w:eastAsia="en-GB"/>
              </w:rPr>
              <w:t>Eiropas inovāciju rādītāju grupa (EIS pozīcija);</w:t>
            </w:r>
          </w:p>
          <w:p w:rsidR="00BA0380" w:rsidP="00BA0380" w14:paraId="304BEF2E" w14:textId="77777777">
            <w:pPr>
              <w:pStyle w:val="ListParagraph"/>
              <w:numPr>
                <w:ilvl w:val="0"/>
                <w:numId w:val="7"/>
              </w:numPr>
              <w:ind w:left="207"/>
              <w:textAlignment w:val="baseline"/>
              <w:rPr>
                <w:rFonts w:ascii="Candara" w:hAnsi="Candara"/>
                <w:i/>
                <w:iCs/>
                <w:color w:val="000000"/>
                <w:sz w:val="20"/>
                <w:szCs w:val="20"/>
                <w:lang w:eastAsia="en-GB"/>
              </w:rPr>
            </w:pPr>
            <w:r>
              <w:rPr>
                <w:rFonts w:ascii="Candara" w:hAnsi="Candara"/>
                <w:i/>
                <w:iCs/>
                <w:color w:val="000000"/>
                <w:sz w:val="20"/>
                <w:szCs w:val="20"/>
                <w:lang w:eastAsia="en-GB"/>
              </w:rPr>
              <w:t>Ieguldījumi P&amp;A 1.5% no IKP;</w:t>
            </w:r>
          </w:p>
          <w:p w:rsidR="00BA0380" w:rsidP="00BA0380" w14:paraId="6C238F00" w14:textId="77777777">
            <w:pPr>
              <w:pStyle w:val="ListParagraph"/>
              <w:numPr>
                <w:ilvl w:val="0"/>
                <w:numId w:val="7"/>
              </w:numPr>
              <w:ind w:left="207"/>
              <w:jc w:val="left"/>
              <w:textAlignment w:val="baseline"/>
              <w:rPr>
                <w:rFonts w:ascii="Candara" w:hAnsi="Candara"/>
                <w:i/>
                <w:iCs/>
                <w:color w:val="000000"/>
                <w:sz w:val="20"/>
                <w:szCs w:val="20"/>
                <w:lang w:eastAsia="en-GB"/>
              </w:rPr>
            </w:pPr>
            <w:r>
              <w:rPr>
                <w:rFonts w:ascii="Candara" w:hAnsi="Candara"/>
                <w:i/>
                <w:iCs/>
                <w:color w:val="000000"/>
                <w:sz w:val="20"/>
                <w:szCs w:val="20"/>
                <w:lang w:eastAsia="en-GB"/>
              </w:rPr>
              <w:t>Produktivitāte apstrādes rūpniecībā;</w:t>
            </w:r>
          </w:p>
          <w:p w:rsidR="00BA0380" w:rsidRPr="00BE334C" w:rsidP="00BA0380" w14:paraId="2B31E44B" w14:textId="77777777">
            <w:pPr>
              <w:pStyle w:val="ListParagraph"/>
              <w:numPr>
                <w:ilvl w:val="0"/>
                <w:numId w:val="7"/>
              </w:numPr>
              <w:ind w:left="207"/>
              <w:textAlignment w:val="baseline"/>
              <w:rPr>
                <w:rFonts w:ascii="Candara" w:hAnsi="Candara"/>
                <w:i/>
                <w:iCs/>
                <w:color w:val="000000"/>
                <w:sz w:val="20"/>
                <w:szCs w:val="20"/>
                <w:lang w:eastAsia="en-GB"/>
              </w:rPr>
            </w:pPr>
            <w:r>
              <w:rPr>
                <w:rFonts w:ascii="Candara" w:hAnsi="Candara"/>
                <w:i/>
                <w:iCs/>
                <w:color w:val="000000"/>
                <w:sz w:val="20"/>
                <w:szCs w:val="20"/>
                <w:lang w:eastAsia="en-GB"/>
              </w:rPr>
              <w:t>Zinātnisko darbinieku skaits P&amp;A;</w:t>
            </w:r>
          </w:p>
          <w:p w:rsidR="00BA0380" w:rsidRPr="00161769" w:rsidP="00BA0380" w14:paraId="340FDD4D" w14:textId="77777777">
            <w:pPr>
              <w:pStyle w:val="ListParagraph"/>
              <w:numPr>
                <w:ilvl w:val="0"/>
                <w:numId w:val="7"/>
              </w:numPr>
              <w:ind w:left="207"/>
              <w:textAlignment w:val="baseline"/>
              <w:rPr>
                <w:rFonts w:ascii="Candara" w:hAnsi="Candara"/>
                <w:i/>
                <w:iCs/>
                <w:color w:val="000000"/>
                <w:sz w:val="20"/>
                <w:szCs w:val="20"/>
                <w:lang w:eastAsia="en-GB"/>
              </w:rPr>
            </w:pPr>
            <w:r w:rsidRPr="00161769">
              <w:rPr>
                <w:rFonts w:ascii="Candara" w:hAnsi="Candara"/>
                <w:i/>
                <w:iCs/>
                <w:color w:val="000000"/>
                <w:sz w:val="20"/>
                <w:szCs w:val="20"/>
                <w:lang w:eastAsia="en-GB"/>
              </w:rPr>
              <w:t>Zinātniskie raksti, kas publicēti starptautiskās datu bāzēs</w:t>
            </w:r>
            <w:r>
              <w:rPr>
                <w:rFonts w:ascii="Candara" w:hAnsi="Candara"/>
                <w:i/>
                <w:iCs/>
                <w:color w:val="000000"/>
                <w:sz w:val="20"/>
                <w:szCs w:val="20"/>
                <w:lang w:eastAsia="en-GB"/>
              </w:rPr>
              <w:t>;</w:t>
            </w:r>
            <w:r w:rsidRPr="00161769">
              <w:rPr>
                <w:rFonts w:ascii="Candara" w:hAnsi="Candara"/>
                <w:i/>
                <w:iCs/>
                <w:color w:val="000000"/>
                <w:sz w:val="20"/>
                <w:szCs w:val="20"/>
                <w:lang w:eastAsia="en-GB"/>
              </w:rPr>
              <w:t xml:space="preserve"> </w:t>
            </w:r>
          </w:p>
          <w:p w:rsidR="00BA0380" w:rsidRPr="00161769" w:rsidP="00BA0380" w14:paraId="5FA99475" w14:textId="77777777">
            <w:pPr>
              <w:pStyle w:val="ListParagraph"/>
              <w:numPr>
                <w:ilvl w:val="0"/>
                <w:numId w:val="7"/>
              </w:numPr>
              <w:ind w:left="207"/>
              <w:textAlignment w:val="baseline"/>
              <w:rPr>
                <w:rFonts w:ascii="Candara" w:hAnsi="Candara"/>
                <w:i/>
                <w:iCs/>
                <w:color w:val="000000"/>
                <w:sz w:val="20"/>
                <w:szCs w:val="20"/>
                <w:lang w:eastAsia="en-GB"/>
              </w:rPr>
            </w:pPr>
            <w:r w:rsidRPr="00161769">
              <w:rPr>
                <w:rFonts w:ascii="Candara" w:hAnsi="Candara"/>
                <w:i/>
                <w:iCs/>
                <w:color w:val="000000"/>
                <w:sz w:val="20"/>
                <w:szCs w:val="20"/>
                <w:lang w:eastAsia="en-GB"/>
              </w:rPr>
              <w:t>Privātā sektora ieguldījumu proporcionāls pieaugums P&amp;A</w:t>
            </w:r>
            <w:r>
              <w:rPr>
                <w:rFonts w:ascii="Candara" w:hAnsi="Candara"/>
                <w:i/>
                <w:iCs/>
                <w:color w:val="000000"/>
                <w:sz w:val="20"/>
                <w:szCs w:val="20"/>
                <w:lang w:eastAsia="en-GB"/>
              </w:rPr>
              <w:t>;</w:t>
            </w:r>
          </w:p>
          <w:p w:rsidR="00BA0380" w:rsidRPr="00161769" w:rsidP="00BA0380" w14:paraId="07B14345" w14:textId="77777777">
            <w:pPr>
              <w:pStyle w:val="ListParagraph"/>
              <w:numPr>
                <w:ilvl w:val="0"/>
                <w:numId w:val="7"/>
              </w:numPr>
              <w:ind w:left="207"/>
              <w:textAlignment w:val="baseline"/>
              <w:rPr>
                <w:rFonts w:ascii="Candara" w:hAnsi="Candara"/>
                <w:i/>
                <w:iCs/>
                <w:color w:val="000000"/>
                <w:sz w:val="20"/>
                <w:szCs w:val="20"/>
                <w:lang w:eastAsia="en-GB"/>
              </w:rPr>
            </w:pPr>
            <w:r w:rsidRPr="00161769">
              <w:rPr>
                <w:rFonts w:ascii="Candara" w:hAnsi="Candara"/>
                <w:i/>
                <w:iCs/>
                <w:color w:val="000000"/>
                <w:sz w:val="20"/>
                <w:szCs w:val="20"/>
                <w:lang w:eastAsia="en-GB"/>
              </w:rPr>
              <w:t>Zinātnisko darbinieku skaits, kas nodarbināti privātajā sektorā;</w:t>
            </w:r>
          </w:p>
          <w:p w:rsidR="00BA0380" w:rsidP="00BA0380" w14:paraId="366E5DB9" w14:textId="77777777">
            <w:pPr>
              <w:pStyle w:val="ListParagraph"/>
              <w:numPr>
                <w:ilvl w:val="0"/>
                <w:numId w:val="7"/>
              </w:numPr>
              <w:ind w:left="207"/>
              <w:textAlignment w:val="baseline"/>
              <w:rPr>
                <w:rFonts w:ascii="Candara" w:hAnsi="Candara"/>
                <w:i/>
                <w:iCs/>
                <w:color w:val="000000"/>
                <w:sz w:val="20"/>
                <w:szCs w:val="20"/>
                <w:lang w:eastAsia="en-GB"/>
              </w:rPr>
            </w:pPr>
            <w:r w:rsidRPr="00161769">
              <w:rPr>
                <w:rFonts w:ascii="Candara" w:hAnsi="Candara"/>
                <w:i/>
                <w:iCs/>
                <w:color w:val="000000"/>
                <w:sz w:val="20"/>
                <w:szCs w:val="20"/>
                <w:lang w:eastAsia="en-GB"/>
              </w:rPr>
              <w:t xml:space="preserve">Piešķirtie Eiropas patenti no zinātniekiem, kas rezidē Latvijā; </w:t>
            </w:r>
          </w:p>
          <w:p w:rsidR="00BA0380" w:rsidP="00BA0380" w14:paraId="430E49C4" w14:textId="77777777">
            <w:pPr>
              <w:pStyle w:val="ListParagraph"/>
              <w:numPr>
                <w:ilvl w:val="0"/>
                <w:numId w:val="7"/>
              </w:numPr>
              <w:ind w:left="207"/>
              <w:textAlignment w:val="baseline"/>
              <w:rPr>
                <w:rFonts w:ascii="Candara" w:hAnsi="Candara"/>
                <w:i/>
                <w:iCs/>
                <w:color w:val="000000"/>
                <w:sz w:val="20"/>
                <w:szCs w:val="20"/>
                <w:lang w:eastAsia="en-GB"/>
              </w:rPr>
            </w:pPr>
            <w:r>
              <w:rPr>
                <w:rFonts w:ascii="Candara" w:hAnsi="Candara"/>
                <w:i/>
                <w:iCs/>
                <w:color w:val="000000"/>
                <w:sz w:val="20"/>
                <w:szCs w:val="20"/>
                <w:lang w:eastAsia="en-GB"/>
              </w:rPr>
              <w:t>Apstrādes rūpniecības īpatsvars IKT un tās produktivitātes pieaugums;</w:t>
            </w:r>
          </w:p>
          <w:p w:rsidR="00BA0380" w:rsidP="00BA0380" w14:paraId="1630A997" w14:textId="77777777">
            <w:pPr>
              <w:pStyle w:val="ListParagraph"/>
              <w:numPr>
                <w:ilvl w:val="0"/>
                <w:numId w:val="7"/>
              </w:numPr>
              <w:ind w:left="207"/>
              <w:textAlignment w:val="baseline"/>
              <w:rPr>
                <w:rFonts w:ascii="Candara" w:hAnsi="Candara"/>
                <w:i/>
                <w:iCs/>
                <w:color w:val="000000"/>
                <w:sz w:val="20"/>
                <w:szCs w:val="20"/>
                <w:lang w:eastAsia="en-GB"/>
              </w:rPr>
            </w:pPr>
            <w:r>
              <w:rPr>
                <w:rFonts w:ascii="Candara" w:hAnsi="Candara"/>
                <w:i/>
                <w:iCs/>
                <w:color w:val="000000"/>
                <w:sz w:val="20"/>
                <w:szCs w:val="20"/>
                <w:lang w:eastAsia="en-GB"/>
              </w:rPr>
              <w:t>Eksporta pieaugums;</w:t>
            </w:r>
          </w:p>
          <w:p w:rsidR="00BA0380" w:rsidRPr="00C8558B" w:rsidP="00BA0380" w14:paraId="63E6C0F9" w14:textId="77777777">
            <w:pPr>
              <w:pStyle w:val="ListParagraph"/>
              <w:numPr>
                <w:ilvl w:val="0"/>
                <w:numId w:val="7"/>
              </w:numPr>
              <w:ind w:left="207"/>
              <w:textAlignment w:val="baseline"/>
              <w:rPr>
                <w:rFonts w:ascii="Candara" w:hAnsi="Candara"/>
                <w:i/>
                <w:iCs/>
                <w:color w:val="000000"/>
                <w:sz w:val="20"/>
                <w:szCs w:val="20"/>
                <w:lang w:eastAsia="en-GB"/>
              </w:rPr>
            </w:pPr>
            <w:r>
              <w:rPr>
                <w:rFonts w:ascii="Candara" w:hAnsi="Candara"/>
                <w:i/>
                <w:iCs/>
                <w:color w:val="000000"/>
                <w:sz w:val="20"/>
                <w:szCs w:val="20"/>
                <w:lang w:eastAsia="en-GB"/>
              </w:rPr>
              <w:t>Augsto tehnoloģiju produktu īpatsvars Latvijas kopējā eksportā un augsto un vidēji augsto tehnoloģiju nozaru īpatsvars Latvijas preču eksportā</w:t>
            </w:r>
          </w:p>
          <w:p w:rsidR="00BA0380" w:rsidP="00C8558B" w14:paraId="2685F65D" w14:textId="77777777">
            <w:pPr>
              <w:pStyle w:val="ListParagraph"/>
              <w:ind w:left="0" w:firstLine="0"/>
              <w:textAlignment w:val="baseline"/>
              <w:rPr>
                <w:rFonts w:ascii="Candara" w:hAnsi="Candara"/>
                <w:b/>
                <w:i/>
                <w:iCs/>
                <w:color w:val="000000"/>
                <w:sz w:val="20"/>
                <w:szCs w:val="20"/>
                <w:lang w:eastAsia="en-GB"/>
              </w:rPr>
            </w:pPr>
          </w:p>
        </w:tc>
        <w:tc>
          <w:tcPr>
            <w:tcW w:w="4148" w:type="dxa"/>
          </w:tcPr>
          <w:p w:rsidR="00BA0380" w:rsidP="00BA0380" w14:paraId="7C490275" w14:textId="77777777">
            <w:pPr>
              <w:pStyle w:val="ListParagraph"/>
              <w:spacing w:before="120"/>
              <w:ind w:left="788" w:firstLine="0"/>
              <w:textAlignment w:val="baseline"/>
              <w:rPr>
                <w:rFonts w:ascii="Candara" w:hAnsi="Candara"/>
                <w:b/>
                <w:i/>
                <w:iCs/>
                <w:color w:val="000000"/>
                <w:sz w:val="20"/>
                <w:szCs w:val="20"/>
                <w:lang w:eastAsia="en-GB"/>
              </w:rPr>
            </w:pPr>
            <w:r w:rsidRPr="00161769">
              <w:rPr>
                <w:rFonts w:ascii="Candara" w:hAnsi="Candara"/>
                <w:b/>
                <w:i/>
                <w:iCs/>
                <w:color w:val="000000"/>
                <w:sz w:val="20"/>
                <w:szCs w:val="20"/>
                <w:lang w:eastAsia="en-GB"/>
              </w:rPr>
              <w:t>RIS3 mikro līmeņa rādītāji:</w:t>
            </w:r>
          </w:p>
          <w:p w:rsidR="00BA0380" w:rsidRPr="00C8558B" w:rsidP="00BA0380" w14:paraId="17F036F2" w14:textId="77777777">
            <w:pPr>
              <w:pStyle w:val="ListParagraph"/>
              <w:numPr>
                <w:ilvl w:val="0"/>
                <w:numId w:val="7"/>
              </w:numPr>
              <w:textAlignment w:val="baseline"/>
              <w:rPr>
                <w:rFonts w:ascii="Candara" w:hAnsi="Candara"/>
                <w:i/>
                <w:iCs/>
                <w:color w:val="000000"/>
                <w:sz w:val="20"/>
                <w:szCs w:val="20"/>
                <w:lang w:eastAsia="en-GB"/>
              </w:rPr>
            </w:pPr>
            <w:r w:rsidRPr="00C8558B">
              <w:rPr>
                <w:rFonts w:ascii="Candara" w:hAnsi="Candara"/>
                <w:i/>
                <w:iCs/>
                <w:color w:val="000000"/>
                <w:sz w:val="20"/>
                <w:szCs w:val="20"/>
                <w:lang w:eastAsia="en-GB"/>
              </w:rPr>
              <w:t>Zinātnisko institūciju licenču/patentu ieņēmumi (EUR);</w:t>
            </w:r>
          </w:p>
          <w:p w:rsidR="00BA0380" w:rsidRPr="00161769" w:rsidP="00BA0380" w14:paraId="75789FE0" w14:textId="77777777">
            <w:pPr>
              <w:pStyle w:val="ListParagraph"/>
              <w:numPr>
                <w:ilvl w:val="0"/>
                <w:numId w:val="7"/>
              </w:numPr>
              <w:textAlignment w:val="baseline"/>
              <w:rPr>
                <w:rFonts w:ascii="Candara" w:hAnsi="Candara"/>
                <w:b/>
                <w:i/>
                <w:iCs/>
                <w:color w:val="000000"/>
                <w:sz w:val="20"/>
                <w:szCs w:val="20"/>
                <w:lang w:eastAsia="en-GB"/>
              </w:rPr>
            </w:pPr>
            <w:r>
              <w:rPr>
                <w:rFonts w:ascii="Candara" w:hAnsi="Candara"/>
                <w:i/>
                <w:iCs/>
                <w:color w:val="000000"/>
                <w:sz w:val="20"/>
                <w:szCs w:val="20"/>
                <w:lang w:eastAsia="en-GB"/>
              </w:rPr>
              <w:t>Uzņēmumu līdzfinansējums P&amp;A projektiem (EUR);</w:t>
            </w:r>
          </w:p>
          <w:p w:rsidR="00BA0380" w:rsidRPr="00C8558B" w:rsidP="00BA0380" w14:paraId="2F9A5CE5" w14:textId="77777777">
            <w:pPr>
              <w:pStyle w:val="ListParagraph"/>
              <w:numPr>
                <w:ilvl w:val="0"/>
                <w:numId w:val="7"/>
              </w:numPr>
              <w:textAlignment w:val="baseline"/>
              <w:rPr>
                <w:rFonts w:ascii="Arial" w:hAnsi="Arial" w:cs="Arial"/>
                <w:i/>
                <w:iCs/>
                <w:color w:val="000000"/>
                <w:sz w:val="20"/>
                <w:szCs w:val="20"/>
                <w:lang w:eastAsia="en-GB"/>
              </w:rPr>
            </w:pPr>
            <w:r w:rsidRPr="00BE334C">
              <w:rPr>
                <w:rFonts w:ascii="Candara" w:hAnsi="Candara" w:cs="Arial"/>
                <w:i/>
                <w:iCs/>
                <w:color w:val="000000"/>
                <w:sz w:val="20"/>
                <w:szCs w:val="20"/>
                <w:lang w:eastAsia="en-GB"/>
              </w:rPr>
              <w:t>Uzņēmumu skaits, kas saņēmuši atbalstu, lai ieviestu jaunus produktus un tehnoloģijas;</w:t>
            </w:r>
          </w:p>
          <w:p w:rsidR="00BA0380" w:rsidRPr="00C8558B" w:rsidP="00BA0380" w14:paraId="4FEA953B" w14:textId="77777777">
            <w:pPr>
              <w:numPr>
                <w:ilvl w:val="0"/>
                <w:numId w:val="7"/>
              </w:numPr>
              <w:ind w:left="782" w:hanging="357"/>
              <w:jc w:val="both"/>
              <w:textAlignment w:val="baseline"/>
              <w:rPr>
                <w:rFonts w:ascii="Arial" w:eastAsia="Times New Roman" w:hAnsi="Arial" w:cs="Arial"/>
                <w:i/>
                <w:iCs/>
                <w:color w:val="000000"/>
                <w:sz w:val="20"/>
                <w:szCs w:val="20"/>
                <w:lang w:eastAsia="en-GB"/>
              </w:rPr>
            </w:pPr>
            <w:r>
              <w:rPr>
                <w:rFonts w:ascii="Candara" w:eastAsia="Times New Roman" w:hAnsi="Candara" w:cs="Arial"/>
                <w:i/>
                <w:iCs/>
                <w:color w:val="000000"/>
                <w:sz w:val="20"/>
                <w:szCs w:val="20"/>
                <w:lang w:eastAsia="en-GB"/>
              </w:rPr>
              <w:t>Atbalstīto jauno zinātnieku skaits pēcdoktorantūras pētījumu īstenošanai;</w:t>
            </w:r>
          </w:p>
          <w:p w:rsidR="00BA0380" w:rsidRPr="00BE334C" w:rsidP="00BA0380" w14:paraId="756BE2AE" w14:textId="77777777">
            <w:pPr>
              <w:pStyle w:val="ListParagraph"/>
              <w:numPr>
                <w:ilvl w:val="0"/>
                <w:numId w:val="7"/>
              </w:numPr>
              <w:spacing w:before="0"/>
              <w:ind w:left="782" w:hanging="357"/>
              <w:textAlignment w:val="baseline"/>
              <w:rPr>
                <w:rFonts w:ascii="Arial" w:hAnsi="Arial" w:cs="Arial"/>
                <w:i/>
                <w:iCs/>
                <w:color w:val="000000"/>
                <w:sz w:val="20"/>
                <w:szCs w:val="20"/>
                <w:lang w:eastAsia="en-GB"/>
              </w:rPr>
            </w:pPr>
            <w:r w:rsidRPr="00BE334C">
              <w:rPr>
                <w:rFonts w:ascii="Candara" w:hAnsi="Candara" w:cs="Arial"/>
                <w:i/>
                <w:iCs/>
                <w:color w:val="000000"/>
                <w:sz w:val="20"/>
                <w:szCs w:val="20"/>
                <w:lang w:eastAsia="en-GB"/>
              </w:rPr>
              <w:t>Jaunradītās darba vietas, t.sk. tās, kurās nodarbināti zinātniskie darbinieki publiskā sektorā/ uzņēmējdarbības sektorā;</w:t>
            </w:r>
          </w:p>
          <w:p w:rsidR="00BA0380" w:rsidP="00BA0380" w14:paraId="46E41CC7" w14:textId="77777777">
            <w:pPr>
              <w:pStyle w:val="ListParagraph"/>
              <w:numPr>
                <w:ilvl w:val="0"/>
                <w:numId w:val="7"/>
              </w:numPr>
              <w:spacing w:before="0"/>
              <w:ind w:left="782" w:hanging="357"/>
              <w:textAlignment w:val="baseline"/>
              <w:rPr>
                <w:rFonts w:ascii="Candara" w:hAnsi="Candara"/>
                <w:b/>
                <w:i/>
                <w:iCs/>
                <w:color w:val="000000"/>
                <w:sz w:val="20"/>
                <w:szCs w:val="20"/>
                <w:lang w:eastAsia="en-GB"/>
              </w:rPr>
            </w:pPr>
            <w:r w:rsidRPr="00BE334C">
              <w:rPr>
                <w:rFonts w:ascii="Candara" w:hAnsi="Candara" w:cs="Arial"/>
                <w:i/>
                <w:iCs/>
                <w:color w:val="000000"/>
                <w:sz w:val="20"/>
                <w:szCs w:val="20"/>
                <w:lang w:eastAsia="en-GB"/>
              </w:rPr>
              <w:t>Zinātniskie raksti, kas publicēti starptautiskās datu bāzēs indeksētos žurnālos (Scopus, Web of Science);</w:t>
            </w:r>
          </w:p>
        </w:tc>
      </w:tr>
    </w:tbl>
    <w:p w:rsidR="00C8558B" w:rsidP="00C8558B" w14:paraId="478C833E" w14:textId="77777777">
      <w:pPr>
        <w:pStyle w:val="ListParagraph"/>
        <w:ind w:left="786" w:firstLine="0"/>
        <w:textAlignment w:val="baseline"/>
        <w:rPr>
          <w:rFonts w:ascii="Arial" w:hAnsi="Arial" w:cs="Arial"/>
          <w:i/>
          <w:iCs/>
          <w:color w:val="000000"/>
          <w:sz w:val="20"/>
          <w:szCs w:val="20"/>
          <w:lang w:eastAsia="en-GB"/>
        </w:rPr>
        <w:sectPr w:rsidSect="00BA0380">
          <w:type w:val="continuous"/>
          <w:pgSz w:w="11906" w:h="16838"/>
          <w:pgMar w:top="1134" w:right="2125" w:bottom="1134" w:left="1701" w:header="425" w:footer="193" w:gutter="0"/>
          <w:cols w:space="708"/>
          <w:titlePg/>
          <w:docGrid w:linePitch="360"/>
        </w:sectPr>
      </w:pPr>
    </w:p>
    <w:p w:rsidR="00133ACC" w:rsidRPr="006062C2" w:rsidP="006062C2" w14:paraId="7493CB8B" w14:textId="77777777">
      <w:pPr>
        <w:spacing w:after="120"/>
        <w:jc w:val="center"/>
        <w:rPr>
          <w:rFonts w:ascii="Candara" w:eastAsia="SimSun" w:hAnsi="Candara" w:cs="Times New Roman"/>
          <w:lang w:eastAsia="zh-CN" w:bidi="lo-LA"/>
        </w:rPr>
      </w:pPr>
    </w:p>
    <w:tbl>
      <w:tblPr>
        <w:tblW w:w="9063" w:type="dxa"/>
        <w:tblInd w:w="-5" w:type="dxa"/>
        <w:tblCellMar>
          <w:top w:w="15" w:type="dxa"/>
          <w:left w:w="15" w:type="dxa"/>
          <w:bottom w:w="15" w:type="dxa"/>
          <w:right w:w="15" w:type="dxa"/>
        </w:tblCellMar>
        <w:tblLook w:val="04A0"/>
      </w:tblPr>
      <w:tblGrid>
        <w:gridCol w:w="9063"/>
      </w:tblGrid>
      <w:tr w14:paraId="03B53C1D" w14:textId="77777777" w:rsidTr="002F50FB">
        <w:tblPrEx>
          <w:tblW w:w="9063" w:type="dxa"/>
          <w:tblInd w:w="-5" w:type="dxa"/>
          <w:tblCellMar>
            <w:top w:w="15" w:type="dxa"/>
            <w:left w:w="15" w:type="dxa"/>
            <w:bottom w:w="15" w:type="dxa"/>
            <w:right w:w="15" w:type="dxa"/>
          </w:tblCellMar>
          <w:tblLook w:val="04A0"/>
        </w:tblPrEx>
        <w:trPr>
          <w:trHeight w:val="1238"/>
        </w:trPr>
        <w:tc>
          <w:tcPr>
            <w:tcW w:w="9063"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hideMark/>
          </w:tcPr>
          <w:p w:rsidR="00E06C6C" w:rsidRPr="00822D84" w:rsidP="00D31531" w14:paraId="64F49485" w14:textId="77777777">
            <w:pPr>
              <w:pStyle w:val="NormalWeb"/>
              <w:spacing w:before="0" w:beforeAutospacing="0" w:after="120" w:afterAutospacing="0"/>
              <w:jc w:val="both"/>
              <w:rPr>
                <w:rFonts w:ascii="Candara" w:hAnsi="Candara"/>
                <w:b/>
                <w:bCs/>
                <w:sz w:val="20"/>
                <w:szCs w:val="20"/>
              </w:rPr>
            </w:pPr>
            <w:r w:rsidRPr="00822D84">
              <w:rPr>
                <w:rFonts w:ascii="Candara" w:hAnsi="Candara"/>
                <w:b/>
                <w:bCs/>
                <w:sz w:val="20"/>
                <w:szCs w:val="20"/>
              </w:rPr>
              <w:t>ZINĀŠANU BĀZE PAR INOVĀCIJAS PROCESIEM LATVIJĀ</w:t>
            </w:r>
          </w:p>
          <w:p w:rsidR="00E06C6C" w:rsidP="00BD4C4B" w14:paraId="15F2AA6E" w14:textId="77777777">
            <w:pPr>
              <w:pStyle w:val="NormalWeb"/>
              <w:spacing w:before="0" w:beforeAutospacing="0" w:after="120" w:afterAutospacing="0"/>
              <w:jc w:val="both"/>
              <w:rPr>
                <w:rFonts w:ascii="Candara" w:hAnsi="Candara"/>
                <w:bCs/>
                <w:sz w:val="20"/>
                <w:szCs w:val="20"/>
              </w:rPr>
            </w:pPr>
            <w:r w:rsidRPr="00822D84">
              <w:rPr>
                <w:rFonts w:ascii="Candara" w:hAnsi="Candara"/>
                <w:bCs/>
                <w:sz w:val="20"/>
                <w:szCs w:val="20"/>
              </w:rPr>
              <w:t xml:space="preserve">Pēcdoktorantūras pētniecības </w:t>
            </w:r>
            <w:r w:rsidR="00BA3A9A">
              <w:rPr>
                <w:rFonts w:ascii="Candara" w:hAnsi="Candara"/>
                <w:bCs/>
                <w:sz w:val="20"/>
                <w:szCs w:val="20"/>
              </w:rPr>
              <w:t>programmas</w:t>
            </w:r>
            <w:r w:rsidRPr="00822D84">
              <w:rPr>
                <w:rFonts w:ascii="Candara" w:hAnsi="Candara"/>
                <w:bCs/>
                <w:sz w:val="20"/>
                <w:szCs w:val="20"/>
              </w:rPr>
              <w:t xml:space="preserve"> ietvaros </w:t>
            </w:r>
            <w:r w:rsidR="00BD4C4B">
              <w:rPr>
                <w:rFonts w:ascii="Candara" w:hAnsi="Candara"/>
                <w:bCs/>
                <w:sz w:val="20"/>
                <w:szCs w:val="20"/>
              </w:rPr>
              <w:t xml:space="preserve">lēmums par apstiprināšanu </w:t>
            </w:r>
            <w:r w:rsidRPr="00822D84">
              <w:rPr>
                <w:rFonts w:ascii="Candara" w:hAnsi="Candara"/>
                <w:bCs/>
                <w:sz w:val="20"/>
                <w:szCs w:val="20"/>
              </w:rPr>
              <w:t xml:space="preserve">īstenošanai </w:t>
            </w:r>
            <w:r w:rsidR="00BD4C4B">
              <w:rPr>
                <w:rFonts w:ascii="Candara" w:hAnsi="Candara"/>
                <w:bCs/>
                <w:sz w:val="20"/>
                <w:szCs w:val="20"/>
              </w:rPr>
              <w:t>(ar nosacījumu) nosūtīts</w:t>
            </w:r>
            <w:r w:rsidRPr="00822D84">
              <w:rPr>
                <w:rFonts w:ascii="Candara" w:hAnsi="Candara"/>
                <w:bCs/>
                <w:sz w:val="20"/>
                <w:szCs w:val="20"/>
              </w:rPr>
              <w:t xml:space="preserve"> 2 inovācijas procesa pētījumi</w:t>
            </w:r>
            <w:r w:rsidR="00BD4C4B">
              <w:rPr>
                <w:rFonts w:ascii="Candara" w:hAnsi="Candara"/>
                <w:bCs/>
                <w:sz w:val="20"/>
                <w:szCs w:val="20"/>
              </w:rPr>
              <w:t>em</w:t>
            </w:r>
            <w:r w:rsidRPr="00822D84">
              <w:rPr>
                <w:rFonts w:ascii="Candara" w:hAnsi="Candara"/>
                <w:bCs/>
                <w:sz w:val="20"/>
                <w:szCs w:val="20"/>
              </w:rPr>
              <w:t xml:space="preserve">, </w:t>
            </w:r>
            <w:r w:rsidR="00BD4C4B">
              <w:rPr>
                <w:rFonts w:ascii="Candara" w:hAnsi="Candara"/>
                <w:bCs/>
                <w:sz w:val="20"/>
                <w:szCs w:val="20"/>
              </w:rPr>
              <w:t>kuru īstenošana</w:t>
            </w:r>
            <w:r w:rsidRPr="00822D84">
              <w:rPr>
                <w:rFonts w:ascii="Candara" w:hAnsi="Candara"/>
                <w:bCs/>
                <w:sz w:val="20"/>
                <w:szCs w:val="20"/>
              </w:rPr>
              <w:t xml:space="preserve"> sniegs ieguldījumu nacionāla līmeņa analīt</w:t>
            </w:r>
            <w:r w:rsidR="00BD4C4B">
              <w:rPr>
                <w:rFonts w:ascii="Candara" w:hAnsi="Candara"/>
                <w:bCs/>
                <w:sz w:val="20"/>
                <w:szCs w:val="20"/>
              </w:rPr>
              <w:t>iskās kapacitātes stiprināšanā.</w:t>
            </w:r>
          </w:p>
          <w:p w:rsidR="00BD4C4B" w:rsidRPr="00BD4C4B" w:rsidP="00BD4C4B" w14:paraId="1980F7F5" w14:textId="77777777">
            <w:pPr>
              <w:pStyle w:val="NormalWeb"/>
              <w:spacing w:before="0" w:beforeAutospacing="0" w:after="120" w:afterAutospacing="0"/>
              <w:jc w:val="both"/>
              <w:rPr>
                <w:rFonts w:ascii="Candara" w:hAnsi="Candara"/>
                <w:bCs/>
                <w:sz w:val="20"/>
                <w:szCs w:val="20"/>
              </w:rPr>
            </w:pPr>
            <w:r>
              <w:rPr>
                <w:rFonts w:ascii="Candara" w:hAnsi="Candara"/>
                <w:bCs/>
                <w:sz w:val="20"/>
                <w:szCs w:val="20"/>
              </w:rPr>
              <w:t>Inovācijas procesa pētījumi, saskaņā ar informatīvo ziņojumu par RIS3 monitoringa sistēmu</w:t>
            </w:r>
            <w:r w:rsidR="00133ACC">
              <w:rPr>
                <w:rFonts w:ascii="Candara" w:hAnsi="Candara"/>
                <w:bCs/>
                <w:sz w:val="20"/>
                <w:szCs w:val="20"/>
              </w:rPr>
              <w:t>,</w:t>
            </w:r>
            <w:r>
              <w:rPr>
                <w:rFonts w:ascii="Candara" w:hAnsi="Candara"/>
                <w:bCs/>
                <w:sz w:val="20"/>
                <w:szCs w:val="20"/>
              </w:rPr>
              <w:t xml:space="preserve"> sniedz ieguldījumu RIS3 īstenošanā, tai skaitā pierādījumos balstītas P&amp;A politikas attīstībā.</w:t>
            </w:r>
          </w:p>
        </w:tc>
      </w:tr>
    </w:tbl>
    <w:p w:rsidR="00E06C6C" w:rsidP="00E06C6C" w14:paraId="5ACFCA4C" w14:textId="77777777">
      <w:pPr>
        <w:pStyle w:val="NormalWeb"/>
        <w:spacing w:before="0" w:beforeAutospacing="0" w:after="120" w:afterAutospacing="0"/>
        <w:jc w:val="both"/>
        <w:rPr>
          <w:rFonts w:asciiTheme="minorHAnsi" w:eastAsiaTheme="minorHAnsi" w:hAnsiTheme="minorHAnsi" w:cstheme="minorBidi"/>
          <w:sz w:val="22"/>
          <w:szCs w:val="22"/>
          <w:lang w:eastAsia="en-US"/>
        </w:rPr>
      </w:pPr>
    </w:p>
    <w:p w:rsidR="00E06C6C" w:rsidRPr="00822D84" w:rsidP="009F2C2C" w14:paraId="7090B46D" w14:textId="21C0FDEF">
      <w:pPr>
        <w:spacing w:after="0"/>
        <w:ind w:firstLine="426"/>
        <w:jc w:val="both"/>
        <w:rPr>
          <w:rFonts w:ascii="Candara" w:eastAsia="SimSun" w:hAnsi="Candara" w:cs="Times New Roman"/>
          <w:lang w:eastAsia="zh-CN" w:bidi="lo-LA"/>
        </w:rPr>
      </w:pPr>
      <w:r>
        <w:rPr>
          <w:rFonts w:ascii="Candara" w:hAnsi="Candara"/>
          <w:b/>
          <w:bCs/>
          <w:color w:val="000000"/>
        </w:rPr>
        <w:t>P&amp;A infrastruktūras attīstīšana RIS3 specializācijas jomās un zinātnisko institūciju institucionālās kapacitātes stiprināšana</w:t>
      </w:r>
      <w:r w:rsidRPr="00755D9F">
        <w:rPr>
          <w:rFonts w:ascii="Candara" w:hAnsi="Candara"/>
          <w:b/>
          <w:bCs/>
          <w:color w:val="000000"/>
        </w:rPr>
        <w:t xml:space="preserve">. </w:t>
      </w:r>
      <w:r w:rsidR="00625C7B">
        <w:rPr>
          <w:rFonts w:ascii="Candara" w:hAnsi="Candara"/>
          <w:bCs/>
          <w:color w:val="000000"/>
        </w:rPr>
        <w:t>2016.</w:t>
      </w:r>
      <w:r w:rsidRPr="00755D9F">
        <w:rPr>
          <w:rFonts w:ascii="Candara" w:hAnsi="Candara"/>
          <w:bCs/>
          <w:color w:val="000000"/>
        </w:rPr>
        <w:t xml:space="preserve">gada </w:t>
      </w:r>
      <w:r w:rsidR="00625C7B">
        <w:rPr>
          <w:rFonts w:ascii="Candara" w:hAnsi="Candara"/>
          <w:bCs/>
          <w:color w:val="000000"/>
        </w:rPr>
        <w:t>16.</w:t>
      </w:r>
      <w:r>
        <w:rPr>
          <w:rFonts w:ascii="Candara" w:hAnsi="Candara"/>
          <w:bCs/>
          <w:color w:val="000000"/>
        </w:rPr>
        <w:t>augustā</w:t>
      </w:r>
      <w:r w:rsidRPr="00755D9F">
        <w:rPr>
          <w:rFonts w:ascii="Candara" w:hAnsi="Candara"/>
          <w:bCs/>
          <w:color w:val="000000"/>
        </w:rPr>
        <w:t xml:space="preserve"> apstiprināti 1.1.1.</w:t>
      </w:r>
      <w:r>
        <w:rPr>
          <w:rFonts w:ascii="Candara" w:hAnsi="Candara"/>
          <w:bCs/>
          <w:color w:val="000000"/>
        </w:rPr>
        <w:t>4</w:t>
      </w:r>
      <w:r w:rsidR="00625C7B">
        <w:rPr>
          <w:rFonts w:ascii="Candara" w:hAnsi="Candara"/>
          <w:bCs/>
          <w:color w:val="000000"/>
        </w:rPr>
        <w:t>.</w:t>
      </w:r>
      <w:r w:rsidRPr="00755D9F">
        <w:rPr>
          <w:rFonts w:ascii="Candara" w:hAnsi="Candara"/>
          <w:bCs/>
          <w:color w:val="000000"/>
        </w:rPr>
        <w:t>pasākuma “</w:t>
      </w:r>
      <w:r>
        <w:rPr>
          <w:rFonts w:ascii="Candara" w:hAnsi="Candara"/>
          <w:bCs/>
          <w:color w:val="000000"/>
        </w:rPr>
        <w:t xml:space="preserve">P&amp;A </w:t>
      </w:r>
      <w:r>
        <w:rPr>
          <w:rFonts w:ascii="Candara" w:hAnsi="Candara"/>
          <w:bCs/>
          <w:color w:val="000000"/>
        </w:rPr>
        <w:t>infrastruktūras attīstīšana viedās specializācijas jomās un zinātnisko institūciju institucionālās kapacitātes stiprināšana</w:t>
      </w:r>
      <w:r w:rsidRPr="00755D9F">
        <w:rPr>
          <w:rFonts w:ascii="Candara" w:hAnsi="Candara"/>
          <w:bCs/>
          <w:color w:val="000000"/>
        </w:rPr>
        <w:t xml:space="preserve">” </w:t>
      </w:r>
      <w:r w:rsidR="00625C7B">
        <w:rPr>
          <w:rFonts w:ascii="Candara" w:hAnsi="Candara"/>
          <w:bCs/>
          <w:color w:val="000000"/>
        </w:rPr>
        <w:t>(turpmāk – 1.1.1.4.</w:t>
      </w:r>
      <w:r>
        <w:rPr>
          <w:rFonts w:ascii="Candara" w:hAnsi="Candara"/>
          <w:bCs/>
          <w:color w:val="000000"/>
        </w:rPr>
        <w:t xml:space="preserve">pasākums) </w:t>
      </w:r>
      <w:r w:rsidRPr="00755D9F">
        <w:rPr>
          <w:rFonts w:ascii="Candara" w:hAnsi="Candara"/>
          <w:bCs/>
          <w:color w:val="000000"/>
        </w:rPr>
        <w:t>regulējošie MK noteikumi un uzsākta programmas īstenošana. 1.1.1.</w:t>
      </w:r>
      <w:r>
        <w:rPr>
          <w:rFonts w:ascii="Candara" w:hAnsi="Candara"/>
          <w:bCs/>
          <w:color w:val="000000"/>
        </w:rPr>
        <w:t>4</w:t>
      </w:r>
      <w:r w:rsidR="00625C7B">
        <w:rPr>
          <w:rFonts w:ascii="Candara" w:hAnsi="Candara"/>
          <w:bCs/>
          <w:color w:val="000000"/>
        </w:rPr>
        <w:t>.</w:t>
      </w:r>
      <w:r w:rsidRPr="00755D9F">
        <w:rPr>
          <w:rFonts w:ascii="Candara" w:hAnsi="Candara"/>
          <w:bCs/>
          <w:color w:val="000000"/>
        </w:rPr>
        <w:t xml:space="preserve">pasākuma </w:t>
      </w:r>
      <w:r>
        <w:rPr>
          <w:rFonts w:ascii="Candara" w:hAnsi="Candara"/>
          <w:bCs/>
          <w:color w:val="000000"/>
        </w:rPr>
        <w:t>kopējais</w:t>
      </w:r>
      <w:r w:rsidR="00625C7B">
        <w:rPr>
          <w:rFonts w:ascii="Candara" w:hAnsi="Candara"/>
          <w:bCs/>
          <w:color w:val="000000"/>
        </w:rPr>
        <w:t xml:space="preserve"> līdz 2023.</w:t>
      </w:r>
      <w:r>
        <w:rPr>
          <w:rFonts w:ascii="Candara" w:hAnsi="Candara"/>
          <w:bCs/>
          <w:color w:val="000000"/>
        </w:rPr>
        <w:t xml:space="preserve">gadam pieejamais publiskais finansējums 120,25 MEUR (t.sk. ERAF – 102,96 MEUR) un tā ir </w:t>
      </w:r>
      <w:r w:rsidRPr="00755D9F">
        <w:rPr>
          <w:rFonts w:ascii="Candara" w:hAnsi="Candara"/>
          <w:bCs/>
          <w:color w:val="000000"/>
        </w:rPr>
        <w:t xml:space="preserve">mērķis ir </w:t>
      </w:r>
      <w:r>
        <w:rPr>
          <w:rFonts w:ascii="Candara" w:hAnsi="Candara"/>
          <w:bCs/>
          <w:color w:val="000000"/>
        </w:rPr>
        <w:t xml:space="preserve">zinātnisko institūciju institucionālās kapacitātes stiprināšana un pētniecības resursu koncentrācija konkurētspējīgās zinātniskajās institūcijās, pilnveidojot zinātnisko institūciju pārvaldības un resursu vadības efektivitāti un modernizējot pētniecības infrastruktūru Latvijas viedās specializācijas jomu ietvaros, tādējādi </w:t>
      </w:r>
      <w:r w:rsidRPr="003659D6">
        <w:rPr>
          <w:rFonts w:ascii="Candara" w:hAnsi="Candara"/>
          <w:bCs/>
          <w:color w:val="000000"/>
        </w:rPr>
        <w:t>veicinot zinātnisko institūciju iesaisti Eiropas Savienības līmeņa infrastruktūrās un zinātnisko institūciju rīcībā esošās pētniecības infrastruktūras izmantošanu praktisku tautsaimniecības problēmu risināšanai.</w:t>
      </w:r>
      <w:r w:rsidR="00625C7B">
        <w:rPr>
          <w:rFonts w:ascii="Candara" w:hAnsi="Candara"/>
          <w:bCs/>
          <w:color w:val="000000"/>
        </w:rPr>
        <w:t xml:space="preserve"> Saskaņā ar 1.1.1.4.</w:t>
      </w:r>
      <w:r>
        <w:rPr>
          <w:rFonts w:ascii="Candara" w:hAnsi="Candara"/>
          <w:bCs/>
          <w:color w:val="000000"/>
        </w:rPr>
        <w:t>pasākuma ieviešanas nosacījumiem, i</w:t>
      </w:r>
      <w:r w:rsidRPr="003659D6">
        <w:rPr>
          <w:rFonts w:ascii="Candara" w:hAnsi="Candara"/>
          <w:bCs/>
          <w:color w:val="000000"/>
        </w:rPr>
        <w:t xml:space="preserve">nvestīcijas </w:t>
      </w:r>
      <w:r>
        <w:rPr>
          <w:rFonts w:ascii="Candara" w:hAnsi="Candara"/>
          <w:bCs/>
          <w:color w:val="000000"/>
        </w:rPr>
        <w:t>plānotas</w:t>
      </w:r>
      <w:r w:rsidRPr="003659D6">
        <w:rPr>
          <w:rFonts w:ascii="Candara" w:hAnsi="Candara"/>
          <w:bCs/>
          <w:color w:val="000000"/>
        </w:rPr>
        <w:t xml:space="preserve"> 14 Latvijas vadošo zinātnisko institūciju infrastruktūras attīstībā un institucionālās kapacitātes stiprināšanā</w:t>
      </w:r>
      <w:r>
        <w:rPr>
          <w:rFonts w:ascii="Candara" w:hAnsi="Candara"/>
          <w:bCs/>
          <w:color w:val="000000"/>
        </w:rPr>
        <w:t xml:space="preserve"> (</w:t>
      </w:r>
      <w:r w:rsidR="00625C7B">
        <w:rPr>
          <w:rFonts w:ascii="Candara" w:hAnsi="Candara"/>
          <w:bCs/>
          <w:color w:val="000000"/>
        </w:rPr>
        <w:t>50</w:t>
      </w:r>
      <w:r w:rsidR="00822D84">
        <w:rPr>
          <w:rFonts w:ascii="Candara" w:hAnsi="Candara"/>
          <w:bCs/>
          <w:color w:val="000000"/>
        </w:rPr>
        <w:t>.attēls</w:t>
      </w:r>
      <w:r>
        <w:rPr>
          <w:rFonts w:ascii="Candara" w:hAnsi="Candara"/>
          <w:bCs/>
          <w:color w:val="000000"/>
        </w:rPr>
        <w:t>), vienlaikus paredzot  minētajām institūcijām pirms projekta iesniegšanas veikt priekšdarbu – izstrādāt un ar iesaistītajām pusēm saskaņot savas vidēja termiņa attīstības stratēģijas</w:t>
      </w:r>
      <w:r w:rsidR="00625C7B">
        <w:rPr>
          <w:rFonts w:ascii="Candara" w:hAnsi="Candara"/>
          <w:bCs/>
          <w:color w:val="000000"/>
        </w:rPr>
        <w:t xml:space="preserve">. </w:t>
      </w:r>
      <w:r w:rsidR="00AF1DCD">
        <w:rPr>
          <w:rFonts w:ascii="Candara" w:eastAsia="SimSun" w:hAnsi="Candara" w:cs="Times New Roman"/>
          <w:lang w:eastAsia="zh-CN" w:bidi="lo-LA"/>
        </w:rPr>
        <w:t>Attiecīgi pirms</w:t>
      </w:r>
      <w:r>
        <w:rPr>
          <w:rFonts w:ascii="Candara" w:eastAsia="SimSun" w:hAnsi="Candara" w:cs="Times New Roman"/>
          <w:lang w:eastAsia="zh-CN" w:bidi="lo-LA"/>
        </w:rPr>
        <w:t xml:space="preserve"> projektu iesniegumu sagatavošanas </w:t>
      </w:r>
      <w:r w:rsidR="00AF1DCD">
        <w:rPr>
          <w:rFonts w:ascii="Candara" w:eastAsia="SimSun" w:hAnsi="Candara" w:cs="Times New Roman"/>
          <w:lang w:eastAsia="zh-CN" w:bidi="lo-LA"/>
        </w:rPr>
        <w:t xml:space="preserve">norisinājās darbs pie </w:t>
      </w:r>
      <w:r>
        <w:rPr>
          <w:rFonts w:ascii="Candara" w:eastAsia="SimSun" w:hAnsi="Candara" w:cs="Times New Roman"/>
          <w:lang w:eastAsia="zh-CN" w:bidi="lo-LA"/>
        </w:rPr>
        <w:t xml:space="preserve">finansējuma saņēmēju – zinātnisko institūciju vidēja termiņa attīstības stratēģiju saskaņošanas, kuru izstrāde un saskaņošana ar Izglītības un zinātnes ministriju, nozares ministrijām (ja attiecināms) un nozaru asociācijām </w:t>
      </w:r>
      <w:r w:rsidR="00AF1DCD">
        <w:rPr>
          <w:rFonts w:ascii="Candara" w:eastAsia="SimSun" w:hAnsi="Candara" w:cs="Times New Roman"/>
          <w:lang w:eastAsia="zh-CN" w:bidi="lo-LA"/>
        </w:rPr>
        <w:t xml:space="preserve">tika </w:t>
      </w:r>
      <w:r>
        <w:rPr>
          <w:rFonts w:ascii="Candara" w:eastAsia="SimSun" w:hAnsi="Candara" w:cs="Times New Roman"/>
          <w:lang w:eastAsia="zh-CN" w:bidi="lo-LA"/>
        </w:rPr>
        <w:t>noteikta kā finansējuma saņemšanas priekšnoteikums</w:t>
      </w:r>
      <w:r w:rsidRPr="00260E6E">
        <w:rPr>
          <w:rFonts w:ascii="Candara" w:eastAsia="SimSun" w:hAnsi="Candara" w:cs="Times New Roman"/>
          <w:lang w:eastAsia="zh-CN" w:bidi="lo-LA"/>
        </w:rPr>
        <w:t xml:space="preserve">. </w:t>
      </w:r>
      <w:r>
        <w:rPr>
          <w:rFonts w:ascii="Candara" w:eastAsia="SimSun" w:hAnsi="Candara" w:cs="Times New Roman"/>
          <w:lang w:eastAsia="zh-CN" w:bidi="lo-LA"/>
        </w:rPr>
        <w:t xml:space="preserve">Vienlaikus, lai sekmētu kvalitatīvāku un ilgtspējīgāku projektu iesniegumu izstrādi un novērtēšanu, </w:t>
      </w:r>
      <w:r w:rsidRPr="00260E6E">
        <w:rPr>
          <w:rFonts w:ascii="Candara" w:eastAsia="SimSun" w:hAnsi="Candara" w:cs="Times New Roman"/>
          <w:lang w:eastAsia="zh-CN" w:bidi="lo-LA"/>
        </w:rPr>
        <w:t>2016.gadā JASPERS eksperti sniedza atbalstu pasākuma projektu iesniegumu atlases nosacījumu izstrādē (P&amp;A infrastruktūras projektu vērtēšanas kritēriju un to piemērošanas metodikas, kā arī sociālekonomiskās analīzes veikšanā).</w:t>
      </w:r>
      <w:r w:rsidR="00AF1DCD">
        <w:rPr>
          <w:rFonts w:ascii="Candara" w:eastAsia="SimSun" w:hAnsi="Candara" w:cs="Times New Roman"/>
          <w:lang w:eastAsia="zh-CN" w:bidi="lo-LA"/>
        </w:rPr>
        <w:t xml:space="preserve"> 2017. gada nogalē ir </w:t>
      </w:r>
      <w:r w:rsidR="00CA105F">
        <w:rPr>
          <w:rFonts w:ascii="Candara" w:eastAsia="SimSun" w:hAnsi="Candara" w:cs="Times New Roman"/>
          <w:lang w:eastAsia="zh-CN" w:bidi="lo-LA"/>
        </w:rPr>
        <w:t>izvērtēti</w:t>
      </w:r>
      <w:r w:rsidR="00AF1DCD">
        <w:rPr>
          <w:rFonts w:ascii="Candara" w:eastAsia="SimSun" w:hAnsi="Candara" w:cs="Times New Roman"/>
          <w:lang w:eastAsia="zh-CN" w:bidi="lo-LA"/>
        </w:rPr>
        <w:t xml:space="preserve"> zinātnisko institūciju </w:t>
      </w:r>
      <w:r w:rsidR="00CA105F">
        <w:rPr>
          <w:rFonts w:ascii="Candara" w:eastAsia="SimSun" w:hAnsi="Candara" w:cs="Times New Roman"/>
          <w:lang w:eastAsia="zh-CN" w:bidi="lo-LA"/>
        </w:rPr>
        <w:t>iesniegtie projekti</w:t>
      </w:r>
      <w:r w:rsidR="00AF1DCD">
        <w:rPr>
          <w:rFonts w:ascii="Candara" w:eastAsia="SimSun" w:hAnsi="Candara" w:cs="Times New Roman"/>
          <w:lang w:eastAsia="zh-CN" w:bidi="lo-LA"/>
        </w:rPr>
        <w:t xml:space="preserve">, noslēgti līgumi un uzsākta projektu īstenošana. </w:t>
      </w:r>
    </w:p>
    <w:p w:rsidR="00C8558B" w:rsidP="00346B1F" w14:paraId="7A66AC3C" w14:textId="77777777">
      <w:pPr>
        <w:pStyle w:val="NormalWeb"/>
        <w:spacing w:before="0" w:beforeAutospacing="0" w:after="120" w:afterAutospacing="0"/>
        <w:jc w:val="center"/>
      </w:pPr>
      <w:r>
        <w:rPr>
          <w:noProof/>
        </w:rPr>
        <w:drawing>
          <wp:inline distT="0" distB="0" distL="0" distR="0">
            <wp:extent cx="5476875" cy="271399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B0451" w:rsidRPr="00C8558B" w:rsidP="004B0451" w14:paraId="4FEA76B4" w14:textId="77777777">
      <w:pPr>
        <w:spacing w:after="12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C8558B" w:rsidRPr="00C8558B" w:rsidP="004B0451" w14:paraId="70D8A96F" w14:textId="77777777">
      <w:pPr>
        <w:jc w:val="center"/>
        <w:textAlignment w:val="baseline"/>
        <w:rPr>
          <w:rFonts w:ascii="Candara" w:hAnsi="Candara"/>
          <w:i/>
          <w:iCs/>
          <w:color w:val="000000"/>
          <w:sz w:val="20"/>
          <w:szCs w:val="20"/>
          <w:u w:val="single"/>
          <w:lang w:eastAsia="en-GB"/>
        </w:rPr>
        <w:sectPr w:rsidSect="00C8558B">
          <w:type w:val="continuous"/>
          <w:pgSz w:w="11906" w:h="16838"/>
          <w:pgMar w:top="1134" w:right="1134" w:bottom="1134" w:left="1701" w:header="425" w:footer="193" w:gutter="0"/>
          <w:cols w:space="708"/>
          <w:titlePg/>
          <w:docGrid w:linePitch="360"/>
        </w:sectPr>
      </w:pPr>
    </w:p>
    <w:p w:rsidR="004B0451" w:rsidRPr="00C8558B" w:rsidP="004B0451" w14:paraId="42E9038E"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4B0451" w:rsidP="004B0451" w14:paraId="003A3EB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C8558B">
        <w:rPr>
          <w:rFonts w:ascii="Candara" w:eastAsia="Times New Roman" w:hAnsi="Candara" w:cs="Times New Roman"/>
          <w:i/>
          <w:iCs/>
          <w:color w:val="000000"/>
          <w:sz w:val="20"/>
          <w:szCs w:val="20"/>
          <w:lang w:eastAsia="en-GB"/>
        </w:rPr>
        <w:t>Ieguldījumi P&amp;A 1.5% no IKP;</w:t>
      </w:r>
    </w:p>
    <w:p w:rsidR="004B0451" w:rsidRPr="00C8558B" w:rsidP="004B0451" w14:paraId="5584F468"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Pr>
          <w:rFonts w:ascii="Candara" w:eastAsia="Times New Roman" w:hAnsi="Candara" w:cs="Times New Roman"/>
          <w:i/>
          <w:iCs/>
          <w:color w:val="000000"/>
          <w:sz w:val="20"/>
          <w:szCs w:val="20"/>
          <w:lang w:eastAsia="en-GB"/>
        </w:rPr>
        <w:t>Mazāks skaits spēcīgāku valsts finansētu zinātnisko institūciju;</w:t>
      </w:r>
    </w:p>
    <w:p w:rsidR="004B0451" w:rsidRPr="00C8558B" w:rsidP="004B0451" w14:paraId="68A11245"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C8558B">
        <w:rPr>
          <w:rFonts w:ascii="Candara" w:eastAsia="Times New Roman" w:hAnsi="Candara" w:cs="Times New Roman"/>
          <w:i/>
          <w:iCs/>
          <w:color w:val="000000"/>
          <w:sz w:val="20"/>
          <w:szCs w:val="20"/>
          <w:lang w:eastAsia="en-GB"/>
        </w:rPr>
        <w:t>Zinātnisko darbinieku skaits P&amp;A;</w:t>
      </w:r>
    </w:p>
    <w:p w:rsidR="004B0451" w:rsidRPr="00C8558B" w:rsidP="004B0451" w14:paraId="0646DD27" w14:textId="77777777">
      <w:pPr>
        <w:spacing w:before="120" w:after="0" w:line="240" w:lineRule="auto"/>
        <w:ind w:left="788"/>
        <w:contextualSpacing/>
        <w:jc w:val="both"/>
        <w:textAlignment w:val="baseline"/>
        <w:rPr>
          <w:rFonts w:ascii="Candara" w:eastAsia="Times New Roman" w:hAnsi="Candara" w:cs="Times New Roman"/>
          <w:b/>
          <w:i/>
          <w:iCs/>
          <w:color w:val="000000"/>
          <w:sz w:val="10"/>
          <w:szCs w:val="10"/>
          <w:lang w:eastAsia="en-GB"/>
        </w:rPr>
      </w:pPr>
    </w:p>
    <w:p w:rsidR="004B0451" w:rsidRPr="00C8558B" w:rsidP="004B0451" w14:paraId="679ECCD9"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4B0451" w:rsidRPr="00C8558B" w:rsidP="004B0451" w14:paraId="52259D10"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C8558B">
        <w:rPr>
          <w:rFonts w:ascii="Candara" w:eastAsia="Times New Roman" w:hAnsi="Candara" w:cs="Times New Roman"/>
          <w:i/>
          <w:iCs/>
          <w:color w:val="000000"/>
          <w:sz w:val="20"/>
          <w:szCs w:val="20"/>
          <w:lang w:eastAsia="en-GB"/>
        </w:rPr>
        <w:t>Zinātnisko institūciju licenču/patentu ieņēmumi (EUR);</w:t>
      </w:r>
    </w:p>
    <w:p w:rsidR="004B0451" w:rsidRPr="00C8558B" w:rsidP="004B0451" w14:paraId="08074ECD" w14:textId="77777777">
      <w:pPr>
        <w:numPr>
          <w:ilvl w:val="0"/>
          <w:numId w:val="7"/>
        </w:numPr>
        <w:spacing w:before="60" w:after="0" w:line="240" w:lineRule="auto"/>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4B0451" w:rsidP="004B0451" w14:paraId="1B66B5BD" w14:textId="77777777">
      <w:pPr>
        <w:spacing w:after="0" w:line="240" w:lineRule="auto"/>
        <w:ind w:left="644"/>
        <w:jc w:val="both"/>
        <w:textAlignment w:val="baseline"/>
        <w:rPr>
          <w:rFonts w:ascii="Arial" w:eastAsia="Times New Roman" w:hAnsi="Arial" w:cs="Arial"/>
          <w:i/>
          <w:iCs/>
          <w:color w:val="000000"/>
          <w:sz w:val="20"/>
          <w:szCs w:val="20"/>
          <w:lang w:eastAsia="en-GB"/>
        </w:rPr>
        <w:sectPr w:rsidSect="00C8558B">
          <w:type w:val="continuous"/>
          <w:pgSz w:w="11906" w:h="16838"/>
          <w:pgMar w:top="1134" w:right="1134" w:bottom="1134" w:left="1701" w:header="425" w:footer="193" w:gutter="0"/>
          <w:cols w:num="2" w:space="708"/>
          <w:titlePg/>
          <w:docGrid w:linePitch="360"/>
        </w:sectPr>
      </w:pPr>
    </w:p>
    <w:p w:rsidR="00C8558B" w:rsidRPr="00A2221C" w:rsidP="00E06C6C" w14:paraId="4E56CE07" w14:textId="77777777">
      <w:pPr>
        <w:spacing w:after="0" w:line="240" w:lineRule="auto"/>
        <w:ind w:left="644"/>
        <w:jc w:val="both"/>
        <w:textAlignment w:val="baseline"/>
        <w:rPr>
          <w:rFonts w:ascii="Arial" w:eastAsia="Times New Roman" w:hAnsi="Arial" w:cs="Arial"/>
          <w:i/>
          <w:iCs/>
          <w:color w:val="000000"/>
          <w:sz w:val="20"/>
          <w:szCs w:val="20"/>
          <w:lang w:eastAsia="en-GB"/>
        </w:rPr>
      </w:pPr>
    </w:p>
    <w:tbl>
      <w:tblPr>
        <w:tblW w:w="9067" w:type="dxa"/>
        <w:tblCellMar>
          <w:top w:w="15" w:type="dxa"/>
          <w:left w:w="15" w:type="dxa"/>
          <w:bottom w:w="15" w:type="dxa"/>
          <w:right w:w="15" w:type="dxa"/>
        </w:tblCellMar>
        <w:tblLook w:val="04A0"/>
      </w:tblPr>
      <w:tblGrid>
        <w:gridCol w:w="9067"/>
      </w:tblGrid>
      <w:tr w14:paraId="6C094913" w14:textId="77777777" w:rsidTr="002F50FB">
        <w:tblPrEx>
          <w:tblW w:w="9067" w:type="dxa"/>
          <w:tblCellMar>
            <w:top w:w="15" w:type="dxa"/>
            <w:left w:w="15" w:type="dxa"/>
            <w:bottom w:w="15" w:type="dxa"/>
            <w:right w:w="15" w:type="dxa"/>
          </w:tblCellMar>
          <w:tblLook w:val="04A0"/>
        </w:tblPrEx>
        <w:trPr>
          <w:trHeight w:val="558"/>
        </w:trPr>
        <w:tc>
          <w:tcPr>
            <w:tcW w:w="9067"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hideMark/>
          </w:tcPr>
          <w:p w:rsidR="00E06C6C" w:rsidRPr="00427D35" w:rsidP="00D31531" w14:paraId="732ACF7C" w14:textId="77777777">
            <w:pPr>
              <w:pStyle w:val="NormalWeb"/>
              <w:spacing w:before="0" w:beforeAutospacing="0" w:after="120" w:afterAutospacing="0"/>
              <w:jc w:val="both"/>
              <w:rPr>
                <w:rFonts w:ascii="Candara" w:hAnsi="Candara"/>
                <w:b/>
                <w:bCs/>
                <w:color w:val="000000"/>
                <w:sz w:val="18"/>
                <w:szCs w:val="18"/>
              </w:rPr>
            </w:pPr>
            <w:r>
              <w:rPr>
                <w:rFonts w:ascii="Candara" w:hAnsi="Candara"/>
                <w:b/>
                <w:bCs/>
                <w:color w:val="000000"/>
                <w:sz w:val="22"/>
                <w:szCs w:val="22"/>
              </w:rPr>
              <w:t>Z</w:t>
            </w:r>
            <w:r w:rsidRPr="00427D35">
              <w:rPr>
                <w:rFonts w:ascii="Candara" w:hAnsi="Candara"/>
                <w:b/>
                <w:bCs/>
                <w:color w:val="000000"/>
                <w:sz w:val="18"/>
                <w:szCs w:val="18"/>
              </w:rPr>
              <w:t>INĀTNISKĀS EKSELENCES CENTRA IZVEIDE PROJEKTA CAMART</w:t>
            </w:r>
            <w:r w:rsidRPr="00427D35">
              <w:rPr>
                <w:rFonts w:ascii="Candara" w:hAnsi="Candara"/>
                <w:b/>
                <w:bCs/>
                <w:color w:val="000000"/>
                <w:sz w:val="18"/>
                <w:szCs w:val="18"/>
                <w:vertAlign w:val="superscript"/>
              </w:rPr>
              <w:t xml:space="preserve">2 </w:t>
            </w:r>
            <w:r w:rsidRPr="00427D35">
              <w:rPr>
                <w:rFonts w:ascii="Candara" w:hAnsi="Candara"/>
                <w:b/>
                <w:bCs/>
                <w:color w:val="000000"/>
                <w:sz w:val="18"/>
                <w:szCs w:val="18"/>
              </w:rPr>
              <w:t>IETVAROS</w:t>
            </w:r>
          </w:p>
          <w:p w:rsidR="00E06C6C" w:rsidRPr="00427D35" w:rsidP="00D31531" w14:paraId="4C66CC4B" w14:textId="77777777">
            <w:pPr>
              <w:pStyle w:val="NormalWeb"/>
              <w:spacing w:before="0" w:beforeAutospacing="0" w:after="120" w:afterAutospacing="0"/>
              <w:jc w:val="both"/>
              <w:rPr>
                <w:rFonts w:ascii="Candara" w:hAnsi="Candara"/>
                <w:bCs/>
                <w:color w:val="000000"/>
                <w:sz w:val="18"/>
                <w:szCs w:val="18"/>
              </w:rPr>
            </w:pPr>
            <w:r>
              <w:rPr>
                <w:rFonts w:ascii="Candara" w:hAnsi="Candara"/>
                <w:bCs/>
                <w:color w:val="000000"/>
                <w:sz w:val="18"/>
                <w:szCs w:val="18"/>
              </w:rPr>
              <w:t>1.1.1.4.</w:t>
            </w:r>
            <w:r w:rsidRPr="00427D35">
              <w:rPr>
                <w:rFonts w:ascii="Candara" w:hAnsi="Candara"/>
                <w:bCs/>
                <w:color w:val="000000"/>
                <w:sz w:val="18"/>
                <w:szCs w:val="18"/>
              </w:rPr>
              <w:t>pasākuma ieguldījumi papildinās Eiropas Komisijas</w:t>
            </w:r>
            <w:r w:rsidR="009E6743">
              <w:rPr>
                <w:rFonts w:ascii="Candara" w:hAnsi="Candara"/>
                <w:bCs/>
                <w:color w:val="000000"/>
                <w:sz w:val="18"/>
                <w:szCs w:val="18"/>
              </w:rPr>
              <w:t xml:space="preserve"> ietvarprogrammas “Apvārsnis 2020”</w:t>
            </w:r>
            <w:r w:rsidRPr="00427D35">
              <w:rPr>
                <w:rFonts w:ascii="Candara" w:hAnsi="Candara"/>
                <w:bCs/>
                <w:color w:val="000000"/>
                <w:sz w:val="18"/>
                <w:szCs w:val="18"/>
              </w:rPr>
              <w:t xml:space="preserve"> finansējumu, kas </w:t>
            </w:r>
            <w:r w:rsidR="009E6743">
              <w:rPr>
                <w:rFonts w:ascii="Candara" w:hAnsi="Candara"/>
                <w:bCs/>
                <w:color w:val="000000"/>
                <w:sz w:val="18"/>
                <w:szCs w:val="18"/>
              </w:rPr>
              <w:t xml:space="preserve">apakšprogrammas Izcilības izplatīšana un dalības paplašināšana </w:t>
            </w:r>
            <w:r w:rsidR="009E6743">
              <w:rPr>
                <w:rFonts w:ascii="Candara" w:hAnsi="Candara"/>
                <w:bCs/>
                <w:i/>
                <w:color w:val="000000"/>
                <w:sz w:val="18"/>
                <w:szCs w:val="18"/>
              </w:rPr>
              <w:t>Teaming</w:t>
            </w:r>
            <w:r w:rsidR="009E6743">
              <w:rPr>
                <w:rFonts w:ascii="Candara" w:hAnsi="Candara"/>
                <w:bCs/>
                <w:color w:val="000000"/>
                <w:sz w:val="18"/>
                <w:szCs w:val="18"/>
              </w:rPr>
              <w:t xml:space="preserve"> ietvaros  </w:t>
            </w:r>
            <w:r w:rsidRPr="00427D35">
              <w:rPr>
                <w:rFonts w:ascii="Candara" w:hAnsi="Candara"/>
                <w:bCs/>
                <w:color w:val="000000"/>
                <w:sz w:val="18"/>
                <w:szCs w:val="18"/>
              </w:rPr>
              <w:t xml:space="preserve">piešķirts Latvijas Universitātes </w:t>
            </w:r>
            <w:r w:rsidRPr="00427D35">
              <w:rPr>
                <w:rFonts w:ascii="Candara" w:hAnsi="Candara"/>
                <w:b/>
                <w:bCs/>
                <w:color w:val="000000"/>
                <w:sz w:val="18"/>
                <w:szCs w:val="18"/>
              </w:rPr>
              <w:t>Cietvielu fizikas institūtam</w:t>
            </w:r>
            <w:r w:rsidR="009E6743">
              <w:rPr>
                <w:rFonts w:ascii="Candara" w:hAnsi="Candara"/>
                <w:b/>
                <w:bCs/>
                <w:color w:val="000000"/>
                <w:sz w:val="18"/>
                <w:szCs w:val="18"/>
              </w:rPr>
              <w:t xml:space="preserve"> (LU CFI)</w:t>
            </w:r>
            <w:r w:rsidRPr="00427D35">
              <w:rPr>
                <w:rFonts w:ascii="Candara" w:hAnsi="Candara"/>
                <w:bCs/>
                <w:color w:val="000000"/>
                <w:sz w:val="18"/>
                <w:szCs w:val="18"/>
              </w:rPr>
              <w:t>:</w:t>
            </w:r>
          </w:p>
          <w:p w:rsidR="00E06C6C" w:rsidRPr="00427D35" w:rsidP="00D31531" w14:paraId="1EB84A04" w14:textId="77777777">
            <w:pPr>
              <w:pStyle w:val="NormalWeb"/>
              <w:spacing w:before="0" w:beforeAutospacing="0" w:after="120" w:afterAutospacing="0"/>
              <w:jc w:val="both"/>
              <w:rPr>
                <w:rFonts w:ascii="Candara" w:hAnsi="Candara"/>
                <w:bCs/>
                <w:color w:val="000000"/>
                <w:sz w:val="18"/>
                <w:szCs w:val="18"/>
              </w:rPr>
            </w:pPr>
            <w:r w:rsidRPr="00427D35">
              <w:rPr>
                <w:rFonts w:ascii="Candara" w:hAnsi="Candara"/>
                <w:bCs/>
                <w:color w:val="000000"/>
                <w:sz w:val="18"/>
                <w:szCs w:val="18"/>
              </w:rPr>
              <w:t>- kopējais finansējums 31 MEUR (13,3</w:t>
            </w:r>
            <w:r w:rsidR="00A31C76">
              <w:rPr>
                <w:rFonts w:ascii="Candara" w:hAnsi="Candara"/>
                <w:bCs/>
                <w:color w:val="000000"/>
                <w:sz w:val="18"/>
                <w:szCs w:val="18"/>
              </w:rPr>
              <w:t>2</w:t>
            </w:r>
            <w:r w:rsidRPr="00427D35">
              <w:rPr>
                <w:rFonts w:ascii="Candara" w:hAnsi="Candara"/>
                <w:bCs/>
                <w:color w:val="000000"/>
                <w:sz w:val="18"/>
                <w:szCs w:val="18"/>
              </w:rPr>
              <w:t xml:space="preserve"> MEUR no 1.</w:t>
            </w:r>
            <w:r w:rsidR="00625C7B">
              <w:rPr>
                <w:rFonts w:ascii="Candara" w:hAnsi="Candara"/>
                <w:bCs/>
                <w:color w:val="000000"/>
                <w:sz w:val="18"/>
                <w:szCs w:val="18"/>
              </w:rPr>
              <w:t>1.1.4.</w:t>
            </w:r>
            <w:r w:rsidRPr="00427D35">
              <w:rPr>
                <w:rFonts w:ascii="Candara" w:hAnsi="Candara"/>
                <w:bCs/>
                <w:color w:val="000000"/>
                <w:sz w:val="18"/>
                <w:szCs w:val="18"/>
              </w:rPr>
              <w:t>pasākuma)</w:t>
            </w:r>
          </w:p>
          <w:p w:rsidR="00E06C6C" w:rsidRPr="00427D35" w:rsidP="00D31531" w14:paraId="1EFC3D18" w14:textId="77777777">
            <w:pPr>
              <w:pStyle w:val="NormalWeb"/>
              <w:spacing w:before="0" w:beforeAutospacing="0" w:after="120" w:afterAutospacing="0"/>
              <w:jc w:val="both"/>
              <w:rPr>
                <w:rFonts w:ascii="Candara" w:hAnsi="Candara"/>
                <w:bCs/>
                <w:color w:val="000000"/>
                <w:sz w:val="18"/>
                <w:szCs w:val="18"/>
              </w:rPr>
            </w:pPr>
            <w:r w:rsidRPr="00427D35">
              <w:rPr>
                <w:rFonts w:ascii="Candara" w:hAnsi="Candara"/>
                <w:bCs/>
                <w:color w:val="000000"/>
                <w:sz w:val="18"/>
                <w:szCs w:val="18"/>
              </w:rPr>
              <w:t>- LU CFI izveide par Latvijas un Baltijas jūras reģiona nozīmes materiālzinātnes centru ar augstu komercializācijas kapacitāti un spēju efektīvi darboties starptautiskajā pētniecības un inovācijas tirgū</w:t>
            </w:r>
          </w:p>
          <w:p w:rsidR="00E06C6C" w:rsidRPr="00427D35" w:rsidP="00D31531" w14:paraId="4DC079B1" w14:textId="77777777">
            <w:pPr>
              <w:pStyle w:val="NormalWeb"/>
              <w:spacing w:before="0" w:beforeAutospacing="0" w:after="120" w:afterAutospacing="0"/>
              <w:jc w:val="both"/>
              <w:rPr>
                <w:rFonts w:ascii="Candara" w:hAnsi="Candara"/>
                <w:bCs/>
                <w:color w:val="000000"/>
                <w:sz w:val="18"/>
                <w:szCs w:val="18"/>
              </w:rPr>
            </w:pPr>
            <w:r w:rsidRPr="00427D35">
              <w:rPr>
                <w:rFonts w:ascii="Candara" w:hAnsi="Candara"/>
                <w:bCs/>
                <w:color w:val="000000"/>
                <w:sz w:val="18"/>
                <w:szCs w:val="18"/>
              </w:rPr>
              <w:t>- sadarbības partneri: Karalisko tehnoloģiju institūts (Zviedrija) un zinātniskais institūts RISE Acreo (Zviedrija)</w:t>
            </w:r>
          </w:p>
        </w:tc>
      </w:tr>
    </w:tbl>
    <w:p w:rsidR="00E06C6C" w:rsidP="009F2C2C" w14:paraId="3B454C92" w14:textId="659B1071">
      <w:pPr>
        <w:spacing w:before="120" w:after="0"/>
        <w:ind w:firstLine="426"/>
        <w:jc w:val="both"/>
        <w:rPr>
          <w:rFonts w:ascii="Candara" w:eastAsia="SimSun" w:hAnsi="Candara" w:cs="Times New Roman"/>
          <w:lang w:eastAsia="zh-CN" w:bidi="lo-LA"/>
        </w:rPr>
      </w:pPr>
      <w:r w:rsidRPr="00260E6E">
        <w:rPr>
          <w:rFonts w:ascii="Candara" w:eastAsia="SimSun" w:hAnsi="Candara" w:cs="Times New Roman"/>
          <w:lang w:eastAsia="zh-CN" w:bidi="lo-LA"/>
        </w:rPr>
        <w:t xml:space="preserve">Lai veicinātu Latvijas dalību Eiropas pētniecības telpas un Eiropas pētniecības infrastruktūru stratēģiskā foruma infrastruktūrā un projektu īstenošanā, tādējādi sekmējot starptautisko sadarbību pētniecības un tehnoloģiju jomā, </w:t>
      </w:r>
      <w:r w:rsidR="004B0451">
        <w:rPr>
          <w:rFonts w:ascii="Candara" w:eastAsia="SimSun" w:hAnsi="Candara" w:cs="Times New Roman"/>
          <w:lang w:eastAsia="zh-CN" w:bidi="lo-LA"/>
        </w:rPr>
        <w:t>2017. gada 6. jūnijā apstiprināti 1.1.1.5. pasākuma</w:t>
      </w:r>
      <w:r>
        <w:rPr>
          <w:rFonts w:ascii="Candara" w:eastAsia="SimSun" w:hAnsi="Candara" w:cs="Times New Roman"/>
          <w:lang w:eastAsia="zh-CN" w:bidi="lo-LA"/>
        </w:rPr>
        <w:t xml:space="preserve"> </w:t>
      </w:r>
      <w:r w:rsidRPr="00260E6E">
        <w:rPr>
          <w:rFonts w:ascii="Candara" w:eastAsia="SimSun" w:hAnsi="Candara" w:cs="Times New Roman"/>
          <w:lang w:eastAsia="zh-CN" w:bidi="lo-LA"/>
        </w:rPr>
        <w:t>„</w:t>
      </w:r>
      <w:r w:rsidRPr="00CB7F04">
        <w:rPr>
          <w:rFonts w:ascii="Candara" w:eastAsia="SimSun" w:hAnsi="Candara" w:cs="Times New Roman"/>
          <w:b/>
          <w:lang w:eastAsia="zh-CN" w:bidi="lo-LA"/>
        </w:rPr>
        <w:t xml:space="preserve">Atbalsts starptautiskās </w:t>
      </w:r>
      <w:r w:rsidRPr="00E131AD">
        <w:rPr>
          <w:rFonts w:ascii="Candara" w:eastAsia="SimSun" w:hAnsi="Candara" w:cs="Times New Roman"/>
          <w:b/>
          <w:lang w:eastAsia="zh-CN" w:bidi="lo-LA"/>
        </w:rPr>
        <w:t>sadarbības projektiem pētniecībā un inovācijās</w:t>
      </w:r>
      <w:r w:rsidRPr="00E131AD">
        <w:rPr>
          <w:rFonts w:ascii="Candara" w:eastAsia="SimSun" w:hAnsi="Candara" w:cs="Times New Roman"/>
          <w:lang w:eastAsia="zh-CN" w:bidi="lo-LA"/>
        </w:rPr>
        <w:t xml:space="preserve">” (plānotais kopējais finansējums 32,6 milj. eiro, t.sk. ERAF finansējums 27,7 milj. eiro) īstenošanas </w:t>
      </w:r>
      <w:r w:rsidRPr="00E131AD" w:rsidR="004B0451">
        <w:rPr>
          <w:rFonts w:ascii="Candara" w:eastAsia="SimSun" w:hAnsi="Candara" w:cs="Times New Roman"/>
          <w:lang w:eastAsia="zh-CN" w:bidi="lo-LA"/>
        </w:rPr>
        <w:t>nosacījum</w:t>
      </w:r>
      <w:r w:rsidR="004B0451">
        <w:rPr>
          <w:rFonts w:ascii="Candara" w:eastAsia="SimSun" w:hAnsi="Candara" w:cs="Times New Roman"/>
          <w:lang w:eastAsia="zh-CN" w:bidi="lo-LA"/>
        </w:rPr>
        <w:t xml:space="preserve">i un </w:t>
      </w:r>
      <w:r w:rsidR="00CA105F">
        <w:rPr>
          <w:rFonts w:ascii="Candara" w:eastAsia="SimSun" w:hAnsi="Candara" w:cs="Times New Roman"/>
          <w:lang w:eastAsia="zh-CN" w:bidi="lo-LA"/>
        </w:rPr>
        <w:t xml:space="preserve">uz 31.12.2017. </w:t>
      </w:r>
      <w:r w:rsidR="004B0451">
        <w:rPr>
          <w:rFonts w:ascii="Candara" w:eastAsia="SimSun" w:hAnsi="Candara" w:cs="Times New Roman"/>
          <w:lang w:eastAsia="zh-CN" w:bidi="lo-LA"/>
        </w:rPr>
        <w:t xml:space="preserve">norisinās projektu </w:t>
      </w:r>
      <w:r w:rsidR="00CA105F">
        <w:rPr>
          <w:rFonts w:ascii="Candara" w:eastAsia="SimSun" w:hAnsi="Candara" w:cs="Times New Roman"/>
          <w:lang w:eastAsia="zh-CN" w:bidi="lo-LA"/>
        </w:rPr>
        <w:t>iesniegumu vērtēšana</w:t>
      </w:r>
      <w:r>
        <w:rPr>
          <w:rStyle w:val="FootnoteReference"/>
          <w:rFonts w:ascii="Candara" w:eastAsia="SimSun" w:hAnsi="Candara" w:cs="Times New Roman"/>
          <w:lang w:eastAsia="zh-CN" w:bidi="lo-LA"/>
        </w:rPr>
        <w:footnoteReference w:id="30"/>
      </w:r>
      <w:r w:rsidRPr="00E131AD">
        <w:rPr>
          <w:rFonts w:ascii="Candara" w:eastAsia="SimSun" w:hAnsi="Candara" w:cs="Times New Roman"/>
          <w:lang w:eastAsia="zh-CN" w:bidi="lo-LA"/>
        </w:rPr>
        <w:t xml:space="preserve">. </w:t>
      </w:r>
      <w:r w:rsidRPr="00E131AD" w:rsidR="00E131AD">
        <w:rPr>
          <w:rFonts w:ascii="Candara" w:eastAsia="SimSun" w:hAnsi="Candara" w:cs="Times New Roman"/>
          <w:lang w:eastAsia="zh-CN" w:bidi="lo-LA"/>
        </w:rPr>
        <w:t>Pasākuma ietvaros plānota valsts līmeņa un institūciju līmeņa savstarpēji papildinošu pasākumu īstenošana starptautiskās sadarbības attīstībai</w:t>
      </w:r>
      <w:r w:rsidR="00A31C76">
        <w:rPr>
          <w:rFonts w:ascii="Candara" w:eastAsia="SimSun" w:hAnsi="Candara" w:cs="Times New Roman"/>
          <w:lang w:eastAsia="zh-CN" w:bidi="lo-LA"/>
        </w:rPr>
        <w:t>.</w:t>
      </w:r>
      <w:r w:rsidRPr="00E131AD" w:rsidR="00E131AD">
        <w:rPr>
          <w:rFonts w:ascii="Candara" w:eastAsia="SimSun" w:hAnsi="Candara" w:cs="Times New Roman"/>
          <w:lang w:eastAsia="zh-CN" w:bidi="lo-LA"/>
        </w:rPr>
        <w:t xml:space="preserve"> </w:t>
      </w:r>
      <w:r w:rsidRPr="00E131AD" w:rsidR="00BD4C4B">
        <w:rPr>
          <w:rFonts w:ascii="Candara" w:eastAsia="SimSun" w:hAnsi="Candara" w:cs="Times New Roman"/>
          <w:lang w:eastAsia="zh-CN" w:bidi="lo-LA"/>
        </w:rPr>
        <w:t>Pasākums sadalīts trīs projektu iesniegumu atlases kārtās, no kurām pirmajā kārtā atbalsts tiks sniegts nacionāla līmeņa starptautiskās sadarbības veicināšanas pasākumiem</w:t>
      </w:r>
      <w:r w:rsidR="00A31C76">
        <w:rPr>
          <w:rFonts w:ascii="Candara" w:eastAsia="SimSun" w:hAnsi="Candara" w:cs="Times New Roman"/>
          <w:lang w:eastAsia="zh-CN" w:bidi="lo-LA"/>
        </w:rPr>
        <w:t xml:space="preserve"> (projekta īstenotājs IZM un VIAA)</w:t>
      </w:r>
      <w:r w:rsidR="009F2C2C">
        <w:rPr>
          <w:rFonts w:ascii="Candara" w:eastAsia="SimSun" w:hAnsi="Candara" w:cs="Times New Roman"/>
          <w:lang w:eastAsia="zh-CN" w:bidi="lo-LA"/>
        </w:rPr>
        <w:t>. Otrajā kārtā </w:t>
      </w:r>
      <w:r w:rsidR="00BD4C4B">
        <w:rPr>
          <w:rFonts w:ascii="Candara" w:eastAsia="SimSun" w:hAnsi="Candara" w:cs="Times New Roman"/>
          <w:lang w:eastAsia="zh-CN" w:bidi="lo-LA"/>
        </w:rPr>
        <w:t xml:space="preserve">– institucionāla līmeņa </w:t>
      </w:r>
      <w:r w:rsidR="00253CB7">
        <w:rPr>
          <w:rFonts w:ascii="Candara" w:eastAsia="SimSun" w:hAnsi="Candara" w:cs="Times New Roman"/>
          <w:lang w:eastAsia="zh-CN" w:bidi="lo-LA"/>
        </w:rPr>
        <w:t xml:space="preserve">starptautiskās sadarbības stiprināšanas pasākumiem, t.sk. atbalstam konkurētspējīgāku programmas “Apvārsnis 2020” un 9. Ietvara programmas projektu pieteikumu izstrādei. Trešajā kārtā paredzēts atbalsts programmas “Apvārsnis 2020” ietvaros iesniegtu, virs kvalitātes sliekšņa novērtētu, bet nefinansētu projektu īstenošanai ar ERAF atbalstu. </w:t>
      </w:r>
      <w:r w:rsidR="00BD4C4B">
        <w:rPr>
          <w:rFonts w:ascii="Candara" w:eastAsia="SimSun" w:hAnsi="Candara" w:cs="Times New Roman"/>
          <w:lang w:eastAsia="zh-CN" w:bidi="lo-LA"/>
        </w:rPr>
        <w:t>Saskaņā ar plānoto, projektu īstenošana ti</w:t>
      </w:r>
      <w:r w:rsidR="00625C7B">
        <w:rPr>
          <w:rFonts w:ascii="Candara" w:eastAsia="SimSun" w:hAnsi="Candara" w:cs="Times New Roman"/>
          <w:lang w:eastAsia="zh-CN" w:bidi="lo-LA"/>
        </w:rPr>
        <w:t xml:space="preserve">ks uzsākta </w:t>
      </w:r>
      <w:r w:rsidR="00AF1DCD">
        <w:rPr>
          <w:rFonts w:ascii="Candara" w:eastAsia="SimSun" w:hAnsi="Candara" w:cs="Times New Roman"/>
          <w:lang w:eastAsia="zh-CN" w:bidi="lo-LA"/>
        </w:rPr>
        <w:t>2018. gada 1. pusgadā</w:t>
      </w:r>
      <w:r w:rsidR="009F2C2C">
        <w:rPr>
          <w:rFonts w:ascii="Candara" w:eastAsia="SimSun" w:hAnsi="Candara" w:cs="Times New Roman"/>
          <w:lang w:eastAsia="zh-CN" w:bidi="lo-LA"/>
        </w:rPr>
        <w:t>.</w:t>
      </w:r>
    </w:p>
    <w:p w:rsidR="00A31C76" w:rsidRPr="00A31C76" w:rsidP="009F2C2C" w14:paraId="6C9761D1" w14:textId="0C4760F9">
      <w:pPr>
        <w:spacing w:before="120" w:after="0"/>
        <w:ind w:firstLine="426"/>
        <w:jc w:val="both"/>
        <w:rPr>
          <w:rFonts w:ascii="Candara" w:eastAsia="SimSun" w:hAnsi="Candara" w:cs="Times New Roman"/>
          <w:lang w:eastAsia="zh-CN" w:bidi="lo-LA"/>
        </w:rPr>
      </w:pPr>
      <w:r>
        <w:rPr>
          <w:rFonts w:ascii="Candara" w:eastAsia="SimSun" w:hAnsi="Candara" w:cs="Times New Roman"/>
          <w:lang w:eastAsia="zh-CN" w:bidi="lo-LA"/>
        </w:rPr>
        <w:t>Lai</w:t>
      </w:r>
      <w:r w:rsidRPr="00260E6E" w:rsidR="00E06C6C">
        <w:rPr>
          <w:rFonts w:ascii="Candara" w:eastAsia="SimSun" w:hAnsi="Candara" w:cs="Times New Roman"/>
          <w:lang w:eastAsia="zh-CN" w:bidi="lo-LA"/>
        </w:rPr>
        <w:t xml:space="preserve"> sekmētu studiju procesa un industrijas sadarbību studentu inovāciju projektu īstenošanas veicināšanai praktisku nozares un sabiedrības problēmu risināšanai,  2017.</w:t>
      </w:r>
      <w:r w:rsidRPr="00260E6E" w:rsidR="00CA105F">
        <w:rPr>
          <w:rFonts w:ascii="Candara" w:eastAsia="SimSun" w:hAnsi="Candara" w:cs="Times New Roman"/>
          <w:lang w:eastAsia="zh-CN" w:bidi="lo-LA"/>
        </w:rPr>
        <w:t>gad</w:t>
      </w:r>
      <w:r w:rsidR="00CA105F">
        <w:rPr>
          <w:rFonts w:ascii="Candara" w:eastAsia="SimSun" w:hAnsi="Candara" w:cs="Times New Roman"/>
          <w:lang w:eastAsia="zh-CN" w:bidi="lo-LA"/>
        </w:rPr>
        <w:t>a nogalē</w:t>
      </w:r>
      <w:r w:rsidRPr="00260E6E" w:rsidR="00CA105F">
        <w:rPr>
          <w:rFonts w:ascii="Candara" w:eastAsia="SimSun" w:hAnsi="Candara" w:cs="Times New Roman"/>
          <w:lang w:eastAsia="zh-CN" w:bidi="lo-LA"/>
        </w:rPr>
        <w:t xml:space="preserve"> </w:t>
      </w:r>
      <w:r w:rsidR="00CA105F">
        <w:rPr>
          <w:rFonts w:ascii="Candara" w:eastAsia="SimSun" w:hAnsi="Candara" w:cs="Times New Roman"/>
          <w:lang w:eastAsia="zh-CN" w:bidi="lo-LA"/>
        </w:rPr>
        <w:t xml:space="preserve">izskatīšanai MK iesniegti </w:t>
      </w:r>
      <w:r w:rsidRPr="00260E6E" w:rsidR="00E06C6C">
        <w:rPr>
          <w:rFonts w:ascii="Candara" w:eastAsia="SimSun" w:hAnsi="Candara" w:cs="Times New Roman"/>
          <w:lang w:eastAsia="zh-CN" w:bidi="lo-LA"/>
        </w:rPr>
        <w:t xml:space="preserve">ES fondu pasākuma „Inovāciju granti studentiem” ieviešanas </w:t>
      </w:r>
      <w:r w:rsidR="00CA105F">
        <w:rPr>
          <w:rFonts w:ascii="Candara" w:eastAsia="SimSun" w:hAnsi="Candara" w:cs="Times New Roman"/>
          <w:lang w:eastAsia="zh-CN" w:bidi="lo-LA"/>
        </w:rPr>
        <w:t>nosacījumi</w:t>
      </w:r>
      <w:r w:rsidRPr="00260E6E" w:rsidR="00E06C6C">
        <w:rPr>
          <w:rFonts w:ascii="Candara" w:eastAsia="SimSun" w:hAnsi="Candara" w:cs="Times New Roman"/>
          <w:lang w:eastAsia="zh-CN" w:bidi="lo-LA"/>
        </w:rPr>
        <w:t xml:space="preserve"> (kopējais finansējums </w:t>
      </w:r>
      <w:r w:rsidRPr="00260E6E" w:rsidR="00CA105F">
        <w:rPr>
          <w:rFonts w:ascii="Candara" w:eastAsia="SimSun" w:hAnsi="Candara" w:cs="Times New Roman"/>
          <w:lang w:eastAsia="zh-CN" w:bidi="lo-LA"/>
        </w:rPr>
        <w:t>3</w:t>
      </w:r>
      <w:r w:rsidR="00CA105F">
        <w:rPr>
          <w:rFonts w:ascii="Candara" w:eastAsia="SimSun" w:hAnsi="Candara" w:cs="Times New Roman"/>
          <w:lang w:eastAsia="zh-CN" w:bidi="lo-LA"/>
        </w:rPr>
        <w:t>8</w:t>
      </w:r>
      <w:r w:rsidRPr="00260E6E" w:rsidR="00E06C6C">
        <w:rPr>
          <w:rFonts w:ascii="Candara" w:eastAsia="SimSun" w:hAnsi="Candara" w:cs="Times New Roman"/>
          <w:lang w:eastAsia="zh-CN" w:bidi="lo-LA"/>
        </w:rPr>
        <w:t xml:space="preserve">milj. eiro, t.sk. ERAF finansējums 28,9 milj. eiro). Līgumus ar finansējuma saņēmējiem- augstskolām par projektu īstenošanu plānots noslēgt 2018.gada 1.pusgadā, savukārt atbalstu studentiem plānots sniegt, sākot ar </w:t>
      </w:r>
      <w:r w:rsidRPr="00260E6E" w:rsidR="004B0451">
        <w:rPr>
          <w:rFonts w:ascii="Candara" w:eastAsia="SimSun" w:hAnsi="Candara" w:cs="Times New Roman"/>
          <w:lang w:eastAsia="zh-CN" w:bidi="lo-LA"/>
        </w:rPr>
        <w:t>201</w:t>
      </w:r>
      <w:r w:rsidR="004B0451">
        <w:rPr>
          <w:rFonts w:ascii="Candara" w:eastAsia="SimSun" w:hAnsi="Candara" w:cs="Times New Roman"/>
          <w:lang w:eastAsia="zh-CN" w:bidi="lo-LA"/>
        </w:rPr>
        <w:t>8</w:t>
      </w:r>
      <w:r w:rsidRPr="00260E6E" w:rsidR="00E06C6C">
        <w:rPr>
          <w:rFonts w:ascii="Candara" w:eastAsia="SimSun" w:hAnsi="Candara" w:cs="Times New Roman"/>
          <w:lang w:eastAsia="zh-CN" w:bidi="lo-LA"/>
        </w:rPr>
        <w:t>./</w:t>
      </w:r>
      <w:r w:rsidRPr="00260E6E" w:rsidR="004B0451">
        <w:rPr>
          <w:rFonts w:ascii="Candara" w:eastAsia="SimSun" w:hAnsi="Candara" w:cs="Times New Roman"/>
          <w:lang w:eastAsia="zh-CN" w:bidi="lo-LA"/>
        </w:rPr>
        <w:t>201</w:t>
      </w:r>
      <w:r w:rsidR="004B0451">
        <w:rPr>
          <w:rFonts w:ascii="Candara" w:eastAsia="SimSun" w:hAnsi="Candara" w:cs="Times New Roman"/>
          <w:lang w:eastAsia="zh-CN" w:bidi="lo-LA"/>
        </w:rPr>
        <w:t>9</w:t>
      </w:r>
      <w:r w:rsidRPr="00260E6E" w:rsidR="00E06C6C">
        <w:rPr>
          <w:rFonts w:ascii="Candara" w:eastAsia="SimSun" w:hAnsi="Candara" w:cs="Times New Roman"/>
          <w:lang w:eastAsia="zh-CN" w:bidi="lo-LA"/>
        </w:rPr>
        <w:t>.</w:t>
      </w:r>
      <w:r w:rsidRPr="00260E6E" w:rsidR="004B0451">
        <w:rPr>
          <w:rFonts w:ascii="Candara" w:eastAsia="SimSun" w:hAnsi="Candara" w:cs="Times New Roman"/>
          <w:lang w:eastAsia="zh-CN" w:bidi="lo-LA"/>
        </w:rPr>
        <w:t>akadēmisk</w:t>
      </w:r>
      <w:r w:rsidR="004B0451">
        <w:rPr>
          <w:rFonts w:ascii="Candara" w:eastAsia="SimSun" w:hAnsi="Candara" w:cs="Times New Roman"/>
          <w:lang w:eastAsia="zh-CN" w:bidi="lo-LA"/>
        </w:rPr>
        <w:t>ā</w:t>
      </w:r>
      <w:r w:rsidRPr="00260E6E" w:rsidR="004B0451">
        <w:rPr>
          <w:rFonts w:ascii="Candara" w:eastAsia="SimSun" w:hAnsi="Candara" w:cs="Times New Roman"/>
          <w:lang w:eastAsia="zh-CN" w:bidi="lo-LA"/>
        </w:rPr>
        <w:t xml:space="preserve"> </w:t>
      </w:r>
      <w:r w:rsidRPr="00260E6E" w:rsidR="00E06C6C">
        <w:rPr>
          <w:rFonts w:ascii="Candara" w:eastAsia="SimSun" w:hAnsi="Candara" w:cs="Times New Roman"/>
          <w:lang w:eastAsia="zh-CN" w:bidi="lo-LA"/>
        </w:rPr>
        <w:t>gada sākumu – t.i., 2018.gada septembrī</w:t>
      </w:r>
      <w:r w:rsidR="00CA105F">
        <w:rPr>
          <w:rFonts w:ascii="Candara" w:eastAsia="SimSun" w:hAnsi="Candara" w:cs="Times New Roman"/>
          <w:lang w:eastAsia="zh-CN" w:bidi="lo-LA"/>
        </w:rPr>
        <w:t>/oktobrī</w:t>
      </w:r>
      <w:r w:rsidRPr="00260E6E" w:rsidR="00E06C6C">
        <w:rPr>
          <w:rFonts w:ascii="Candara" w:eastAsia="SimSun" w:hAnsi="Candara" w:cs="Times New Roman"/>
          <w:lang w:eastAsia="zh-CN" w:bidi="lo-LA"/>
        </w:rPr>
        <w:t>.</w:t>
      </w:r>
    </w:p>
    <w:p w:rsidR="00786ACD" w:rsidRPr="00150EB5" w:rsidP="006D4322" w14:paraId="06907488" w14:textId="77777777">
      <w:pPr>
        <w:spacing w:before="120" w:after="120" w:line="240" w:lineRule="auto"/>
        <w:jc w:val="both"/>
        <w:rPr>
          <w:rFonts w:ascii="Candara" w:hAnsi="Candara"/>
          <w:b/>
          <w:bCs/>
          <w:color w:val="000000"/>
        </w:rPr>
      </w:pPr>
      <w:r w:rsidRPr="00150EB5">
        <w:rPr>
          <w:rFonts w:ascii="Candara" w:hAnsi="Candara"/>
          <w:b/>
          <w:bCs/>
          <w:color w:val="000000"/>
        </w:rPr>
        <w:t>Zinātnes bāzes finansējums.</w:t>
      </w:r>
    </w:p>
    <w:p w:rsidR="00786ACD" w:rsidRPr="00150EB5" w:rsidP="009F2C2C" w14:paraId="6ED34491" w14:textId="77777777">
      <w:pPr>
        <w:spacing w:after="120" w:line="240" w:lineRule="auto"/>
        <w:ind w:firstLine="426"/>
        <w:jc w:val="both"/>
        <w:rPr>
          <w:rFonts w:ascii="Candara" w:hAnsi="Candara"/>
          <w:bCs/>
          <w:color w:val="000000"/>
        </w:rPr>
      </w:pPr>
      <w:r w:rsidRPr="00150EB5">
        <w:rPr>
          <w:rFonts w:ascii="Candara" w:hAnsi="Candara"/>
          <w:bCs/>
          <w:color w:val="000000"/>
        </w:rPr>
        <w:t>Valsts zinātniskajiem institūtiem, valsts augstskolām un valsts augstskolu zinātniskajiem institūtiem, tai skaitā valsts dibināto universitāšu zinātniskajiem institūtiem - atvasinātām publiskām personām, kas reģistrētas zinātnisko institūciju reģistrā, zinātniskās darbības bāzes finansējumu piešķir no valsts budžeta līdzekļiem saskaņā ar Ministru kabineta 2013.gada 12.novembra noteikumos Nr.1316 „Kārtība, kādā aprēķina un piešķir bāzes finansējumu zinātniskajām institūcijām” noteikto kārtību.</w:t>
      </w:r>
    </w:p>
    <w:p w:rsidR="00786ACD" w:rsidRPr="00150EB5" w:rsidP="009F2C2C" w14:paraId="39FA7399" w14:textId="77777777">
      <w:pPr>
        <w:spacing w:after="120" w:line="240" w:lineRule="auto"/>
        <w:ind w:firstLine="426"/>
        <w:jc w:val="both"/>
        <w:rPr>
          <w:rFonts w:ascii="Candara" w:hAnsi="Candara"/>
          <w:bCs/>
          <w:color w:val="000000"/>
        </w:rPr>
      </w:pPr>
      <w:r w:rsidRPr="00150EB5">
        <w:rPr>
          <w:rFonts w:ascii="Candara" w:hAnsi="Candara"/>
          <w:bCs/>
          <w:color w:val="000000"/>
        </w:rPr>
        <w:t>Zinātniskā institūcija piešķirto bāzes finansējumu izmanto: zinātniskā personāla atlīdzībai, zinātniskās institūcijas uzturēšanai un zinātniskās institūcijas darbības stratēģijā noteikto mērķu sasniegšanai, tai skaitā izgudrojumu patentēšanai, uzturēšanai spēkā, jaunu augu šķirņu reģistrēšanai un to izmantošanas tiesību aizsardzībai, saimnieciskās izmantošanas (komercializācijas) sagatavošanai, ES struktūrfondu, citu ārvalstu un starptautisko finanšu instrumentu un starptautisko zinātnisko pētījumu projektu līdzfinansējuma nodrošināšanai.</w:t>
      </w:r>
    </w:p>
    <w:p w:rsidR="00801FD0" w:rsidRPr="00A31C76" w:rsidP="009F2C2C" w14:paraId="58319769" w14:textId="77777777">
      <w:pPr>
        <w:spacing w:after="0"/>
        <w:ind w:firstLine="426"/>
        <w:jc w:val="both"/>
        <w:rPr>
          <w:rFonts w:ascii="Candara" w:hAnsi="Candara"/>
          <w:color w:val="000000"/>
        </w:rPr>
      </w:pPr>
      <w:r w:rsidRPr="00A31C76">
        <w:rPr>
          <w:rFonts w:ascii="Candara" w:eastAsia="SimSun" w:hAnsi="Candara" w:cs="Times New Roman"/>
          <w:lang w:eastAsia="zh-CN" w:bidi="lo-LA"/>
        </w:rPr>
        <w:t>Zinātnes bāzes finansējumā ir ieviesti uz ekselenci vērsti kritēriji: 10% no finansējuma tiek piešķirts tām zinātniskajām institūcijām, kas starptautiskajā zinātnes izvērtējumā saņēmušas augstu novērtējumu; aprēķinos tiek ņemti vērā starptautiskajos zinātnes izdevumos publicētie zinātniskie raksti u.c.. Finansējuma noteikumos ir ieviests atalgojums pētnieciskā darba daļējai nodrošināšanai valsts dibināto augstskolu akadēmiskajam personālam – profesoriem, asociētajiem profesoriem un docentiem, kas veic zin</w:t>
      </w:r>
      <w:r w:rsidRPr="00A31C76" w:rsidR="00BA548A">
        <w:rPr>
          <w:rFonts w:ascii="Candara" w:eastAsia="SimSun" w:hAnsi="Candara" w:cs="Times New Roman"/>
          <w:lang w:eastAsia="zh-CN" w:bidi="lo-LA"/>
        </w:rPr>
        <w:t xml:space="preserve">ātnisko darbību. </w:t>
      </w:r>
      <w:r w:rsidRPr="00A31C76">
        <w:rPr>
          <w:rFonts w:ascii="Candara" w:hAnsi="Candara"/>
          <w:color w:val="000000"/>
        </w:rPr>
        <w:t>Ir ņemts vērā</w:t>
      </w:r>
      <w:r w:rsidRPr="00A31C76" w:rsidR="00BA548A">
        <w:rPr>
          <w:rFonts w:ascii="Candara" w:hAnsi="Candara"/>
          <w:color w:val="000000"/>
        </w:rPr>
        <w:t xml:space="preserve"> arī</w:t>
      </w:r>
      <w:r w:rsidRPr="00A31C76">
        <w:rPr>
          <w:rFonts w:ascii="Candara" w:hAnsi="Candara"/>
          <w:color w:val="000000"/>
        </w:rPr>
        <w:t xml:space="preserve"> zinātnisko institūciju saņemtais </w:t>
      </w:r>
      <w:r w:rsidRPr="00A31C76">
        <w:rPr>
          <w:rFonts w:ascii="Candara" w:hAnsi="Candara"/>
          <w:color w:val="000000"/>
        </w:rPr>
        <w:t>novērtējums 2013.gada zinātnisko institūciju starptautiskajā izvērtējumā, 2014.gada oktobrī veiktajos grozījumos MK 1316 noteikumos, šo</w:t>
      </w:r>
      <w:r w:rsidRPr="00A31C76">
        <w:rPr>
          <w:rFonts w:ascii="Candara" w:hAnsi="Candara"/>
          <w:color w:val="000000"/>
        </w:rPr>
        <w:t xml:space="preserve"> </w:t>
      </w:r>
      <w:r w:rsidRPr="00A31C76">
        <w:rPr>
          <w:rFonts w:ascii="Candara" w:hAnsi="Candara"/>
          <w:color w:val="000000"/>
        </w:rPr>
        <w:t>noteikumu 11.</w:t>
      </w:r>
      <w:r w:rsidRPr="00A31C76">
        <w:rPr>
          <w:rFonts w:ascii="Candara" w:hAnsi="Candara"/>
          <w:color w:val="000000"/>
          <w:sz w:val="14"/>
          <w:szCs w:val="14"/>
          <w:vertAlign w:val="superscript"/>
        </w:rPr>
        <w:t xml:space="preserve">2 </w:t>
      </w:r>
      <w:r w:rsidRPr="00A31C76">
        <w:rPr>
          <w:rFonts w:ascii="Candara" w:hAnsi="Candara"/>
          <w:color w:val="000000"/>
        </w:rPr>
        <w:t>nosakot, ka IZM nepiešķir bāzes finansējumu zinātniskajām institūcijām, kuras zinātnisko institūciju darbības starptautiskajā izvērtējumā bija saņēmušas novērtējumu "1" un "2" (izņemot tās, kuras piedalījās zinātnisko institūciju konsolidācijas projektā).</w:t>
      </w:r>
    </w:p>
    <w:p w:rsidR="005F4EDC" w:rsidP="00CE69A8" w14:paraId="018A8764" w14:textId="77777777">
      <w:pPr>
        <w:spacing w:after="0"/>
        <w:ind w:firstLine="426"/>
        <w:jc w:val="both"/>
        <w:rPr>
          <w:rFonts w:ascii="Candara" w:eastAsia="Times New Roman" w:hAnsi="Candara" w:cs="Times New Roman"/>
          <w:i/>
          <w:iCs/>
          <w:color w:val="000000"/>
          <w:sz w:val="20"/>
          <w:szCs w:val="20"/>
          <w:lang w:eastAsia="en-GB"/>
        </w:rPr>
      </w:pPr>
      <w:r w:rsidRPr="00A31C76">
        <w:rPr>
          <w:rFonts w:ascii="Candara" w:hAnsi="Candara"/>
          <w:noProof/>
          <w:lang w:eastAsia="lv-LV"/>
        </w:rPr>
        <w:drawing>
          <wp:anchor distT="0" distB="0" distL="114300" distR="114300" simplePos="0" relativeHeight="251772928" behindDoc="0" locked="0" layoutInCell="1" allowOverlap="1">
            <wp:simplePos x="0" y="0"/>
            <wp:positionH relativeFrom="margin">
              <wp:posOffset>3194050</wp:posOffset>
            </wp:positionH>
            <wp:positionV relativeFrom="paragraph">
              <wp:posOffset>6985</wp:posOffset>
            </wp:positionV>
            <wp:extent cx="3086100" cy="2657475"/>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sidRPr="00A31C76">
        <w:rPr>
          <w:rFonts w:ascii="Candara" w:hAnsi="Candara"/>
          <w:color w:val="000000"/>
        </w:rPr>
        <w:t>Kopš 2014.gada, kad ir stājušies spēkā jaunie bāzes finansēšanas noteikumi ir pakāpeniski palielinājies piešķirtais zinātnes bāzes finansējuma apjoms no 16,0 milj. eiro 2014.gadā līdz 23,5 milj. eiro 2016.gadā, pateicoties finansējuma pieaugumam IZM budžeta apakšprogrammā 05.02.00 “Zinātnes bāzes finansējums”. Papildu finansējums ir ļāvis pakāpeniski palielināt bāzes finansējuma nodrošinājumu (% no normatīvajos aktos noteiktā) no 21 % 2</w:t>
      </w:r>
      <w:r w:rsidRPr="00A31C76" w:rsidR="00A65B70">
        <w:rPr>
          <w:rFonts w:ascii="Candara" w:hAnsi="Candara"/>
          <w:color w:val="000000"/>
        </w:rPr>
        <w:t>010.gadā līdz 68 % 2016.gadā (51</w:t>
      </w:r>
      <w:r w:rsidRPr="00A31C76">
        <w:rPr>
          <w:rFonts w:ascii="Candara" w:hAnsi="Candara"/>
          <w:color w:val="000000"/>
        </w:rPr>
        <w:t xml:space="preserve">. attēls). </w:t>
      </w:r>
      <w:r w:rsidRPr="00A31C76">
        <w:rPr>
          <w:rFonts w:ascii="Candara" w:hAnsi="Candara"/>
          <w:color w:val="000000"/>
        </w:rPr>
        <w:t xml:space="preserve">Ir arī jāpiemin, ka ilgstoši nepietiekami nodrošinātais zinātnes bāzes finansējums </w:t>
      </w:r>
      <w:r>
        <w:rPr>
          <w:rFonts w:ascii="Candara" w:hAnsi="Candara"/>
          <w:color w:val="000000"/>
        </w:rPr>
        <w:t xml:space="preserve">un pētniecības programmu finansējuma neesamība </w:t>
      </w:r>
      <w:r w:rsidRPr="00A31C76">
        <w:rPr>
          <w:rFonts w:ascii="Candara" w:hAnsi="Candara"/>
          <w:color w:val="000000"/>
        </w:rPr>
        <w:t>ir arī ievērojami samazinājos valsts zinātnisko institūciju zinātnisko kapacitāti</w:t>
      </w:r>
      <w:r>
        <w:rPr>
          <w:rFonts w:ascii="Candara" w:hAnsi="Candara"/>
          <w:color w:val="000000"/>
        </w:rPr>
        <w:t xml:space="preserve"> zinātniskā personāla skaita izteiksmē, un attiecīgi aprēķināto pilno nepieciešamo finansējumu </w:t>
      </w:r>
      <w:r w:rsidRPr="00A31C76">
        <w:rPr>
          <w:rFonts w:ascii="Candara" w:hAnsi="Candara"/>
          <w:color w:val="000000"/>
        </w:rPr>
        <w:t>no 51,6 milj. eiro 2010.gadā līdz 34,4 milj, eiro 2016.gadā.</w:t>
      </w:r>
    </w:p>
    <w:p w:rsidR="004B0451" w:rsidRPr="00150EB5" w:rsidP="005F4EDC" w14:paraId="3A78BE8D" w14:textId="77777777">
      <w:pPr>
        <w:spacing w:after="0"/>
        <w:jc w:val="both"/>
        <w:rPr>
          <w:rFonts w:ascii="Candara" w:eastAsia="Times New Roman" w:hAnsi="Candara" w:cs="Times New Roman"/>
          <w:i/>
          <w:iCs/>
          <w:color w:val="000000"/>
          <w:sz w:val="20"/>
          <w:szCs w:val="20"/>
          <w:lang w:eastAsia="en-GB"/>
        </w:rPr>
      </w:pPr>
    </w:p>
    <w:p w:rsidR="004B0451" w:rsidRPr="00C8558B" w:rsidP="004B0451" w14:paraId="4532FC0B" w14:textId="77777777">
      <w:pPr>
        <w:spacing w:after="12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C8558B" w:rsidRPr="00C8558B" w:rsidP="004B0451" w14:paraId="4FFC089D" w14:textId="77777777">
      <w:pPr>
        <w:jc w:val="center"/>
        <w:textAlignment w:val="baseline"/>
        <w:rPr>
          <w:rFonts w:ascii="Candara" w:hAnsi="Candara"/>
          <w:i/>
          <w:iCs/>
          <w:color w:val="000000"/>
          <w:sz w:val="20"/>
          <w:szCs w:val="20"/>
          <w:u w:val="single"/>
          <w:lang w:eastAsia="en-GB"/>
        </w:rPr>
        <w:sectPr w:rsidSect="00C8558B">
          <w:type w:val="continuous"/>
          <w:pgSz w:w="11906" w:h="16838"/>
          <w:pgMar w:top="1134" w:right="1134" w:bottom="1134" w:left="1701" w:header="425" w:footer="193" w:gutter="0"/>
          <w:cols w:space="708"/>
          <w:titlePg/>
          <w:docGrid w:linePitch="360"/>
        </w:sectPr>
      </w:pPr>
    </w:p>
    <w:p w:rsidR="004B0451" w:rsidP="004B0451" w14:paraId="12E347FA"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324F94" w:rsidRPr="00324F94" w:rsidP="00324F94" w14:paraId="344D0C9A"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Eiropas inovāciju rādītāju grupa (EIS pozīcija)</w:t>
      </w:r>
    </w:p>
    <w:p w:rsidR="004B0451" w:rsidRPr="00324F94" w:rsidP="004B0451" w14:paraId="0AE92E10" w14:textId="77777777">
      <w:pPr>
        <w:numPr>
          <w:ilvl w:val="0"/>
          <w:numId w:val="7"/>
        </w:numPr>
        <w:spacing w:before="60" w:after="0" w:line="240" w:lineRule="auto"/>
        <w:contextualSpacing/>
        <w:jc w:val="both"/>
        <w:textAlignment w:val="baseline"/>
        <w:rPr>
          <w:rFonts w:ascii="Candara" w:eastAsia="Times New Roman" w:hAnsi="Candara" w:cs="Times New Roman"/>
          <w:b/>
          <w:i/>
          <w:iCs/>
          <w:color w:val="000000"/>
          <w:szCs w:val="20"/>
          <w:lang w:eastAsia="en-GB"/>
        </w:rPr>
      </w:pPr>
      <w:r w:rsidRPr="00324F94">
        <w:rPr>
          <w:rFonts w:ascii="Candara" w:hAnsi="Candara"/>
          <w:i/>
          <w:spacing w:val="-8"/>
          <w:sz w:val="20"/>
          <w:szCs w:val="18"/>
          <w:lang w:bidi="lo-LA"/>
        </w:rPr>
        <w:t>Ieguldījumi pētniecībā un attīstībā 2020.gadā sasniedz 1,5% no IKP (%)</w:t>
      </w:r>
    </w:p>
    <w:p w:rsidR="00324F94" w:rsidP="00324F94" w14:paraId="2E98E58B"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Zinātnisko darbinieku skaits pētniecībā un attīstībā</w:t>
      </w:r>
    </w:p>
    <w:p w:rsidR="00324F94" w:rsidRPr="00324F94" w:rsidP="00324F94" w14:paraId="3AAAD525"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Zinātniskie raksti, kas publicēti starptautiskās datu bāzēs</w:t>
      </w:r>
    </w:p>
    <w:p w:rsidR="004B0451" w:rsidRPr="00C8558B" w:rsidP="004B0451" w14:paraId="46BFC981" w14:textId="77777777">
      <w:pPr>
        <w:spacing w:before="120" w:after="0" w:line="240" w:lineRule="auto"/>
        <w:ind w:left="788"/>
        <w:contextualSpacing/>
        <w:jc w:val="both"/>
        <w:textAlignment w:val="baseline"/>
        <w:rPr>
          <w:rFonts w:ascii="Candara" w:eastAsia="Times New Roman" w:hAnsi="Candara" w:cs="Times New Roman"/>
          <w:b/>
          <w:i/>
          <w:iCs/>
          <w:color w:val="000000"/>
          <w:sz w:val="10"/>
          <w:szCs w:val="10"/>
          <w:lang w:eastAsia="en-GB"/>
        </w:rPr>
      </w:pPr>
    </w:p>
    <w:p w:rsidR="004B0451" w:rsidRPr="00C8558B" w:rsidP="004B0451" w14:paraId="46A22444"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4B0451" w:rsidRPr="00C8558B" w:rsidP="004B0451" w14:paraId="55562CB4"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C8558B">
        <w:rPr>
          <w:rFonts w:ascii="Candara" w:eastAsia="Times New Roman" w:hAnsi="Candara" w:cs="Times New Roman"/>
          <w:i/>
          <w:iCs/>
          <w:color w:val="000000"/>
          <w:sz w:val="20"/>
          <w:szCs w:val="20"/>
          <w:lang w:eastAsia="en-GB"/>
        </w:rPr>
        <w:t>Zinātnisko institūciju licenču/patentu ieņēmumi (EUR);</w:t>
      </w:r>
    </w:p>
    <w:p w:rsidR="004B0451" w:rsidRPr="004B0451" w:rsidP="004B0451" w14:paraId="65FDD3B9"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4B0451" w:rsidRPr="004B0451" w:rsidP="004B0451" w14:paraId="55B05458" w14:textId="77777777">
      <w:pPr>
        <w:numPr>
          <w:ilvl w:val="0"/>
          <w:numId w:val="7"/>
        </w:numPr>
        <w:spacing w:after="0" w:line="240" w:lineRule="auto"/>
        <w:jc w:val="both"/>
        <w:textAlignment w:val="baseline"/>
        <w:rPr>
          <w:rFonts w:ascii="Candara" w:eastAsia="Times New Roman" w:hAnsi="Candara" w:cs="Arial"/>
          <w:i/>
          <w:iCs/>
          <w:color w:val="000000"/>
          <w:sz w:val="20"/>
          <w:szCs w:val="20"/>
          <w:lang w:eastAsia="en-GB"/>
        </w:rPr>
      </w:pPr>
      <w:r w:rsidRPr="004B0451">
        <w:rPr>
          <w:rFonts w:ascii="Candara" w:eastAsia="Times New Roman" w:hAnsi="Candara" w:cs="Times New Roman"/>
          <w:i/>
          <w:sz w:val="20"/>
          <w:szCs w:val="20"/>
          <w:lang w:eastAsia="lv-LV"/>
        </w:rPr>
        <w:t xml:space="preserve">Zinātniskie raksti, kas publicēti starptautiskās datu bāzēs indeksētos žurnālos </w:t>
      </w:r>
      <w:r w:rsidRPr="00A31C76">
        <w:rPr>
          <w:rFonts w:ascii="Candara" w:eastAsia="Times New Roman" w:hAnsi="Candara" w:cs="Times New Roman"/>
          <w:i/>
          <w:iCs/>
          <w:sz w:val="20"/>
          <w:szCs w:val="20"/>
          <w:lang w:eastAsia="lv-LV"/>
        </w:rPr>
        <w:t>(Scopus, Web of Science).</w:t>
      </w:r>
    </w:p>
    <w:p w:rsidR="004B0451" w:rsidP="004B0451" w14:paraId="68A0A2A3" w14:textId="77777777">
      <w:pPr>
        <w:spacing w:before="60" w:after="0" w:line="240" w:lineRule="auto"/>
        <w:contextualSpacing/>
        <w:jc w:val="both"/>
        <w:textAlignment w:val="baseline"/>
        <w:rPr>
          <w:rFonts w:ascii="Candara" w:eastAsia="Times New Roman" w:hAnsi="Candara" w:cs="Times New Roman"/>
          <w:b/>
          <w:i/>
          <w:iCs/>
          <w:color w:val="000000"/>
          <w:sz w:val="20"/>
          <w:szCs w:val="20"/>
          <w:lang w:eastAsia="en-GB"/>
        </w:rPr>
      </w:pPr>
    </w:p>
    <w:p w:rsidR="004B0451" w:rsidP="004B0451" w14:paraId="758C2BEA" w14:textId="77777777">
      <w:pPr>
        <w:spacing w:before="60" w:after="0" w:line="240" w:lineRule="auto"/>
        <w:contextualSpacing/>
        <w:jc w:val="both"/>
        <w:textAlignment w:val="baseline"/>
        <w:rPr>
          <w:rFonts w:ascii="Arial" w:eastAsia="Times New Roman" w:hAnsi="Arial" w:cs="Arial"/>
          <w:i/>
          <w:iCs/>
          <w:color w:val="000000"/>
          <w:sz w:val="20"/>
          <w:szCs w:val="20"/>
          <w:lang w:eastAsia="en-GB"/>
        </w:rPr>
        <w:sectPr w:rsidSect="00C8558B">
          <w:type w:val="continuous"/>
          <w:pgSz w:w="11906" w:h="16838"/>
          <w:pgMar w:top="1134" w:right="1134" w:bottom="1134" w:left="1701" w:header="425" w:footer="193" w:gutter="0"/>
          <w:cols w:num="2" w:space="708"/>
          <w:titlePg/>
          <w:docGrid w:linePitch="360"/>
        </w:sectPr>
      </w:pPr>
    </w:p>
    <w:p w:rsidR="00A33F78" w:rsidRPr="00150EB5" w:rsidP="00A33F78" w14:paraId="1D7DB502" w14:textId="77777777">
      <w:pPr>
        <w:spacing w:after="0" w:line="240" w:lineRule="auto"/>
        <w:ind w:left="644"/>
        <w:jc w:val="both"/>
        <w:textAlignment w:val="baseline"/>
        <w:rPr>
          <w:rFonts w:ascii="Candara" w:eastAsia="Times New Roman" w:hAnsi="Candara" w:cs="Arial"/>
          <w:i/>
          <w:iCs/>
          <w:color w:val="000000"/>
          <w:sz w:val="20"/>
          <w:szCs w:val="20"/>
          <w:lang w:eastAsia="en-GB"/>
        </w:rPr>
      </w:pPr>
    </w:p>
    <w:tbl>
      <w:tblPr>
        <w:tblW w:w="9067" w:type="dxa"/>
        <w:tblCellMar>
          <w:top w:w="15" w:type="dxa"/>
          <w:left w:w="15" w:type="dxa"/>
          <w:bottom w:w="15" w:type="dxa"/>
          <w:right w:w="15" w:type="dxa"/>
        </w:tblCellMar>
        <w:tblLook w:val="04A0"/>
      </w:tblPr>
      <w:tblGrid>
        <w:gridCol w:w="9067"/>
      </w:tblGrid>
      <w:tr w14:paraId="231ECC58" w14:textId="77777777" w:rsidTr="00CF3F47">
        <w:tblPrEx>
          <w:tblW w:w="9067" w:type="dxa"/>
          <w:tblCellMar>
            <w:top w:w="15" w:type="dxa"/>
            <w:left w:w="15" w:type="dxa"/>
            <w:bottom w:w="15" w:type="dxa"/>
            <w:right w:w="15" w:type="dxa"/>
          </w:tblCellMar>
          <w:tblLook w:val="04A0"/>
        </w:tblPrEx>
        <w:trPr>
          <w:trHeight w:val="558"/>
        </w:trPr>
        <w:tc>
          <w:tcPr>
            <w:tcW w:w="9067"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hideMark/>
          </w:tcPr>
          <w:p w:rsidR="00A33F78" w:rsidRPr="00150EB5" w:rsidP="00A33F78" w14:paraId="7A95D115" w14:textId="77777777">
            <w:pPr>
              <w:pStyle w:val="NormalWeb"/>
              <w:spacing w:before="0" w:beforeAutospacing="0" w:after="120" w:afterAutospacing="0"/>
              <w:ind w:left="164"/>
              <w:jc w:val="both"/>
              <w:rPr>
                <w:rFonts w:ascii="Candara" w:hAnsi="Candara"/>
                <w:b/>
                <w:bCs/>
                <w:caps/>
                <w:sz w:val="20"/>
                <w:szCs w:val="20"/>
              </w:rPr>
            </w:pPr>
            <w:r w:rsidRPr="00150EB5">
              <w:rPr>
                <w:rFonts w:ascii="Candara" w:hAnsi="Candara"/>
                <w:b/>
                <w:bCs/>
                <w:caps/>
                <w:sz w:val="20"/>
                <w:szCs w:val="20"/>
              </w:rPr>
              <w:t>Nacionālās licences nodrošināšana Starptautiskajām zinātniskajām datubāzēm</w:t>
            </w:r>
          </w:p>
          <w:p w:rsidR="00A33F78" w:rsidRPr="00150EB5" w:rsidP="00A33F78" w14:paraId="60831E25" w14:textId="77777777">
            <w:pPr>
              <w:pStyle w:val="NormalWeb"/>
              <w:spacing w:before="0" w:beforeAutospacing="0" w:after="120" w:afterAutospacing="0"/>
              <w:ind w:left="164"/>
              <w:jc w:val="both"/>
              <w:rPr>
                <w:rFonts w:ascii="Candara" w:hAnsi="Candara"/>
                <w:bCs/>
                <w:sz w:val="20"/>
                <w:szCs w:val="20"/>
              </w:rPr>
            </w:pPr>
            <w:r w:rsidRPr="00150EB5">
              <w:rPr>
                <w:rFonts w:ascii="Candara" w:hAnsi="Candara"/>
                <w:bCs/>
                <w:sz w:val="20"/>
                <w:szCs w:val="20"/>
              </w:rPr>
              <w:t>Zinātnes bāzes finansējuma finansēšanas noteikumu 2014.gada 28.oktobra grozījumos tika noteikts, ka Izglītības un zinātnes ministrija nodrošina zinātnisko datubāžu uzturēšanu akadēmiskā tīkla ietvaros, kā rezultātā tiek nodrošināta nacionālā piekļuves licence SCOPUS un Web of Science datubāzēm, kā arī Science Direct zinātnisko rakstu datubāzei.</w:t>
            </w:r>
          </w:p>
          <w:p w:rsidR="00786ACD" w:rsidRPr="00150EB5" w:rsidP="00A33F78" w14:paraId="212853AD" w14:textId="77777777">
            <w:pPr>
              <w:pStyle w:val="NormalWeb"/>
              <w:spacing w:before="0" w:beforeAutospacing="0" w:after="120" w:afterAutospacing="0"/>
              <w:ind w:left="164"/>
              <w:jc w:val="both"/>
              <w:rPr>
                <w:rFonts w:ascii="Candara" w:hAnsi="Candara"/>
                <w:bCs/>
                <w:color w:val="000000"/>
                <w:sz w:val="18"/>
                <w:szCs w:val="18"/>
              </w:rPr>
            </w:pPr>
            <w:r w:rsidRPr="00150EB5">
              <w:rPr>
                <w:rFonts w:ascii="Candara" w:hAnsi="Candara"/>
                <w:bCs/>
                <w:sz w:val="20"/>
                <w:szCs w:val="20"/>
              </w:rPr>
              <w:t>Pēdējo gadu tendences parāda to, ka šo datubāžu lietošanas intensitāte no Latvijas zinātnieku puses ir ļoti augsta, piemēram, Science Direct datubāzē apskatīto un lejuplādēto rakstu skaits ir palielinājies no 300 138 rakstiem 2011.gadā līdz 407 735 rakstiem 2016.gadā, kas ir ievērojams skaits pie esošās Latvijas zinātnes kapacitātes apmēra.</w:t>
            </w:r>
          </w:p>
        </w:tc>
      </w:tr>
    </w:tbl>
    <w:p w:rsidR="00D3451C" w:rsidRPr="00442B76" w:rsidP="009F2C2C" w14:paraId="6F922428" w14:textId="77777777">
      <w:pPr>
        <w:spacing w:before="120" w:after="120"/>
        <w:ind w:firstLine="426"/>
        <w:jc w:val="both"/>
        <w:rPr>
          <w:rFonts w:ascii="Candara" w:eastAsia="Times New Roman" w:hAnsi="Candara" w:cs="Arial"/>
          <w:bCs/>
          <w:lang w:eastAsia="lv-LV"/>
        </w:rPr>
      </w:pPr>
      <w:r w:rsidRPr="00150EB5">
        <w:rPr>
          <w:rFonts w:ascii="Candara" w:hAnsi="Candara"/>
          <w:b/>
          <w:bCs/>
          <w:color w:val="000000"/>
        </w:rPr>
        <w:t xml:space="preserve">Valsts pētījumu programmas. </w:t>
      </w:r>
      <w:r w:rsidR="00625C7B">
        <w:rPr>
          <w:rFonts w:ascii="Candara" w:hAnsi="Candara"/>
          <w:bCs/>
          <w:color w:val="000000"/>
        </w:rPr>
        <w:t>2014.gada 7.oktobrī ar MK rīkojumu Nr.</w:t>
      </w:r>
      <w:r w:rsidRPr="00150EB5">
        <w:rPr>
          <w:rFonts w:ascii="Candara" w:hAnsi="Candara"/>
          <w:bCs/>
          <w:color w:val="000000"/>
        </w:rPr>
        <w:t>558 „P</w:t>
      </w:r>
      <w:r w:rsidR="009F2C2C">
        <w:rPr>
          <w:rFonts w:ascii="Candara" w:hAnsi="Candara"/>
          <w:bCs/>
          <w:color w:val="000000"/>
        </w:rPr>
        <w:t xml:space="preserve">ar valsts pētījumu programmām” </w:t>
      </w:r>
      <w:r w:rsidRPr="00150EB5">
        <w:rPr>
          <w:rFonts w:ascii="Candara" w:hAnsi="Candara"/>
          <w:bCs/>
          <w:color w:val="000000"/>
        </w:rPr>
        <w:t xml:space="preserve">apstiprinātas 10 Valsts </w:t>
      </w:r>
      <w:r w:rsidR="00625C7B">
        <w:rPr>
          <w:rFonts w:ascii="Candara" w:hAnsi="Candara"/>
          <w:bCs/>
          <w:color w:val="000000"/>
        </w:rPr>
        <w:t>pētījumu programmas 2014.–2017.</w:t>
      </w:r>
      <w:r w:rsidRPr="00150EB5">
        <w:rPr>
          <w:rFonts w:ascii="Candara" w:hAnsi="Candara"/>
          <w:bCs/>
          <w:color w:val="000000"/>
        </w:rPr>
        <w:t>gad</w:t>
      </w:r>
      <w:r w:rsidR="00625C7B">
        <w:rPr>
          <w:rFonts w:ascii="Candara" w:hAnsi="Candara"/>
          <w:bCs/>
          <w:color w:val="000000"/>
        </w:rPr>
        <w:t>am. Papildus ar MK rīkojumu Nr.</w:t>
      </w:r>
      <w:r w:rsidRPr="00150EB5">
        <w:rPr>
          <w:rFonts w:ascii="Candara" w:hAnsi="Candara"/>
          <w:bCs/>
          <w:color w:val="000000"/>
        </w:rPr>
        <w:t>559 „Par papildu valsts pētījumu programmām” ir ti</w:t>
      </w:r>
      <w:r w:rsidR="00625C7B">
        <w:rPr>
          <w:rFonts w:ascii="Candara" w:hAnsi="Candara"/>
          <w:bCs/>
          <w:color w:val="000000"/>
        </w:rPr>
        <w:t>kušas apstiprinātas vēl 4 </w:t>
      </w:r>
      <w:r w:rsidRPr="00150EB5">
        <w:rPr>
          <w:rFonts w:ascii="Candara" w:hAnsi="Candara"/>
          <w:bCs/>
          <w:color w:val="000000"/>
        </w:rPr>
        <w:t>Valsts pētījumu programmas. Kopējais pētījumu f</w:t>
      </w:r>
      <w:r w:rsidR="00625C7B">
        <w:rPr>
          <w:rFonts w:ascii="Candara" w:hAnsi="Candara"/>
          <w:bCs/>
          <w:color w:val="000000"/>
        </w:rPr>
        <w:t>inansējums posmā no 2014.-2017.</w:t>
      </w:r>
      <w:r w:rsidRPr="00150EB5">
        <w:rPr>
          <w:rFonts w:ascii="Candara" w:hAnsi="Candara"/>
          <w:bCs/>
          <w:color w:val="000000"/>
        </w:rPr>
        <w:t xml:space="preserve">gadam ir </w:t>
      </w:r>
      <w:r w:rsidRPr="00150EB5">
        <w:rPr>
          <w:rFonts w:ascii="Candara" w:eastAsia="Times New Roman" w:hAnsi="Candara" w:cs="Arial"/>
          <w:bCs/>
          <w:lang w:eastAsia="lv-LV"/>
        </w:rPr>
        <w:t>27 MEUR. Valsts pētījumu programmu virsmērķis ir sniegt ilgtspējīgus priekšlikumus tautsaimniecības restrukturizācijai, izmantojot Latvijas potenciālu zināšanu ekonomikas veidošanai atbilstoši Viedās specializācijas stratēģijā definētajiem mērķiem. 53 projekti no 69 tiek veikti Viedās specializācijas stratēģijas jomās (5</w:t>
      </w:r>
      <w:r w:rsidR="00625C7B">
        <w:rPr>
          <w:rFonts w:ascii="Candara" w:eastAsia="Times New Roman" w:hAnsi="Candara" w:cs="Arial"/>
          <w:bCs/>
          <w:lang w:eastAsia="lv-LV"/>
        </w:rPr>
        <w:t>2</w:t>
      </w:r>
      <w:r w:rsidRPr="00150EB5">
        <w:rPr>
          <w:rFonts w:ascii="Candara" w:eastAsia="Times New Roman" w:hAnsi="Candara" w:cs="Arial"/>
          <w:bCs/>
          <w:lang w:eastAsia="lv-LV"/>
        </w:rPr>
        <w:t>.att.).</w:t>
      </w:r>
      <w:r w:rsidR="007F5ED9">
        <w:rPr>
          <w:rFonts w:ascii="Candara" w:eastAsia="Times New Roman" w:hAnsi="Candara" w:cs="Arial"/>
          <w:bCs/>
          <w:lang w:eastAsia="lv-LV"/>
        </w:rPr>
        <w:t xml:space="preserve"> Jāatzīmē, ka pētījumiem pieejamais finansējums ir pārāk zems, lai </w:t>
      </w:r>
      <w:r w:rsidR="007F5ED9">
        <w:rPr>
          <w:rFonts w:ascii="Candara" w:eastAsia="Times New Roman" w:hAnsi="Candara" w:cs="Arial"/>
          <w:bCs/>
          <w:lang w:eastAsia="lv-LV"/>
        </w:rPr>
        <w:t>nodrošinātu virsmērķa sasniegšanu, nodarbinātu vērā ņemamu zinātnieku skaitu un nodrošinātu pietiekamu sasaisti ar tautsaimniecības nozaru attīstību. Tāpēc turpmāk Valsts pētījumu programmas ir jāfinansē attiecīgām nozaru ministrijām, lai nodrošinātu jaunas zināšanas, tehnoloģijas, to pārnese tautsaimniecības attīstībai, nozares attīstībai nepieciešamo cilvēkkapitālu, kā arī uz zinātniskiem pētījumiem balstītas politikas īstenošanu un lēmumu pieņemšanu.</w:t>
      </w:r>
    </w:p>
    <w:p w:rsidR="001D52BA" w:rsidP="00C73917" w14:paraId="54820AB7"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150EB5">
        <w:rPr>
          <w:rFonts w:ascii="Candara" w:eastAsia="Times New Roman" w:hAnsi="Candara" w:cs="Arial"/>
          <w:bCs/>
          <w:noProof/>
          <w:lang w:eastAsia="lv-LV"/>
        </w:rPr>
        <w:drawing>
          <wp:anchor distT="0" distB="0" distL="114300" distR="114300" simplePos="0" relativeHeight="251666432" behindDoc="0" locked="0" layoutInCell="1" allowOverlap="1">
            <wp:simplePos x="0" y="0"/>
            <wp:positionH relativeFrom="page">
              <wp:posOffset>1447800</wp:posOffset>
            </wp:positionH>
            <wp:positionV relativeFrom="paragraph">
              <wp:posOffset>255270</wp:posOffset>
            </wp:positionV>
            <wp:extent cx="5156200" cy="1955800"/>
            <wp:effectExtent l="0" t="0" r="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p>
    <w:p w:rsidR="001D52BA" w:rsidP="00C73917" w14:paraId="1BE1F5CF"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p>
    <w:p w:rsidR="001D52BA" w:rsidP="00C73917" w14:paraId="469FCC2F"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p>
    <w:p w:rsidR="00CE69A8" w:rsidRPr="00C8558B" w:rsidP="00C73917" w14:paraId="7B68F393"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w:t>
      </w:r>
      <w:r w:rsidR="005E2E85">
        <w:rPr>
          <w:rFonts w:ascii="Candara" w:eastAsia="Times New Roman" w:hAnsi="Candara" w:cs="Times New Roman"/>
          <w:i/>
          <w:iCs/>
          <w:color w:val="000000"/>
          <w:sz w:val="20"/>
          <w:szCs w:val="20"/>
          <w:u w:val="single"/>
          <w:lang w:eastAsia="en-GB"/>
        </w:rPr>
        <w:t>A</w:t>
      </w:r>
      <w:r w:rsidRPr="00C8558B">
        <w:rPr>
          <w:rFonts w:ascii="Candara" w:eastAsia="Times New Roman" w:hAnsi="Candara" w:cs="Times New Roman"/>
          <w:i/>
          <w:iCs/>
          <w:color w:val="000000"/>
          <w:sz w:val="20"/>
          <w:szCs w:val="20"/>
          <w:u w:val="single"/>
          <w:lang w:eastAsia="en-GB"/>
        </w:rPr>
        <w:t>ktivitātei ir ietekme uz šādu RIS3 rādītāju sasniegšanu:</w:t>
      </w:r>
    </w:p>
    <w:p w:rsidR="00C8558B" w:rsidRPr="00C8558B" w:rsidP="00CE69A8" w14:paraId="045539B4" w14:textId="77777777">
      <w:pPr>
        <w:tabs>
          <w:tab w:val="left" w:pos="2895"/>
          <w:tab w:val="center" w:pos="4535"/>
        </w:tabs>
        <w:textAlignment w:val="baseline"/>
        <w:rPr>
          <w:rFonts w:ascii="Candara" w:hAnsi="Candara"/>
          <w:i/>
          <w:iCs/>
          <w:color w:val="000000"/>
          <w:sz w:val="20"/>
          <w:szCs w:val="20"/>
          <w:u w:val="single"/>
          <w:lang w:eastAsia="en-GB"/>
        </w:rPr>
        <w:sectPr w:rsidSect="00C8558B">
          <w:type w:val="continuous"/>
          <w:pgSz w:w="11906" w:h="16838"/>
          <w:pgMar w:top="1134" w:right="1134" w:bottom="1134" w:left="1701" w:header="425" w:footer="193" w:gutter="0"/>
          <w:cols w:space="708"/>
          <w:titlePg/>
          <w:docGrid w:linePitch="360"/>
        </w:sectPr>
      </w:pPr>
      <w:r>
        <w:rPr>
          <w:rFonts w:ascii="Candara" w:hAnsi="Candara"/>
          <w:i/>
          <w:iCs/>
          <w:color w:val="000000"/>
          <w:sz w:val="20"/>
          <w:szCs w:val="20"/>
          <w:u w:val="single"/>
          <w:lang w:eastAsia="en-GB"/>
        </w:rPr>
        <w:tab/>
      </w:r>
    </w:p>
    <w:p w:rsidR="00CE69A8" w:rsidP="00CE69A8" w14:paraId="54936610"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324F94" w:rsidRPr="00324F94" w:rsidP="00324F94" w14:paraId="35BF4C14"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Eiropas inovāciju rādītāju grupa (EIS pozīcija)</w:t>
      </w:r>
    </w:p>
    <w:p w:rsidR="00324F94" w:rsidRPr="00324F94" w:rsidP="00324F94" w14:paraId="06D6740F" w14:textId="77777777">
      <w:pPr>
        <w:numPr>
          <w:ilvl w:val="0"/>
          <w:numId w:val="7"/>
        </w:numPr>
        <w:spacing w:before="60" w:after="0" w:line="240" w:lineRule="auto"/>
        <w:contextualSpacing/>
        <w:jc w:val="both"/>
        <w:textAlignment w:val="baseline"/>
        <w:rPr>
          <w:rFonts w:ascii="Candara" w:eastAsia="Times New Roman" w:hAnsi="Candara" w:cs="Times New Roman"/>
          <w:b/>
          <w:i/>
          <w:iCs/>
          <w:color w:val="000000"/>
          <w:szCs w:val="20"/>
          <w:lang w:eastAsia="en-GB"/>
        </w:rPr>
      </w:pPr>
      <w:r w:rsidRPr="00324F94">
        <w:rPr>
          <w:rFonts w:ascii="Candara" w:hAnsi="Candara"/>
          <w:i/>
          <w:spacing w:val="-8"/>
          <w:sz w:val="20"/>
          <w:szCs w:val="18"/>
          <w:lang w:bidi="lo-LA"/>
        </w:rPr>
        <w:t>Ieguldījumi pētniecībā un attīstībā 2020.gadā sasniedz 1,5% no IKP (%)</w:t>
      </w:r>
    </w:p>
    <w:p w:rsidR="00324F94" w:rsidP="00324F94" w14:paraId="6C2F204A"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Zinātnisko darbinieku skaits pētniecībā un attīstībā</w:t>
      </w:r>
    </w:p>
    <w:p w:rsidR="00324F94" w:rsidRPr="00324F94" w:rsidP="00324F94" w14:paraId="66F6A39A"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Zinātniskie raksti, kas publicēti starptautiskās datu bāzēs</w:t>
      </w:r>
    </w:p>
    <w:p w:rsidR="00CE69A8" w:rsidRPr="00C8558B" w:rsidP="00324F94" w14:paraId="1EEF3A5E"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p>
    <w:p w:rsidR="00CE69A8" w:rsidRPr="00C8558B" w:rsidP="00CE69A8" w14:paraId="5A9EDF72" w14:textId="77777777">
      <w:pPr>
        <w:spacing w:before="120" w:after="0" w:line="240" w:lineRule="auto"/>
        <w:ind w:left="788"/>
        <w:contextualSpacing/>
        <w:jc w:val="both"/>
        <w:textAlignment w:val="baseline"/>
        <w:rPr>
          <w:rFonts w:ascii="Candara" w:eastAsia="Times New Roman" w:hAnsi="Candara" w:cs="Times New Roman"/>
          <w:b/>
          <w:i/>
          <w:iCs/>
          <w:color w:val="000000"/>
          <w:sz w:val="10"/>
          <w:szCs w:val="10"/>
          <w:lang w:eastAsia="en-GB"/>
        </w:rPr>
      </w:pPr>
    </w:p>
    <w:p w:rsidR="00CE69A8" w:rsidRPr="00C8558B" w:rsidP="00CE69A8" w14:paraId="1BEEF434"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CE69A8" w:rsidRPr="00C8558B" w:rsidP="00CE69A8" w14:paraId="391B35EC"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C8558B">
        <w:rPr>
          <w:rFonts w:ascii="Candara" w:eastAsia="Times New Roman" w:hAnsi="Candara" w:cs="Times New Roman"/>
          <w:i/>
          <w:iCs/>
          <w:color w:val="000000"/>
          <w:sz w:val="20"/>
          <w:szCs w:val="20"/>
          <w:lang w:eastAsia="en-GB"/>
        </w:rPr>
        <w:t>Zinātnisko institūciju licenču/patentu ieņēmumi (EUR);</w:t>
      </w:r>
    </w:p>
    <w:p w:rsidR="00CE69A8" w:rsidRPr="00CE69A8" w:rsidP="00CE69A8" w14:paraId="63F08010"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CE69A8" w:rsidRPr="00CE69A8" w:rsidP="00CE69A8" w14:paraId="1C6DE425"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Uzņēmumu skaits, kas saņēmuši atbalstu, lai ieviestu jaunus produktus vai tehnoloģijas;</w:t>
      </w:r>
    </w:p>
    <w:p w:rsidR="00CE69A8" w:rsidRPr="00CE69A8" w:rsidP="00CE69A8" w14:paraId="3ED61C5C"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E69A8">
        <w:rPr>
          <w:rFonts w:ascii="Candara" w:eastAsia="Times New Roman" w:hAnsi="Candara" w:cs="Times New Roman"/>
          <w:i/>
          <w:sz w:val="20"/>
          <w:szCs w:val="20"/>
          <w:lang w:eastAsia="lv-LV"/>
        </w:rPr>
        <w:t>Jaunradītās darba vietas, t.sk. tās, kurās nodarbināti zinātniskie darbinieki publiskā sektorā/ uzņēmējdarbības sektorā;</w:t>
      </w:r>
    </w:p>
    <w:p w:rsidR="00CE69A8" w:rsidRPr="00CE69A8" w:rsidP="00CE69A8" w14:paraId="370AC2C0"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E69A8">
        <w:rPr>
          <w:rFonts w:ascii="Candara" w:eastAsia="Times New Roman" w:hAnsi="Candara" w:cs="Times New Roman"/>
          <w:i/>
          <w:sz w:val="20"/>
          <w:szCs w:val="20"/>
          <w:lang w:eastAsia="lv-LV"/>
        </w:rPr>
        <w:t>H2020 apstiprināto projektu iesniegumu piesaistītais finansējums (LV daļa; EUR)</w:t>
      </w:r>
      <w:r w:rsidRPr="00CE69A8">
        <w:rPr>
          <w:rFonts w:ascii="Candara" w:eastAsia="Times New Roman" w:hAnsi="Candara" w:cs="Arial"/>
          <w:i/>
          <w:iCs/>
          <w:color w:val="000000"/>
          <w:sz w:val="20"/>
          <w:szCs w:val="20"/>
          <w:lang w:eastAsia="en-GB"/>
        </w:rPr>
        <w:t xml:space="preserve"> ;</w:t>
      </w:r>
    </w:p>
    <w:p w:rsidR="00CE69A8" w:rsidRPr="00C73917" w:rsidP="00CE69A8" w14:paraId="32DE049C" w14:textId="77777777">
      <w:pPr>
        <w:numPr>
          <w:ilvl w:val="0"/>
          <w:numId w:val="7"/>
        </w:numPr>
        <w:spacing w:after="0" w:line="240" w:lineRule="auto"/>
        <w:jc w:val="both"/>
        <w:textAlignment w:val="baseline"/>
        <w:rPr>
          <w:rFonts w:ascii="Candara" w:eastAsia="Times New Roman" w:hAnsi="Candara" w:cs="Arial"/>
          <w:i/>
          <w:iCs/>
          <w:color w:val="000000"/>
          <w:sz w:val="20"/>
          <w:szCs w:val="20"/>
          <w:lang w:eastAsia="en-GB"/>
        </w:rPr>
      </w:pPr>
      <w:r w:rsidRPr="00C73917">
        <w:rPr>
          <w:rFonts w:ascii="Candara" w:eastAsia="Times New Roman" w:hAnsi="Candara" w:cs="Times New Roman"/>
          <w:i/>
          <w:sz w:val="20"/>
          <w:szCs w:val="20"/>
          <w:lang w:eastAsia="lv-LV"/>
        </w:rPr>
        <w:t xml:space="preserve">Zinātniskie raksti, kas publicēti starptautiskās datu bāzēs indeksētos žurnālos </w:t>
      </w:r>
      <w:r w:rsidRPr="00C73917">
        <w:rPr>
          <w:rFonts w:ascii="Candara" w:eastAsia="Times New Roman" w:hAnsi="Candara" w:cs="Times New Roman"/>
          <w:i/>
          <w:iCs/>
          <w:sz w:val="20"/>
          <w:szCs w:val="20"/>
          <w:lang w:eastAsia="lv-LV"/>
        </w:rPr>
        <w:t>(Scopus, Web of Science);</w:t>
      </w:r>
    </w:p>
    <w:p w:rsidR="00CE69A8" w:rsidRPr="00CE69A8" w:rsidP="00CE69A8" w14:paraId="0A63ABBE" w14:textId="77777777">
      <w:pPr>
        <w:numPr>
          <w:ilvl w:val="0"/>
          <w:numId w:val="7"/>
        </w:numPr>
        <w:spacing w:after="0" w:line="240" w:lineRule="auto"/>
        <w:jc w:val="both"/>
        <w:textAlignment w:val="baseline"/>
        <w:rPr>
          <w:rFonts w:ascii="Candara" w:eastAsia="Times New Roman" w:hAnsi="Candara" w:cs="Arial"/>
          <w:i/>
          <w:iCs/>
          <w:color w:val="000000"/>
          <w:sz w:val="20"/>
          <w:szCs w:val="20"/>
          <w:lang w:eastAsia="en-GB"/>
        </w:rPr>
      </w:pPr>
      <w:r w:rsidRPr="00CE69A8">
        <w:rPr>
          <w:rFonts w:ascii="Candara" w:eastAsia="Times New Roman" w:hAnsi="Candara" w:cs="Times New Roman"/>
          <w:i/>
          <w:sz w:val="20"/>
          <w:szCs w:val="20"/>
          <w:lang w:eastAsia="lv-LV"/>
        </w:rPr>
        <w:t>P&amp;I projektos iesaistīto maģistrantu un doktorantu skaits</w:t>
      </w:r>
      <w:r w:rsidRPr="00CE69A8">
        <w:rPr>
          <w:rFonts w:ascii="Candara" w:eastAsia="Times New Roman" w:hAnsi="Candara" w:cs="Arial"/>
          <w:i/>
          <w:iCs/>
          <w:color w:val="000000"/>
          <w:sz w:val="20"/>
          <w:szCs w:val="20"/>
          <w:lang w:eastAsia="en-GB"/>
        </w:rPr>
        <w:t>.</w:t>
      </w:r>
    </w:p>
    <w:p w:rsidR="00CE69A8" w:rsidP="00CE69A8" w14:paraId="2CC04E0C" w14:textId="77777777">
      <w:pPr>
        <w:spacing w:after="0" w:line="240" w:lineRule="auto"/>
        <w:ind w:left="644"/>
        <w:jc w:val="both"/>
        <w:textAlignment w:val="baseline"/>
        <w:rPr>
          <w:rFonts w:ascii="Candara" w:eastAsia="Times New Roman" w:hAnsi="Candara" w:cs="Arial"/>
          <w:i/>
          <w:iCs/>
          <w:color w:val="000000"/>
          <w:sz w:val="20"/>
          <w:szCs w:val="20"/>
          <w:lang w:eastAsia="en-GB"/>
        </w:rPr>
        <w:sectPr w:rsidSect="00CE69A8">
          <w:type w:val="continuous"/>
          <w:pgSz w:w="11906" w:h="16838"/>
          <w:pgMar w:top="1134" w:right="1134" w:bottom="1134" w:left="1701" w:header="425" w:footer="193" w:gutter="0"/>
          <w:cols w:num="2" w:space="708"/>
          <w:titlePg/>
          <w:docGrid w:linePitch="360"/>
        </w:sectPr>
      </w:pPr>
    </w:p>
    <w:p w:rsidR="00CE69A8" w:rsidRPr="00A31C76" w:rsidP="00CE69A8" w14:paraId="687EFAC6" w14:textId="77777777">
      <w:pPr>
        <w:spacing w:after="0" w:line="240" w:lineRule="auto"/>
        <w:ind w:left="644"/>
        <w:jc w:val="both"/>
        <w:textAlignment w:val="baseline"/>
        <w:rPr>
          <w:rFonts w:ascii="Candara" w:eastAsia="Times New Roman" w:hAnsi="Candara" w:cs="Arial"/>
          <w:i/>
          <w:iCs/>
          <w:color w:val="000000"/>
          <w:sz w:val="20"/>
          <w:szCs w:val="20"/>
          <w:lang w:eastAsia="en-GB"/>
        </w:rPr>
      </w:pPr>
    </w:p>
    <w:p w:rsidR="006D08DF" w:rsidRPr="00150EB5" w:rsidP="009F2C2C" w14:paraId="6A6764A7" w14:textId="77777777">
      <w:pPr>
        <w:spacing w:after="0" w:line="240" w:lineRule="auto"/>
        <w:jc w:val="both"/>
        <w:textAlignment w:val="baseline"/>
        <w:rPr>
          <w:rFonts w:ascii="Candara" w:eastAsia="Times New Roman" w:hAnsi="Candara" w:cs="Arial"/>
          <w:i/>
          <w:iCs/>
          <w:color w:val="000000"/>
          <w:sz w:val="20"/>
          <w:szCs w:val="20"/>
          <w:lang w:eastAsia="en-GB"/>
        </w:rPr>
      </w:pPr>
    </w:p>
    <w:tbl>
      <w:tblPr>
        <w:tblW w:w="9067" w:type="dxa"/>
        <w:tblCellMar>
          <w:top w:w="15" w:type="dxa"/>
          <w:left w:w="15" w:type="dxa"/>
          <w:bottom w:w="15" w:type="dxa"/>
          <w:right w:w="15" w:type="dxa"/>
        </w:tblCellMar>
        <w:tblLook w:val="04A0"/>
      </w:tblPr>
      <w:tblGrid>
        <w:gridCol w:w="9067"/>
      </w:tblGrid>
      <w:tr w14:paraId="6F255794" w14:textId="77777777" w:rsidTr="00CF3F47">
        <w:tblPrEx>
          <w:tblW w:w="9067" w:type="dxa"/>
          <w:tblCellMar>
            <w:top w:w="15" w:type="dxa"/>
            <w:left w:w="15" w:type="dxa"/>
            <w:bottom w:w="15" w:type="dxa"/>
            <w:right w:w="15" w:type="dxa"/>
          </w:tblCellMar>
          <w:tblLook w:val="04A0"/>
        </w:tblPrEx>
        <w:trPr>
          <w:trHeight w:val="558"/>
        </w:trPr>
        <w:tc>
          <w:tcPr>
            <w:tcW w:w="9067"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hideMark/>
          </w:tcPr>
          <w:p w:rsidR="009913F6" w:rsidRPr="00150EB5" w:rsidP="009913F6" w14:paraId="1B8D5BFF" w14:textId="77777777">
            <w:pPr>
              <w:pStyle w:val="NormalWeb"/>
              <w:spacing w:before="0" w:beforeAutospacing="0" w:after="120" w:afterAutospacing="0"/>
              <w:jc w:val="both"/>
              <w:rPr>
                <w:rFonts w:ascii="Candara" w:hAnsi="Candara"/>
                <w:b/>
                <w:bCs/>
                <w:sz w:val="20"/>
                <w:szCs w:val="20"/>
              </w:rPr>
            </w:pPr>
            <w:r w:rsidRPr="00150EB5">
              <w:rPr>
                <w:rFonts w:ascii="Candara" w:hAnsi="Candara"/>
                <w:b/>
                <w:bCs/>
                <w:sz w:val="20"/>
                <w:szCs w:val="20"/>
              </w:rPr>
              <w:t>Valsts pētījumu programma “Energoefektīvi un oglekļa mazietilpīgi risinājumi drošai, ilgtspējīgai un klimata mainību mazinošai energoapgādei” (LATERNERGI)</w:t>
            </w:r>
          </w:p>
          <w:p w:rsidR="009913F6" w:rsidRPr="00150EB5" w:rsidP="009913F6" w14:paraId="190F0CBF" w14:textId="77777777">
            <w:pPr>
              <w:pStyle w:val="NormalWeb"/>
              <w:spacing w:before="0" w:beforeAutospacing="0" w:after="0" w:afterAutospacing="0"/>
              <w:jc w:val="both"/>
              <w:rPr>
                <w:rFonts w:ascii="Candara" w:hAnsi="Candara"/>
                <w:bCs/>
                <w:sz w:val="20"/>
                <w:szCs w:val="20"/>
              </w:rPr>
            </w:pPr>
            <w:r w:rsidRPr="00150EB5">
              <w:rPr>
                <w:rFonts w:ascii="Candara" w:hAnsi="Candara"/>
                <w:b/>
                <w:bCs/>
                <w:sz w:val="20"/>
                <w:szCs w:val="20"/>
              </w:rPr>
              <w:t>LATENERGI</w:t>
            </w:r>
            <w:r w:rsidRPr="00150EB5">
              <w:rPr>
                <w:rFonts w:ascii="Candara" w:hAnsi="Candara"/>
                <w:bCs/>
                <w:sz w:val="20"/>
                <w:szCs w:val="20"/>
              </w:rPr>
              <w:t xml:space="preserve"> programmas vadītājs ir </w:t>
            </w:r>
            <w:r w:rsidRPr="00150EB5">
              <w:rPr>
                <w:rFonts w:ascii="Candara" w:hAnsi="Candara"/>
                <w:bCs/>
                <w:i/>
                <w:sz w:val="20"/>
                <w:szCs w:val="20"/>
              </w:rPr>
              <w:t>Dr.habil.sc.ing.</w:t>
            </w:r>
            <w:r w:rsidRPr="00150EB5">
              <w:rPr>
                <w:rFonts w:ascii="Candara" w:hAnsi="Candara"/>
                <w:bCs/>
                <w:sz w:val="20"/>
                <w:szCs w:val="20"/>
              </w:rPr>
              <w:t xml:space="preserve"> L. Ribickis. Programma iekļauj sešus projektus:</w:t>
            </w:r>
          </w:p>
          <w:p w:rsidR="009913F6" w:rsidRPr="00A31C76" w:rsidP="006F1857" w14:paraId="7168BD52" w14:textId="77777777">
            <w:pPr>
              <w:pStyle w:val="NormalWeb"/>
              <w:numPr>
                <w:ilvl w:val="0"/>
                <w:numId w:val="19"/>
              </w:numPr>
              <w:spacing w:before="0" w:beforeAutospacing="0" w:after="0" w:afterAutospacing="0"/>
              <w:ind w:left="851" w:hanging="357"/>
              <w:jc w:val="both"/>
              <w:rPr>
                <w:rFonts w:ascii="Candara" w:hAnsi="Candara"/>
                <w:bCs/>
                <w:sz w:val="20"/>
                <w:szCs w:val="20"/>
              </w:rPr>
            </w:pPr>
            <w:r w:rsidRPr="00A31C76">
              <w:rPr>
                <w:rFonts w:ascii="Candara" w:hAnsi="Candara"/>
                <w:bCs/>
                <w:sz w:val="20"/>
                <w:szCs w:val="20"/>
              </w:rPr>
              <w:t>Inovatīvas energoelektronikas tehnoloģijas energoefektivitātes palielināšanai Latvijas tautsaimniecībā, nākotnes elektroapgādes tīkliem un atjaunojamo energoresursu izmantošanai;</w:t>
            </w:r>
          </w:p>
          <w:p w:rsidR="009913F6" w:rsidRPr="00150EB5" w:rsidP="006F1857" w14:paraId="5A33ECFF" w14:textId="77777777">
            <w:pPr>
              <w:pStyle w:val="NormalWeb"/>
              <w:numPr>
                <w:ilvl w:val="0"/>
                <w:numId w:val="19"/>
              </w:numPr>
              <w:spacing w:after="120"/>
              <w:ind w:left="851"/>
              <w:jc w:val="both"/>
              <w:rPr>
                <w:rFonts w:ascii="Candara" w:hAnsi="Candara"/>
                <w:bCs/>
                <w:sz w:val="20"/>
                <w:szCs w:val="20"/>
              </w:rPr>
            </w:pPr>
            <w:r w:rsidRPr="00150EB5">
              <w:rPr>
                <w:rFonts w:ascii="Candara" w:hAnsi="Candara"/>
                <w:bCs/>
                <w:sz w:val="20"/>
                <w:szCs w:val="20"/>
              </w:rPr>
              <w:t>Energosistēmas attīstības plānošanas un enerģijas ražošanas, tirgošanas un sadales optimizācija;</w:t>
            </w:r>
          </w:p>
          <w:p w:rsidR="009913F6" w:rsidRPr="00150EB5" w:rsidP="006F1857" w14:paraId="1517D65F" w14:textId="77777777">
            <w:pPr>
              <w:pStyle w:val="NormalWeb"/>
              <w:numPr>
                <w:ilvl w:val="0"/>
                <w:numId w:val="19"/>
              </w:numPr>
              <w:spacing w:after="120"/>
              <w:ind w:left="851"/>
              <w:jc w:val="both"/>
              <w:rPr>
                <w:rFonts w:ascii="Candara" w:hAnsi="Candara"/>
                <w:bCs/>
                <w:sz w:val="20"/>
                <w:szCs w:val="20"/>
              </w:rPr>
            </w:pPr>
            <w:r w:rsidRPr="00150EB5">
              <w:rPr>
                <w:rFonts w:ascii="Candara" w:hAnsi="Candara"/>
                <w:bCs/>
                <w:sz w:val="20"/>
                <w:szCs w:val="20"/>
              </w:rPr>
              <w:t>Ilgtspējīga klimata politika un inovatīvi, energoefektīvi tehnoloģiski risinājumi (KPIET);</w:t>
            </w:r>
          </w:p>
          <w:p w:rsidR="009913F6" w:rsidRPr="00150EB5" w:rsidP="006F1857" w14:paraId="4E87A4EC" w14:textId="77777777">
            <w:pPr>
              <w:pStyle w:val="NormalWeb"/>
              <w:numPr>
                <w:ilvl w:val="0"/>
                <w:numId w:val="19"/>
              </w:numPr>
              <w:spacing w:after="120"/>
              <w:ind w:left="851"/>
              <w:jc w:val="both"/>
              <w:rPr>
                <w:rFonts w:ascii="Candara" w:hAnsi="Candara"/>
                <w:bCs/>
                <w:sz w:val="20"/>
                <w:szCs w:val="20"/>
              </w:rPr>
            </w:pPr>
            <w:r w:rsidRPr="00150EB5">
              <w:rPr>
                <w:rFonts w:ascii="Candara" w:hAnsi="Candara"/>
                <w:bCs/>
                <w:sz w:val="20"/>
                <w:szCs w:val="20"/>
              </w:rPr>
              <w:t>Ūdeņraža un biodegvielu ieguves inovatīvās tehnoloģijas, to uzglabāšana, kvalitātes kontrole, kvalitātes nodrošināšana un izmantošana Latvijā;</w:t>
            </w:r>
          </w:p>
          <w:p w:rsidR="009913F6" w:rsidRPr="00150EB5" w:rsidP="006F1857" w14:paraId="44CEC43B" w14:textId="77777777">
            <w:pPr>
              <w:pStyle w:val="NormalWeb"/>
              <w:numPr>
                <w:ilvl w:val="0"/>
                <w:numId w:val="19"/>
              </w:numPr>
              <w:spacing w:after="120"/>
              <w:ind w:left="851"/>
              <w:jc w:val="both"/>
              <w:rPr>
                <w:rFonts w:ascii="Candara" w:hAnsi="Candara"/>
                <w:bCs/>
                <w:sz w:val="20"/>
                <w:szCs w:val="20"/>
              </w:rPr>
            </w:pPr>
            <w:r w:rsidRPr="00150EB5">
              <w:rPr>
                <w:rFonts w:ascii="Candara" w:hAnsi="Candara"/>
                <w:bCs/>
                <w:sz w:val="20"/>
                <w:szCs w:val="20"/>
              </w:rPr>
              <w:t>Enerģētikas un klimata politikas ietekmes novērtēšana;</w:t>
            </w:r>
          </w:p>
          <w:p w:rsidR="009913F6" w:rsidRPr="00150EB5" w:rsidP="006F1857" w14:paraId="4B4AE4BF" w14:textId="77777777">
            <w:pPr>
              <w:pStyle w:val="NormalWeb"/>
              <w:numPr>
                <w:ilvl w:val="0"/>
                <w:numId w:val="19"/>
              </w:numPr>
              <w:spacing w:before="0" w:beforeAutospacing="0" w:after="0" w:afterAutospacing="0"/>
              <w:ind w:left="851"/>
              <w:jc w:val="both"/>
              <w:rPr>
                <w:rFonts w:ascii="Candara" w:hAnsi="Candara"/>
                <w:bCs/>
                <w:sz w:val="20"/>
                <w:szCs w:val="20"/>
              </w:rPr>
            </w:pPr>
            <w:r w:rsidRPr="00150EB5">
              <w:rPr>
                <w:rFonts w:ascii="Candara" w:hAnsi="Candara"/>
                <w:bCs/>
                <w:sz w:val="20"/>
                <w:szCs w:val="20"/>
              </w:rPr>
              <w:t>Kompleksi pētījumi par atjaunojamo energoresursu ieguves un izmantošanas inovatīvajām tehnoloģijām un biogāzes ražošanas potenciālu atkritumu pārstrādes nozarē.</w:t>
            </w:r>
          </w:p>
          <w:p w:rsidR="009913F6" w:rsidRPr="00150EB5" w:rsidP="009913F6" w14:paraId="13366103" w14:textId="77777777">
            <w:pPr>
              <w:pStyle w:val="NormalWeb"/>
              <w:spacing w:before="0" w:beforeAutospacing="0" w:after="0" w:afterAutospacing="0"/>
              <w:jc w:val="both"/>
              <w:rPr>
                <w:rFonts w:ascii="Candara" w:hAnsi="Candara"/>
                <w:bCs/>
                <w:sz w:val="20"/>
                <w:szCs w:val="20"/>
              </w:rPr>
            </w:pPr>
            <w:r w:rsidRPr="00150EB5">
              <w:rPr>
                <w:rFonts w:ascii="Candara" w:hAnsi="Candara"/>
                <w:bCs/>
                <w:sz w:val="20"/>
                <w:szCs w:val="20"/>
              </w:rPr>
              <w:t xml:space="preserve">Programmas ietvaros tiek veikta izpēte par tehnoloģiski inovatīviem, izmaksu efektīviem risinājumiem ilgtspējīgas enerģijas ieguves un patēriņa attīstībai, energoefektivitātes paaugstināšanai un videi draudzīgu atjaunojamo energoresursu attīstībai. </w:t>
            </w:r>
          </w:p>
          <w:p w:rsidR="009913F6" w:rsidRPr="00150EB5" w:rsidP="009913F6" w14:paraId="2834599A" w14:textId="77777777">
            <w:pPr>
              <w:spacing w:after="120"/>
              <w:rPr>
                <w:rFonts w:ascii="Candara" w:hAnsi="Candara"/>
                <w:b/>
                <w:bCs/>
                <w:sz w:val="20"/>
                <w:szCs w:val="20"/>
              </w:rPr>
            </w:pPr>
          </w:p>
          <w:p w:rsidR="009913F6" w:rsidRPr="00150EB5" w:rsidP="009913F6" w14:paraId="7B5E348B" w14:textId="77777777">
            <w:pPr>
              <w:spacing w:after="120"/>
              <w:rPr>
                <w:rFonts w:ascii="Candara" w:hAnsi="Candara"/>
                <w:b/>
                <w:bCs/>
                <w:sz w:val="20"/>
                <w:szCs w:val="20"/>
              </w:rPr>
            </w:pPr>
            <w:r w:rsidRPr="00150EB5">
              <w:rPr>
                <w:rFonts w:ascii="Candara" w:hAnsi="Candara"/>
                <w:b/>
                <w:bCs/>
                <w:sz w:val="20"/>
                <w:szCs w:val="20"/>
              </w:rPr>
              <w:t>Valsts pētījumu programma “Meža un zemes dzīļu resursu izpēte, ilgtspējīga izmantošana – jauni produkti un tehnoloģijas” (ResProd)</w:t>
            </w:r>
          </w:p>
          <w:p w:rsidR="009913F6" w:rsidRPr="00150EB5" w:rsidP="009913F6" w14:paraId="6812C343" w14:textId="77777777">
            <w:pPr>
              <w:spacing w:after="120"/>
              <w:rPr>
                <w:rFonts w:ascii="Candara" w:hAnsi="Candara"/>
                <w:bCs/>
                <w:sz w:val="20"/>
                <w:szCs w:val="20"/>
              </w:rPr>
            </w:pPr>
            <w:r w:rsidRPr="00150EB5">
              <w:rPr>
                <w:rFonts w:ascii="Candara" w:hAnsi="Candara"/>
                <w:bCs/>
                <w:sz w:val="20"/>
                <w:szCs w:val="20"/>
              </w:rPr>
              <w:t xml:space="preserve">ResProd programmas vadītājs ir </w:t>
            </w:r>
            <w:r w:rsidRPr="00150EB5">
              <w:rPr>
                <w:rFonts w:ascii="Candara" w:hAnsi="Candara"/>
                <w:bCs/>
                <w:i/>
                <w:sz w:val="20"/>
                <w:szCs w:val="20"/>
              </w:rPr>
              <w:t>Dr.chem.</w:t>
            </w:r>
            <w:r w:rsidRPr="00150EB5">
              <w:rPr>
                <w:rFonts w:ascii="Candara" w:hAnsi="Candara"/>
                <w:bCs/>
                <w:sz w:val="20"/>
                <w:szCs w:val="20"/>
              </w:rPr>
              <w:t xml:space="preserve"> B. Andersons. Programma iekļauj sešus projektus:</w:t>
            </w:r>
          </w:p>
          <w:p w:rsidR="009913F6" w:rsidRPr="00150EB5" w:rsidP="006F1857" w14:paraId="32D9CA77" w14:textId="77777777">
            <w:pPr>
              <w:pStyle w:val="ListParagraph"/>
              <w:numPr>
                <w:ilvl w:val="0"/>
                <w:numId w:val="20"/>
              </w:numPr>
              <w:spacing w:after="120"/>
              <w:ind w:left="851" w:firstLine="0"/>
              <w:rPr>
                <w:rFonts w:ascii="Candara" w:hAnsi="Candara"/>
                <w:bCs/>
                <w:sz w:val="20"/>
                <w:szCs w:val="20"/>
              </w:rPr>
            </w:pPr>
            <w:r w:rsidRPr="00150EB5">
              <w:rPr>
                <w:rFonts w:ascii="Candara" w:hAnsi="Candara"/>
                <w:bCs/>
                <w:sz w:val="20"/>
                <w:szCs w:val="20"/>
              </w:rPr>
              <w:t>Vienvecuma egļu mežu audzēšanas potenciāls auglīgajās meža ekosistēmās;</w:t>
            </w:r>
          </w:p>
          <w:p w:rsidR="009913F6" w:rsidRPr="00150EB5" w:rsidP="006F1857" w14:paraId="68390B00" w14:textId="77777777">
            <w:pPr>
              <w:pStyle w:val="ListParagraph"/>
              <w:numPr>
                <w:ilvl w:val="0"/>
                <w:numId w:val="20"/>
              </w:numPr>
              <w:spacing w:after="120"/>
              <w:ind w:left="851" w:firstLine="0"/>
              <w:rPr>
                <w:rFonts w:ascii="Candara" w:hAnsi="Candara"/>
                <w:bCs/>
                <w:sz w:val="20"/>
                <w:szCs w:val="20"/>
              </w:rPr>
            </w:pPr>
            <w:r w:rsidRPr="00150EB5">
              <w:rPr>
                <w:rFonts w:ascii="Candara" w:hAnsi="Candara"/>
                <w:bCs/>
                <w:sz w:val="20"/>
                <w:szCs w:val="20"/>
              </w:rPr>
              <w:t>Pētījumi koksnes apstrādes, meža produktu loģistikas un plānošanas jomā;</w:t>
            </w:r>
          </w:p>
          <w:p w:rsidR="009913F6" w:rsidRPr="00150EB5" w:rsidP="006F1857" w14:paraId="6F67DBAF" w14:textId="77777777">
            <w:pPr>
              <w:pStyle w:val="ListParagraph"/>
              <w:numPr>
                <w:ilvl w:val="0"/>
                <w:numId w:val="20"/>
              </w:numPr>
              <w:spacing w:after="120"/>
              <w:ind w:left="851" w:firstLine="0"/>
              <w:rPr>
                <w:rFonts w:ascii="Candara" w:hAnsi="Candara"/>
                <w:bCs/>
                <w:sz w:val="20"/>
                <w:szCs w:val="20"/>
              </w:rPr>
            </w:pPr>
            <w:r w:rsidRPr="00150EB5">
              <w:rPr>
                <w:rFonts w:ascii="Candara" w:hAnsi="Candara"/>
                <w:bCs/>
                <w:sz w:val="20"/>
                <w:szCs w:val="20"/>
              </w:rPr>
              <w:t>Biomateriāli un bioprodukti no meža resursiem ar daudzpusīgu pielietojumu;</w:t>
            </w:r>
          </w:p>
          <w:p w:rsidR="009913F6" w:rsidRPr="00150EB5" w:rsidP="006F1857" w14:paraId="7E63BCDC" w14:textId="77777777">
            <w:pPr>
              <w:pStyle w:val="ListParagraph"/>
              <w:numPr>
                <w:ilvl w:val="0"/>
                <w:numId w:val="20"/>
              </w:numPr>
              <w:spacing w:after="120"/>
              <w:ind w:left="851" w:firstLine="0"/>
              <w:rPr>
                <w:rFonts w:ascii="Candara" w:hAnsi="Candara"/>
                <w:bCs/>
                <w:sz w:val="20"/>
                <w:szCs w:val="20"/>
              </w:rPr>
            </w:pPr>
            <w:r w:rsidRPr="00150EB5">
              <w:rPr>
                <w:rFonts w:ascii="Candara" w:hAnsi="Candara"/>
                <w:bCs/>
                <w:sz w:val="20"/>
                <w:szCs w:val="20"/>
              </w:rPr>
              <w:t>Zemes dzīļu resursu izpēte - jauni produkti un tehnoloģijas.</w:t>
            </w:r>
          </w:p>
          <w:p w:rsidR="00786ACD" w:rsidRPr="00150EB5" w:rsidP="009913F6" w14:paraId="53514087" w14:textId="77777777">
            <w:pPr>
              <w:pStyle w:val="NormalWeb"/>
              <w:spacing w:before="0" w:beforeAutospacing="0" w:after="120" w:afterAutospacing="0"/>
              <w:jc w:val="both"/>
              <w:rPr>
                <w:rFonts w:ascii="Candara" w:hAnsi="Candara"/>
                <w:bCs/>
                <w:color w:val="000000"/>
                <w:sz w:val="18"/>
                <w:szCs w:val="18"/>
              </w:rPr>
            </w:pPr>
            <w:r w:rsidRPr="00150EB5">
              <w:rPr>
                <w:rFonts w:ascii="Candara" w:hAnsi="Candara"/>
                <w:bCs/>
                <w:sz w:val="20"/>
                <w:szCs w:val="20"/>
              </w:rPr>
              <w:t xml:space="preserve">Pētījumu ietvaros tiek meklēti risinājumi, lai  nodrošinātu mežsaimniecības un zemes dzīļu resursu izmantošanas ilgtspējību, racionāli izmantotu Latvijas vietējos resursus globālajā tirgū konkurētspējīgu produktu ražošanai, vienlaicīgi saglabājot ilgtspējību, bioloģisko daudzveidību un mežu sociālo lomu tuvākā nākotnē un nākošām paaudzēm. </w:t>
            </w:r>
          </w:p>
        </w:tc>
      </w:tr>
    </w:tbl>
    <w:p w:rsidR="0069540B" w:rsidRPr="00150EB5" w:rsidP="009F2C2C" w14:paraId="069DAF1F" w14:textId="77777777">
      <w:pPr>
        <w:spacing w:before="120" w:after="120"/>
        <w:ind w:firstLine="426"/>
        <w:jc w:val="both"/>
        <w:rPr>
          <w:rFonts w:ascii="Candara" w:hAnsi="Candara"/>
          <w:bCs/>
          <w:color w:val="000000"/>
        </w:rPr>
      </w:pPr>
      <w:r w:rsidRPr="00150EB5">
        <w:rPr>
          <w:noProof/>
          <w:lang w:eastAsia="lv-LV"/>
        </w:rPr>
        <w:drawing>
          <wp:anchor distT="0" distB="0" distL="114300" distR="114300" simplePos="0" relativeHeight="251773952" behindDoc="0" locked="0" layoutInCell="1" allowOverlap="1">
            <wp:simplePos x="0" y="0"/>
            <wp:positionH relativeFrom="margin">
              <wp:align>center</wp:align>
            </wp:positionH>
            <wp:positionV relativeFrom="paragraph">
              <wp:posOffset>1804685</wp:posOffset>
            </wp:positionV>
            <wp:extent cx="5201107" cy="2421331"/>
            <wp:effectExtent l="0" t="0" r="0" b="0"/>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Pr="00150EB5">
        <w:rPr>
          <w:rFonts w:ascii="Candara" w:hAnsi="Candara"/>
          <w:b/>
        </w:rPr>
        <w:t xml:space="preserve">Fundamentālo un lietišķo pētījumu projekti </w:t>
      </w:r>
      <w:r w:rsidR="003761F5">
        <w:rPr>
          <w:rFonts w:ascii="Candara" w:hAnsi="Candara"/>
        </w:rPr>
        <w:t>(FLPP). 2011.gada 29.</w:t>
      </w:r>
      <w:r w:rsidRPr="00150EB5">
        <w:rPr>
          <w:rFonts w:ascii="Candara" w:hAnsi="Candara"/>
        </w:rPr>
        <w:t>martā apstiprināti Fundamentālo un lietišķo pētījumu projektu izvērtēšanas, finansēšanas un administrēšanas kārtību regulējošie MK noteikumi Nr.227. FLPP mērķis ir radīt jaunas zināšanas un tehnoloģiskās atziņas</w:t>
      </w:r>
      <w:r w:rsidR="000930CF">
        <w:rPr>
          <w:rFonts w:ascii="Candara" w:hAnsi="Candara"/>
          <w:bCs/>
          <w:color w:val="000000"/>
        </w:rPr>
        <w:t>, kas veido tautsaimniecības nozaru zināšanu bāzi un ir pamats augstākās izglītības kvalitātei</w:t>
      </w:r>
      <w:r w:rsidRPr="00150EB5">
        <w:rPr>
          <w:rFonts w:ascii="Candara" w:hAnsi="Candara"/>
        </w:rPr>
        <w:t xml:space="preserve">. Projektus finansē no valsts budžeta līdzekļiem zinātniskās darbības nodrošināšanai. FLPP kopējais finansējums 2014. - 2017. gada posmam ir 14,36 </w:t>
      </w:r>
      <w:r w:rsidRPr="00150EB5">
        <w:rPr>
          <w:rFonts w:ascii="Candara" w:eastAsia="Candara" w:hAnsi="Candara" w:cs="Candara"/>
        </w:rPr>
        <w:t xml:space="preserve">milj. </w:t>
      </w:r>
      <w:r w:rsidRPr="00150EB5">
        <w:rPr>
          <w:rFonts w:ascii="Candara" w:eastAsia="Candara" w:hAnsi="Candara" w:cs="Candara"/>
          <w:i/>
        </w:rPr>
        <w:t xml:space="preserve">euro. </w:t>
      </w:r>
      <w:r w:rsidRPr="00150EB5">
        <w:rPr>
          <w:rFonts w:ascii="Candara" w:hAnsi="Candara"/>
        </w:rPr>
        <w:t>Piešķirtais finansējums 2014., 2015. un 2016.</w:t>
      </w:r>
      <w:r w:rsidR="003761F5">
        <w:rPr>
          <w:rFonts w:ascii="Candara" w:hAnsi="Candara"/>
        </w:rPr>
        <w:t xml:space="preserve"> gadā</w:t>
      </w:r>
      <w:r w:rsidRPr="00150EB5">
        <w:rPr>
          <w:rFonts w:ascii="Candara" w:hAnsi="Candara"/>
        </w:rPr>
        <w:t xml:space="preserve"> bija 4,39 </w:t>
      </w:r>
      <w:r w:rsidRPr="00150EB5">
        <w:rPr>
          <w:rFonts w:ascii="Candara" w:eastAsia="Candara" w:hAnsi="Candara" w:cs="Candara"/>
        </w:rPr>
        <w:t xml:space="preserve">milj. </w:t>
      </w:r>
      <w:r w:rsidRPr="00150EB5">
        <w:rPr>
          <w:rFonts w:ascii="Candara" w:eastAsia="Candara" w:hAnsi="Candara" w:cs="Candara"/>
          <w:i/>
        </w:rPr>
        <w:t>euro</w:t>
      </w:r>
      <w:r w:rsidR="003761F5">
        <w:rPr>
          <w:rFonts w:ascii="Candara" w:hAnsi="Candara"/>
        </w:rPr>
        <w:t xml:space="preserve"> gadā un 2017.</w:t>
      </w:r>
      <w:r w:rsidRPr="00150EB5">
        <w:rPr>
          <w:rFonts w:ascii="Candara" w:hAnsi="Candara"/>
        </w:rPr>
        <w:t xml:space="preserve">gadā tas ir 1,20 </w:t>
      </w:r>
      <w:r w:rsidRPr="00150EB5">
        <w:rPr>
          <w:rFonts w:ascii="Candara" w:eastAsia="Candara" w:hAnsi="Candara" w:cs="Candara"/>
        </w:rPr>
        <w:t xml:space="preserve">milj. </w:t>
      </w:r>
      <w:r w:rsidRPr="00150EB5">
        <w:rPr>
          <w:rFonts w:ascii="Candara" w:eastAsia="Candara" w:hAnsi="Candara" w:cs="Candara"/>
          <w:i/>
        </w:rPr>
        <w:t>euro</w:t>
      </w:r>
      <w:r w:rsidRPr="00150EB5">
        <w:rPr>
          <w:rFonts w:ascii="Candara" w:hAnsi="Candara"/>
        </w:rPr>
        <w:t>. Kopā FLPP ietvaros ir apstiprināti 65 tematiskie pētījumu projekti un 9 pētnieciskās sadarbības projekti</w:t>
      </w:r>
      <w:r w:rsidRPr="00150EB5" w:rsidR="00257A07">
        <w:rPr>
          <w:rFonts w:ascii="Candara" w:hAnsi="Candara"/>
        </w:rPr>
        <w:t xml:space="preserve"> (5</w:t>
      </w:r>
      <w:r w:rsidR="003761F5">
        <w:rPr>
          <w:rFonts w:ascii="Candara" w:hAnsi="Candara"/>
        </w:rPr>
        <w:t>3</w:t>
      </w:r>
      <w:r w:rsidRPr="00150EB5" w:rsidR="00257A07">
        <w:rPr>
          <w:rFonts w:ascii="Candara" w:hAnsi="Candara"/>
        </w:rPr>
        <w:t>.attēls)</w:t>
      </w:r>
      <w:r w:rsidRPr="00150EB5">
        <w:rPr>
          <w:rFonts w:ascii="Candara" w:hAnsi="Candara"/>
        </w:rPr>
        <w:t xml:space="preserve">. </w:t>
      </w:r>
      <w:r w:rsidR="003761F5">
        <w:rPr>
          <w:rFonts w:ascii="Candara" w:hAnsi="Candara"/>
          <w:bCs/>
          <w:color w:val="000000"/>
        </w:rPr>
        <w:t>2017.</w:t>
      </w:r>
      <w:r w:rsidRPr="00150EB5">
        <w:rPr>
          <w:rFonts w:ascii="Candara" w:hAnsi="Candara"/>
          <w:bCs/>
          <w:color w:val="000000"/>
        </w:rPr>
        <w:t>gada decembrī noslēdzas četru gadu projektu īstenošana. Šobrīd tiek izstrādāti jaunie MK noteikumi projektu ī</w:t>
      </w:r>
      <w:r w:rsidR="003761F5">
        <w:rPr>
          <w:rFonts w:ascii="Candara" w:hAnsi="Candara"/>
          <w:bCs/>
          <w:color w:val="000000"/>
        </w:rPr>
        <w:t>stenošanai sākot ar 2018.</w:t>
      </w:r>
      <w:r w:rsidR="00A31C76">
        <w:rPr>
          <w:rFonts w:ascii="Candara" w:hAnsi="Candara"/>
          <w:bCs/>
          <w:color w:val="000000"/>
        </w:rPr>
        <w:t>gadu.</w:t>
      </w:r>
    </w:p>
    <w:p w:rsidR="00C73917" w:rsidRPr="00C8558B" w:rsidP="00C73917" w14:paraId="6A53F088"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C8558B" w:rsidRPr="00C8558B" w:rsidP="00C73917" w14:paraId="313F7B0E" w14:textId="77777777">
      <w:pPr>
        <w:tabs>
          <w:tab w:val="left" w:pos="2895"/>
          <w:tab w:val="center" w:pos="4535"/>
        </w:tabs>
        <w:textAlignment w:val="baseline"/>
        <w:rPr>
          <w:rFonts w:ascii="Candara" w:hAnsi="Candara"/>
          <w:i/>
          <w:iCs/>
          <w:color w:val="000000"/>
          <w:sz w:val="20"/>
          <w:szCs w:val="20"/>
          <w:u w:val="single"/>
          <w:lang w:eastAsia="en-GB"/>
        </w:rPr>
        <w:sectPr w:rsidSect="00C8558B">
          <w:type w:val="continuous"/>
          <w:pgSz w:w="11906" w:h="16838"/>
          <w:pgMar w:top="1134" w:right="1134" w:bottom="1134" w:left="1701" w:header="425" w:footer="193" w:gutter="0"/>
          <w:cols w:space="708"/>
          <w:titlePg/>
          <w:docGrid w:linePitch="360"/>
        </w:sectPr>
      </w:pPr>
      <w:r>
        <w:rPr>
          <w:rFonts w:ascii="Candara" w:hAnsi="Candara"/>
          <w:i/>
          <w:iCs/>
          <w:color w:val="000000"/>
          <w:sz w:val="20"/>
          <w:szCs w:val="20"/>
          <w:u w:val="single"/>
          <w:lang w:eastAsia="en-GB"/>
        </w:rPr>
        <w:tab/>
      </w:r>
    </w:p>
    <w:p w:rsidR="00C73917" w:rsidP="00C73917" w14:paraId="6B60A645"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324F94" w:rsidRPr="00324F94" w:rsidP="00324F94" w14:paraId="75D78B44"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Eiropas inovāciju rādītāju grupa (EIS pozīcija)</w:t>
      </w:r>
    </w:p>
    <w:p w:rsidR="00324F94" w:rsidRPr="00324F94" w:rsidP="00324F94" w14:paraId="6906A69D" w14:textId="77777777">
      <w:pPr>
        <w:numPr>
          <w:ilvl w:val="0"/>
          <w:numId w:val="7"/>
        </w:numPr>
        <w:spacing w:before="60" w:after="0" w:line="240" w:lineRule="auto"/>
        <w:contextualSpacing/>
        <w:jc w:val="both"/>
        <w:textAlignment w:val="baseline"/>
        <w:rPr>
          <w:rFonts w:ascii="Candara" w:eastAsia="Times New Roman" w:hAnsi="Candara" w:cs="Times New Roman"/>
          <w:b/>
          <w:i/>
          <w:iCs/>
          <w:color w:val="000000"/>
          <w:szCs w:val="20"/>
          <w:lang w:eastAsia="en-GB"/>
        </w:rPr>
      </w:pPr>
      <w:r w:rsidRPr="00324F94">
        <w:rPr>
          <w:rFonts w:ascii="Candara" w:hAnsi="Candara"/>
          <w:i/>
          <w:spacing w:val="-8"/>
          <w:sz w:val="20"/>
          <w:szCs w:val="18"/>
          <w:lang w:bidi="lo-LA"/>
        </w:rPr>
        <w:t>Ieguldījumi pētniecībā un attīstībā 2020.gadā sasniedz 1,5% no IKP (%)</w:t>
      </w:r>
    </w:p>
    <w:p w:rsidR="00324F94" w:rsidP="00324F94" w14:paraId="3F32B911"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Zinātnisko darbinieku skaits pētniecībā un attīstībā</w:t>
      </w:r>
    </w:p>
    <w:p w:rsidR="00C73917" w:rsidRPr="00324F94" w:rsidP="00324F94" w14:paraId="17F28776"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24F94">
        <w:rPr>
          <w:rFonts w:ascii="Candara" w:eastAsia="Times New Roman" w:hAnsi="Candara" w:cs="Times New Roman"/>
          <w:i/>
          <w:iCs/>
          <w:color w:val="000000"/>
          <w:sz w:val="20"/>
          <w:szCs w:val="20"/>
          <w:lang w:eastAsia="en-GB"/>
        </w:rPr>
        <w:t>Zinātniskie raksti, kas publicēti starptautiskās datu bāzēs</w:t>
      </w:r>
    </w:p>
    <w:p w:rsidR="00C73917" w:rsidRPr="00C8558B" w:rsidP="00C73917" w14:paraId="4E437BE1" w14:textId="77777777">
      <w:pPr>
        <w:spacing w:before="120" w:after="0" w:line="240" w:lineRule="auto"/>
        <w:ind w:left="788"/>
        <w:contextualSpacing/>
        <w:jc w:val="both"/>
        <w:textAlignment w:val="baseline"/>
        <w:rPr>
          <w:rFonts w:ascii="Candara" w:eastAsia="Times New Roman" w:hAnsi="Candara" w:cs="Times New Roman"/>
          <w:b/>
          <w:i/>
          <w:iCs/>
          <w:color w:val="000000"/>
          <w:sz w:val="10"/>
          <w:szCs w:val="10"/>
          <w:lang w:eastAsia="en-GB"/>
        </w:rPr>
      </w:pPr>
    </w:p>
    <w:p w:rsidR="00C73917" w:rsidRPr="00C8558B" w:rsidP="00C73917" w14:paraId="0DF4418E"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C73917" w:rsidRPr="00CE69A8" w:rsidP="00C73917" w14:paraId="6E839DC1"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E69A8">
        <w:rPr>
          <w:rFonts w:ascii="Candara" w:eastAsia="Times New Roman" w:hAnsi="Candara" w:cs="Times New Roman"/>
          <w:i/>
          <w:sz w:val="20"/>
          <w:szCs w:val="20"/>
          <w:lang w:eastAsia="lv-LV"/>
        </w:rPr>
        <w:t>Jaunradītās darba vietas, t.sk. tās, kurās nodarbināti zinātniskie darbinieki publiskā sektorā/ uzņēmējdarbības sektorā;</w:t>
      </w:r>
    </w:p>
    <w:p w:rsidR="00C73917" w:rsidRPr="00CE69A8" w:rsidP="00C73917" w14:paraId="4A47E5A8"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E69A8">
        <w:rPr>
          <w:rFonts w:ascii="Candara" w:eastAsia="Times New Roman" w:hAnsi="Candara" w:cs="Times New Roman"/>
          <w:i/>
          <w:sz w:val="20"/>
          <w:szCs w:val="20"/>
          <w:lang w:eastAsia="lv-LV"/>
        </w:rPr>
        <w:t>H2020 apstiprināto projektu iesniegumu piesaistītais finansējums (LV daļa; EUR)</w:t>
      </w:r>
      <w:r w:rsidRPr="00CE69A8">
        <w:rPr>
          <w:rFonts w:ascii="Candara" w:eastAsia="Times New Roman" w:hAnsi="Candara" w:cs="Arial"/>
          <w:i/>
          <w:iCs/>
          <w:color w:val="000000"/>
          <w:sz w:val="20"/>
          <w:szCs w:val="20"/>
          <w:lang w:eastAsia="en-GB"/>
        </w:rPr>
        <w:t xml:space="preserve"> ;</w:t>
      </w:r>
    </w:p>
    <w:p w:rsidR="00C73917" w:rsidRPr="00C73917" w:rsidP="00C73917" w14:paraId="43423147" w14:textId="77777777">
      <w:pPr>
        <w:numPr>
          <w:ilvl w:val="0"/>
          <w:numId w:val="7"/>
        </w:numPr>
        <w:spacing w:after="0" w:line="240" w:lineRule="auto"/>
        <w:jc w:val="both"/>
        <w:textAlignment w:val="baseline"/>
        <w:rPr>
          <w:rFonts w:ascii="Candara" w:eastAsia="Times New Roman" w:hAnsi="Candara" w:cs="Arial"/>
          <w:i/>
          <w:iCs/>
          <w:color w:val="000000"/>
          <w:sz w:val="20"/>
          <w:szCs w:val="20"/>
          <w:lang w:eastAsia="en-GB"/>
        </w:rPr>
      </w:pPr>
      <w:r w:rsidRPr="00C73917">
        <w:rPr>
          <w:rFonts w:ascii="Candara" w:eastAsia="Times New Roman" w:hAnsi="Candara" w:cs="Times New Roman"/>
          <w:i/>
          <w:sz w:val="20"/>
          <w:szCs w:val="20"/>
          <w:lang w:eastAsia="lv-LV"/>
        </w:rPr>
        <w:t xml:space="preserve">Zinātniskie raksti, kas publicēti starptautiskās datu bāzēs indeksētos žurnālos </w:t>
      </w:r>
      <w:r w:rsidRPr="00C73917">
        <w:rPr>
          <w:rFonts w:ascii="Candara" w:eastAsia="Times New Roman" w:hAnsi="Candara" w:cs="Times New Roman"/>
          <w:i/>
          <w:iCs/>
          <w:sz w:val="20"/>
          <w:szCs w:val="20"/>
          <w:lang w:eastAsia="lv-LV"/>
        </w:rPr>
        <w:t>(Scopus, Web of Science);</w:t>
      </w:r>
    </w:p>
    <w:p w:rsidR="00C73917" w:rsidP="00C73917" w14:paraId="5D694310" w14:textId="77777777">
      <w:pPr>
        <w:numPr>
          <w:ilvl w:val="0"/>
          <w:numId w:val="7"/>
        </w:numPr>
        <w:spacing w:after="0" w:line="240" w:lineRule="auto"/>
        <w:jc w:val="both"/>
        <w:textAlignment w:val="baseline"/>
        <w:rPr>
          <w:rFonts w:ascii="Candara" w:eastAsia="Times New Roman" w:hAnsi="Candara" w:cs="Arial"/>
          <w:i/>
          <w:iCs/>
          <w:color w:val="000000"/>
          <w:sz w:val="20"/>
          <w:szCs w:val="20"/>
          <w:lang w:eastAsia="en-GB"/>
        </w:rPr>
      </w:pPr>
      <w:r w:rsidRPr="00CE69A8">
        <w:rPr>
          <w:rFonts w:ascii="Candara" w:eastAsia="Times New Roman" w:hAnsi="Candara" w:cs="Times New Roman"/>
          <w:i/>
          <w:sz w:val="20"/>
          <w:szCs w:val="20"/>
          <w:lang w:eastAsia="lv-LV"/>
        </w:rPr>
        <w:t>P&amp;I projektos iesaistīto maģistrantu un doktorantu skaits</w:t>
      </w:r>
      <w:r w:rsidRPr="00CE69A8">
        <w:rPr>
          <w:rFonts w:ascii="Candara" w:eastAsia="Times New Roman" w:hAnsi="Candara" w:cs="Arial"/>
          <w:i/>
          <w:iCs/>
          <w:color w:val="000000"/>
          <w:sz w:val="20"/>
          <w:szCs w:val="20"/>
          <w:lang w:eastAsia="en-GB"/>
        </w:rPr>
        <w:t>.</w:t>
      </w:r>
    </w:p>
    <w:p w:rsidR="00C73917" w:rsidP="00253CB7" w14:paraId="2A3EA796" w14:textId="77777777">
      <w:pPr>
        <w:spacing w:after="0" w:line="240" w:lineRule="auto"/>
        <w:ind w:left="644"/>
        <w:jc w:val="both"/>
        <w:textAlignment w:val="baseline"/>
        <w:rPr>
          <w:rFonts w:ascii="Candara" w:eastAsia="Times New Roman" w:hAnsi="Candara" w:cs="Arial"/>
          <w:i/>
          <w:iCs/>
          <w:color w:val="000000"/>
          <w:sz w:val="20"/>
          <w:szCs w:val="20"/>
          <w:lang w:eastAsia="en-GB"/>
        </w:rPr>
        <w:sectPr w:rsidSect="00C73917">
          <w:type w:val="continuous"/>
          <w:pgSz w:w="11906" w:h="16838"/>
          <w:pgMar w:top="1134" w:right="1134" w:bottom="1134" w:left="1701" w:header="425" w:footer="193" w:gutter="0"/>
          <w:cols w:num="2" w:space="708"/>
          <w:titlePg/>
          <w:docGrid w:linePitch="360"/>
        </w:sectPr>
      </w:pPr>
    </w:p>
    <w:p w:rsidR="00253CB7" w:rsidRPr="00253CB7" w:rsidP="00253CB7" w14:paraId="40AFF91D" w14:textId="77777777">
      <w:pPr>
        <w:spacing w:after="0" w:line="240" w:lineRule="auto"/>
        <w:ind w:left="644"/>
        <w:jc w:val="both"/>
        <w:textAlignment w:val="baseline"/>
        <w:rPr>
          <w:rFonts w:ascii="Candara" w:eastAsia="Times New Roman" w:hAnsi="Candara" w:cs="Arial"/>
          <w:i/>
          <w:iCs/>
          <w:color w:val="000000"/>
          <w:sz w:val="20"/>
          <w:szCs w:val="20"/>
          <w:lang w:eastAsia="en-GB"/>
        </w:rPr>
      </w:pPr>
    </w:p>
    <w:tbl>
      <w:tblPr>
        <w:tblW w:w="9067" w:type="dxa"/>
        <w:tblCellMar>
          <w:top w:w="15" w:type="dxa"/>
          <w:left w:w="15" w:type="dxa"/>
          <w:bottom w:w="15" w:type="dxa"/>
          <w:right w:w="15" w:type="dxa"/>
        </w:tblCellMar>
        <w:tblLook w:val="04A0"/>
      </w:tblPr>
      <w:tblGrid>
        <w:gridCol w:w="9067"/>
      </w:tblGrid>
      <w:tr w14:paraId="26B9228B" w14:textId="77777777" w:rsidTr="00CF3F47">
        <w:tblPrEx>
          <w:tblW w:w="9067" w:type="dxa"/>
          <w:tblCellMar>
            <w:top w:w="15" w:type="dxa"/>
            <w:left w:w="15" w:type="dxa"/>
            <w:bottom w:w="15" w:type="dxa"/>
            <w:right w:w="15" w:type="dxa"/>
          </w:tblCellMar>
          <w:tblLook w:val="04A0"/>
        </w:tblPrEx>
        <w:trPr>
          <w:trHeight w:val="1820"/>
        </w:trPr>
        <w:tc>
          <w:tcPr>
            <w:tcW w:w="9067" w:type="dxa"/>
            <w:tcBorders>
              <w:top w:val="single" w:sz="4" w:space="0" w:color="000000"/>
              <w:left w:val="single" w:sz="4" w:space="0" w:color="000000"/>
              <w:bottom w:val="single" w:sz="4" w:space="0" w:color="000000"/>
              <w:right w:val="single" w:sz="4" w:space="0" w:color="000000"/>
            </w:tcBorders>
            <w:shd w:val="clear" w:color="auto" w:fill="BDD7EE"/>
            <w:tcMar>
              <w:top w:w="0" w:type="dxa"/>
              <w:left w:w="115" w:type="dxa"/>
              <w:bottom w:w="0" w:type="dxa"/>
              <w:right w:w="115" w:type="dxa"/>
            </w:tcMar>
            <w:hideMark/>
          </w:tcPr>
          <w:p w:rsidR="00257A07" w:rsidRPr="00150EB5" w:rsidP="00D55166" w14:paraId="39F49C49" w14:textId="77777777">
            <w:pPr>
              <w:pStyle w:val="NormalWeb"/>
              <w:spacing w:before="60" w:beforeAutospacing="0" w:after="60" w:afterAutospacing="0"/>
              <w:ind w:left="164"/>
              <w:jc w:val="both"/>
              <w:rPr>
                <w:rFonts w:ascii="Candara" w:hAnsi="Candara"/>
                <w:b/>
                <w:bCs/>
                <w:sz w:val="20"/>
                <w:szCs w:val="20"/>
              </w:rPr>
            </w:pPr>
            <w:r w:rsidRPr="00150EB5">
              <w:rPr>
                <w:rFonts w:ascii="Candara" w:hAnsi="Candara"/>
                <w:b/>
                <w:bCs/>
                <w:sz w:val="20"/>
                <w:szCs w:val="20"/>
              </w:rPr>
              <w:t>VIEDĀ BIOFILTRA TEHNOLOĢIJAS IZSTRĀDE DZERAMĀ ŪDENS KVALITĀTES UZLABOŠANAI</w:t>
            </w:r>
          </w:p>
          <w:p w:rsidR="00257A07" w:rsidRPr="00150EB5" w:rsidP="00D55166" w14:paraId="781C72AF" w14:textId="77777777">
            <w:pPr>
              <w:pStyle w:val="NormalWeb"/>
              <w:spacing w:before="60" w:beforeAutospacing="0" w:after="60" w:afterAutospacing="0"/>
              <w:ind w:left="164"/>
              <w:jc w:val="both"/>
              <w:rPr>
                <w:rFonts w:ascii="Candara" w:hAnsi="Candara"/>
                <w:bCs/>
                <w:sz w:val="20"/>
                <w:szCs w:val="20"/>
              </w:rPr>
            </w:pPr>
            <w:r w:rsidRPr="00150EB5">
              <w:rPr>
                <w:rFonts w:ascii="Candara" w:hAnsi="Candara"/>
                <w:bCs/>
                <w:sz w:val="20"/>
                <w:szCs w:val="20"/>
              </w:rPr>
              <w:t>Rīgas Tehniskās universitātes projektā, kura vadītājs ir Dr.sc.ing Tālis Juhna, sadarbībā ar LLU, LU, CFI, EDI, LU MII, VPRI u.c. veic pētījumus par jauniem tehnoloģiskiem risinājumiem ūdens attīrīšanas iekārtu izstrādē.</w:t>
            </w:r>
          </w:p>
          <w:p w:rsidR="00BA548A" w:rsidRPr="00150EB5" w:rsidP="00D55166" w14:paraId="76689F6D" w14:textId="77777777">
            <w:pPr>
              <w:pStyle w:val="NormalWeb"/>
              <w:numPr>
                <w:ilvl w:val="0"/>
                <w:numId w:val="8"/>
              </w:numPr>
              <w:spacing w:before="60" w:beforeAutospacing="0" w:after="60" w:afterAutospacing="0"/>
              <w:ind w:left="159" w:hanging="357"/>
              <w:jc w:val="both"/>
              <w:rPr>
                <w:rFonts w:ascii="Candara" w:hAnsi="Candara"/>
                <w:bCs/>
                <w:sz w:val="20"/>
                <w:szCs w:val="20"/>
              </w:rPr>
            </w:pPr>
            <w:r w:rsidRPr="00150EB5">
              <w:rPr>
                <w:rFonts w:ascii="Candara" w:hAnsi="Candara"/>
                <w:bCs/>
                <w:sz w:val="20"/>
                <w:szCs w:val="20"/>
              </w:rPr>
              <w:t>Projekta ietvaros tika izstrādāts, praktiski izveidots un testēts jauns viedais biofiltrs ar orģinālu un modificētu biofiltra materiālu. Tālāk uzsākta jauno biofiltru tehnoloģijas izstrāde. Projekta laikā dažādās Latvijas pašvaldībās (Rīgas, Ādažu, Dobeles) tika veiktas ūdens tīklu attīrīšanas, kā arī sniegtas konsultācijas uzņēmumiem, optimizējot to darbu. Papildus veikti praktiskie projekti attīstības valstīs (Pomacea, Indijā). Projekta laikā ir veidojušās jaunas zināšanas, ar kuru palīdzību ir radītas jaunas tehnoloģijas, piemēram, fosfora savienojumu saistīšanas tehnoloģija, lai apturētu bioplēves veidošanos. Projekta ietvaros ir izveidots jauns pētniecības virziens un zinātnieku grupa (10 PLE), kas ir papildus piesaistījusi vairāk kā 2 milj. euro zinātnei. Papildus izveidots “start-up” uzņēmums “Conelum”, kas ir piesaistījis 200 tūkstošus euro riska kapitāla.</w:t>
            </w:r>
          </w:p>
        </w:tc>
      </w:tr>
    </w:tbl>
    <w:p w:rsidR="00253CB7" w:rsidP="009F2C2C" w14:paraId="276EF169" w14:textId="77777777">
      <w:pPr>
        <w:spacing w:before="120" w:after="120" w:line="240" w:lineRule="auto"/>
        <w:ind w:firstLine="426"/>
        <w:jc w:val="both"/>
        <w:rPr>
          <w:rFonts w:ascii="Candara" w:eastAsia="Candara" w:hAnsi="Candara" w:cs="Candara"/>
        </w:rPr>
      </w:pPr>
      <w:r w:rsidRPr="00516C5D">
        <w:rPr>
          <w:rFonts w:ascii="Candara" w:eastAsia="Candara" w:hAnsi="Candara" w:cs="Candara"/>
        </w:rPr>
        <w:t>Līdz 2017.gada 1.jūnijam EM ir izstrādājusi normatīvo ietvaru un uzsākusi visu ES fondu programmu, kurām ir tieša ietekme uz inovācijas kapacitātes stiprināšanu, ka arī MVU konkurētspējas paaugstināšanu, īstenošanu:</w:t>
      </w:r>
    </w:p>
    <w:p w:rsidR="00921BC7" w:rsidP="009F2C2C" w14:paraId="6630047C" w14:textId="77777777">
      <w:pPr>
        <w:spacing w:after="120" w:line="240" w:lineRule="auto"/>
        <w:ind w:firstLine="426"/>
        <w:jc w:val="both"/>
        <w:rPr>
          <w:rFonts w:ascii="Candara" w:eastAsia="Candara" w:hAnsi="Candara" w:cs="Arial"/>
        </w:rPr>
      </w:pPr>
      <w:r w:rsidRPr="00150EB5">
        <w:rPr>
          <w:rFonts w:ascii="Candara" w:eastAsia="Candara" w:hAnsi="Candara" w:cs="Candara"/>
          <w:b/>
        </w:rPr>
        <w:t xml:space="preserve">Kompetences centri. </w:t>
      </w:r>
      <w:r w:rsidRPr="00150EB5">
        <w:rPr>
          <w:rFonts w:ascii="Candara" w:eastAsia="Candara" w:hAnsi="Candara" w:cs="Candara"/>
        </w:rPr>
        <w:t>2016.gada 5.janvārī</w:t>
      </w:r>
      <w:r w:rsidRPr="00516C5D">
        <w:rPr>
          <w:rFonts w:ascii="Candara" w:eastAsia="Candara" w:hAnsi="Candara" w:cs="Candara"/>
        </w:rPr>
        <w:t xml:space="preserve"> apstiprināti darbības programmas 1.2.1.1.pasākumu “Atbalsts jaunu produktu un tehnoloģiju izstrādei kompetences centru ietvaros” (KC programma) regulējošie MK noteikumi un uzsākta programmas īstenošana. KC programmas mērķis ir komersantu konkurētspējas paaugstināšana, veicinot pētniecības un rūpniecības sektora sadarbību, īstenojot projektus, kas attīsta jaunus produktus un tehnoloģijas un ievieš tās ražošanā, tādējādi sekmējot uzņēmumu sadarbību ar pētniecības sektoru jaunu produktu un tehnoloģiju izstrādei un komercializēšanu. KC programmas projektu atlases rezultātā atbalstīta 8 Kompetences centru izveide RIS3 jomās un apakšjomās</w:t>
      </w:r>
      <w:r>
        <w:rPr>
          <w:rFonts w:ascii="Candara" w:eastAsia="Candara" w:hAnsi="Candara" w:cs="Candara"/>
          <w:vertAlign w:val="superscript"/>
        </w:rPr>
        <w:footnoteReference w:id="31"/>
      </w:r>
      <w:r w:rsidRPr="00516C5D">
        <w:rPr>
          <w:rFonts w:ascii="Candara" w:eastAsia="Candara" w:hAnsi="Candara" w:cs="Candara"/>
        </w:rPr>
        <w:t xml:space="preserve">. Kopējais programmas finansējums ir 72,3 milj. euro. Līdz 2023.gada nogalei programmā paredzēts atbalstīt 100 komersantus, kas saņem grantus jaunu produktu un tehnoloģiju izstrādei un virzīšanai tirgū, tostarp piesaistot privātā sektora finansējumu P&amp;A vismaz 12,8 milj. euro apmērā. Uz 2017.gada 1.jūniju visu 8 Kompetences </w:t>
      </w:r>
      <w:r w:rsidRPr="00516C5D">
        <w:rPr>
          <w:rFonts w:ascii="Candara" w:eastAsia="Candara" w:hAnsi="Candara" w:cs="Arial"/>
        </w:rPr>
        <w:t>centros kopā uzsākta 129 projektu īstenošana (</w:t>
      </w:r>
      <w:r w:rsidR="00F0137C">
        <w:rPr>
          <w:rFonts w:ascii="Candara" w:eastAsia="Candara" w:hAnsi="Candara" w:cs="Arial"/>
        </w:rPr>
        <w:t>5</w:t>
      </w:r>
      <w:r w:rsidR="00A65B70">
        <w:rPr>
          <w:rFonts w:ascii="Candara" w:eastAsia="Candara" w:hAnsi="Candara" w:cs="Arial"/>
        </w:rPr>
        <w:t>4</w:t>
      </w:r>
      <w:r w:rsidR="00822D84">
        <w:rPr>
          <w:rFonts w:ascii="Candara" w:eastAsia="Candara" w:hAnsi="Candara" w:cs="Arial"/>
        </w:rPr>
        <w:t>.attēls</w:t>
      </w:r>
      <w:r w:rsidRPr="00516C5D">
        <w:rPr>
          <w:rFonts w:ascii="Candara" w:eastAsia="Candara" w:hAnsi="Candara" w:cs="Arial"/>
        </w:rPr>
        <w:t>).</w:t>
      </w:r>
    </w:p>
    <w:p w:rsidR="00CF3F47" w:rsidRPr="00516C5D" w:rsidP="00CF3F47" w14:paraId="5B2903DA" w14:textId="77777777">
      <w:pPr>
        <w:spacing w:before="120" w:after="120" w:line="240" w:lineRule="auto"/>
        <w:ind w:firstLine="426"/>
        <w:jc w:val="both"/>
        <w:rPr>
          <w:rFonts w:ascii="Candara" w:eastAsia="Candara" w:hAnsi="Candara" w:cs="Candara"/>
          <w:i/>
          <w:sz w:val="20"/>
          <w:szCs w:val="20"/>
        </w:rPr>
      </w:pPr>
      <w:r w:rsidRPr="00516C5D">
        <w:rPr>
          <w:rFonts w:ascii="Candara" w:eastAsia="Candara" w:hAnsi="Candara" w:cs="Candara"/>
        </w:rPr>
        <w:t xml:space="preserve">KC programmas ietvaros iesaistīto uzņēmumu līdzfinansējums P&amp;A projektiem uz 2017.gada 1.maijam plānots 260 146,44 EUR. Kopā ir 106 uzņēmumi, kas saņēmuši atbalstu, lai ieviestu jaunus produktus un tehnoloģijas. Informācija par komersantu apgrozījumu no pētniecības rezultātu ieviešanas saimnieciskajā darbībā vai komercializēšanas būs pieejama uz nākamo pārskata periodu. KC programmas ietvaros radītas 97 jaunas darba vietas, t.sk. tās, kurām nodarbināti zinātniskie darbinieki publiskajā sektorā. P&amp;I projektu īstenošanā iesaistīti 46 maģistranti un doktoranti. Publicēti 9 zinātniskie raksti starptautiskās datu bāzēs indeksētajos žurnālos (Scopus, Web of Science). </w:t>
      </w:r>
    </w:p>
    <w:p w:rsidR="00BA0380" w:rsidP="00BA0380" w14:paraId="4F85B73C"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BA0380" w:rsidRPr="00BA0380" w:rsidP="00BA0380" w14:paraId="57D347FF"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4"/>
        <w:gridCol w:w="4181"/>
      </w:tblGrid>
      <w:tr w14:paraId="4902A5E7" w14:textId="77777777" w:rsidTr="002F50FB">
        <w:tblPrEx>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43" w:type="dxa"/>
          </w:tcPr>
          <w:p w:rsidR="00BA0380" w:rsidP="00BA0380" w14:paraId="5F7DDB40" w14:textId="77777777">
            <w:pPr>
              <w:spacing w:before="60"/>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BA0380" w:rsidRPr="007E245B" w:rsidP="00BA0380" w14:paraId="7A510960"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Eiropas inovāciju rādītāju grupa (EIS pozīcija);</w:t>
            </w:r>
          </w:p>
          <w:p w:rsidR="00BA0380" w:rsidRPr="007E245B" w:rsidP="00BA0380" w14:paraId="11E1B3FE"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Ieguldījumi P&amp;A 1.5% no IKP;</w:t>
            </w:r>
          </w:p>
          <w:p w:rsidR="00BA0380" w:rsidRPr="007E245B" w:rsidP="00BA0380" w14:paraId="1AC2E487"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Produktivitāte apstrādes rūpniecībā;</w:t>
            </w:r>
          </w:p>
          <w:p w:rsidR="00BA0380" w:rsidRPr="007E245B" w:rsidP="00BA0380" w14:paraId="41C5CCEF"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Zinātnisko darbinieku skaits P&amp;A;</w:t>
            </w:r>
          </w:p>
          <w:p w:rsidR="00BA0380" w:rsidRPr="007E245B" w:rsidP="00BA0380" w14:paraId="5C53C803"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Privātā sektora ieguldījumu proporcionāls pieaugums P&amp;A;</w:t>
            </w:r>
          </w:p>
          <w:p w:rsidR="00BA0380" w:rsidP="00BA0380" w14:paraId="152CF71B"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Zinātnisko darbinieku skaits, kas nodarbināti privātajā sektorā;</w:t>
            </w:r>
          </w:p>
          <w:p w:rsidR="00BA0380" w:rsidRPr="007E245B" w:rsidP="00BA0380" w14:paraId="79107C61"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Inovatīvo uzņēmumu īpatsvars;</w:t>
            </w:r>
          </w:p>
          <w:p w:rsidR="00BA0380" w:rsidRPr="007E245B" w:rsidP="00BA0380" w14:paraId="08809093"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Apstrādes rūpniecības īpatsvars IKP un tās produktivitātes pieaugums;</w:t>
            </w:r>
          </w:p>
          <w:p w:rsidR="00BA0380" w:rsidRPr="007E245B" w:rsidP="00BA0380" w14:paraId="47370A47"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Eksporta pieaugums;</w:t>
            </w:r>
          </w:p>
          <w:p w:rsidR="00BA0380" w:rsidP="00BA0380" w14:paraId="25922C72"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7E245B">
              <w:rPr>
                <w:rFonts w:ascii="Candara" w:eastAsia="Times New Roman" w:hAnsi="Candara" w:cs="Times New Roman"/>
                <w:i/>
                <w:iCs/>
                <w:color w:val="000000"/>
                <w:sz w:val="20"/>
                <w:szCs w:val="20"/>
                <w:lang w:eastAsia="en-GB"/>
              </w:rPr>
              <w:t>Augsto tehnoloģiju produktu īpatsvars Latvijas kopējā eksportā un augsto un vidēji augsto tehnoloģiju nozaru īpatsvars Latvijas preču eksportā;</w:t>
            </w:r>
          </w:p>
          <w:p w:rsidR="00BA0380" w:rsidP="00A641DE" w14:paraId="73BFE568" w14:textId="77777777">
            <w:pPr>
              <w:spacing w:before="60"/>
              <w:contextualSpacing/>
              <w:jc w:val="both"/>
              <w:textAlignment w:val="baseline"/>
              <w:rPr>
                <w:rFonts w:ascii="Candara" w:eastAsia="Candara" w:hAnsi="Candara" w:cs="Arial"/>
                <w:highlight w:val="green"/>
              </w:rPr>
            </w:pPr>
          </w:p>
        </w:tc>
        <w:tc>
          <w:tcPr>
            <w:tcW w:w="4644" w:type="dxa"/>
          </w:tcPr>
          <w:p w:rsidR="00BA0380" w:rsidRPr="00C8558B" w:rsidP="00BA0380" w14:paraId="23D0B860" w14:textId="77777777">
            <w:pPr>
              <w:spacing w:before="120"/>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BA0380" w:rsidRPr="00CE69A8" w:rsidP="00BA0380" w14:paraId="193DFC71" w14:textId="77777777">
            <w:pPr>
              <w:numPr>
                <w:ilvl w:val="0"/>
                <w:numId w:val="7"/>
              </w:numPr>
              <w:spacing w:before="60"/>
              <w:contextualSpacing/>
              <w:jc w:val="both"/>
              <w:textAlignment w:val="baseline"/>
              <w:rPr>
                <w:rFonts w:ascii="Arial" w:eastAsia="Times New Roman" w:hAnsi="Arial" w:cs="Arial"/>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BA0380" w:rsidRPr="00A641DE" w:rsidP="00BA0380" w14:paraId="7A0A2C0D" w14:textId="77777777">
            <w:pPr>
              <w:numPr>
                <w:ilvl w:val="0"/>
                <w:numId w:val="7"/>
              </w:numPr>
              <w:spacing w:before="60"/>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Uzņēmumu skaits, kas saņēmuši atbalstu, lai ieviestu jaunus produktus vai tehnoloģijas;</w:t>
            </w:r>
          </w:p>
          <w:p w:rsidR="00BA0380" w:rsidRPr="00BA0380" w:rsidP="00BA0380" w14:paraId="7348E6FB" w14:textId="77777777">
            <w:pPr>
              <w:numPr>
                <w:ilvl w:val="0"/>
                <w:numId w:val="7"/>
              </w:numPr>
              <w:jc w:val="both"/>
              <w:textAlignment w:val="baseline"/>
              <w:rPr>
                <w:rFonts w:ascii="Candara" w:eastAsia="Times New Roman" w:hAnsi="Candara" w:cs="Arial"/>
                <w:i/>
                <w:iCs/>
                <w:color w:val="000000"/>
                <w:sz w:val="20"/>
                <w:szCs w:val="20"/>
                <w:lang w:eastAsia="en-GB"/>
              </w:rPr>
            </w:pPr>
            <w:r w:rsidRPr="00516C5D">
              <w:rPr>
                <w:rFonts w:ascii="Candara" w:eastAsia="Candara" w:hAnsi="Candara" w:cs="Candara"/>
                <w:i/>
                <w:sz w:val="20"/>
                <w:szCs w:val="20"/>
              </w:rPr>
              <w:t xml:space="preserve">Komersanta apgrozījums no pētniecības rezultātu ieviešanas saimnieciskajā </w:t>
            </w:r>
            <w:r>
              <w:rPr>
                <w:rFonts w:ascii="Candara" w:eastAsia="Candara" w:hAnsi="Candara" w:cs="Candara"/>
                <w:i/>
                <w:sz w:val="20"/>
                <w:szCs w:val="20"/>
              </w:rPr>
              <w:t>darbībā vai komercializēšanas;</w:t>
            </w:r>
          </w:p>
          <w:p w:rsidR="00BA0380" w:rsidRPr="00A42B29" w:rsidP="00BA0380" w14:paraId="4ED2198D" w14:textId="77777777">
            <w:pPr>
              <w:numPr>
                <w:ilvl w:val="0"/>
                <w:numId w:val="7"/>
              </w:numPr>
              <w:jc w:val="both"/>
              <w:textAlignment w:val="baseline"/>
              <w:rPr>
                <w:rFonts w:ascii="Candara" w:eastAsia="Times New Roman" w:hAnsi="Candara" w:cs="Arial"/>
                <w:i/>
                <w:iCs/>
                <w:color w:val="000000"/>
                <w:sz w:val="20"/>
                <w:szCs w:val="20"/>
                <w:lang w:eastAsia="en-GB"/>
              </w:rPr>
            </w:pPr>
            <w:r>
              <w:rPr>
                <w:rFonts w:ascii="Candara" w:eastAsia="Candara" w:hAnsi="Candara" w:cs="Candara"/>
                <w:i/>
                <w:sz w:val="20"/>
                <w:szCs w:val="20"/>
              </w:rPr>
              <w:t>Jaunradītās darba vietas, t.sk. tās, kurās nodarbināti zinātniskie darbinieki publiskajā/privātajā sektorā;</w:t>
            </w:r>
          </w:p>
          <w:p w:rsidR="00BA0380" w:rsidRPr="00C73917" w:rsidP="00BA0380" w14:paraId="6D2B257D" w14:textId="77777777">
            <w:pPr>
              <w:numPr>
                <w:ilvl w:val="0"/>
                <w:numId w:val="7"/>
              </w:numPr>
              <w:jc w:val="both"/>
              <w:textAlignment w:val="baseline"/>
              <w:rPr>
                <w:rFonts w:ascii="Candara" w:eastAsia="Times New Roman" w:hAnsi="Candara" w:cs="Arial"/>
                <w:i/>
                <w:iCs/>
                <w:color w:val="000000"/>
                <w:sz w:val="20"/>
                <w:szCs w:val="20"/>
                <w:lang w:eastAsia="en-GB"/>
              </w:rPr>
            </w:pPr>
            <w:r w:rsidRPr="00C73917">
              <w:rPr>
                <w:rFonts w:ascii="Candara" w:eastAsia="Times New Roman" w:hAnsi="Candara" w:cs="Times New Roman"/>
                <w:i/>
                <w:sz w:val="20"/>
                <w:szCs w:val="20"/>
                <w:lang w:eastAsia="lv-LV"/>
              </w:rPr>
              <w:t xml:space="preserve">Zinātniskie raksti, kas publicēti starptautiskās datu bāzēs indeksētos žurnālos </w:t>
            </w:r>
            <w:r w:rsidRPr="00C73917">
              <w:rPr>
                <w:rFonts w:ascii="Candara" w:eastAsia="Times New Roman" w:hAnsi="Candara" w:cs="Times New Roman"/>
                <w:i/>
                <w:iCs/>
                <w:sz w:val="20"/>
                <w:szCs w:val="20"/>
                <w:lang w:eastAsia="lv-LV"/>
              </w:rPr>
              <w:t>(Scopus, Web of Science);</w:t>
            </w:r>
          </w:p>
          <w:p w:rsidR="00BA0380" w:rsidRPr="00A42B29" w:rsidP="00BA0380" w14:paraId="2B4A2280" w14:textId="77777777">
            <w:pPr>
              <w:numPr>
                <w:ilvl w:val="0"/>
                <w:numId w:val="7"/>
              </w:numPr>
              <w:jc w:val="both"/>
              <w:textAlignment w:val="baseline"/>
              <w:rPr>
                <w:rFonts w:ascii="Candara" w:eastAsia="Times New Roman" w:hAnsi="Candara" w:cs="Arial"/>
                <w:i/>
                <w:iCs/>
                <w:color w:val="000000"/>
                <w:sz w:val="20"/>
                <w:szCs w:val="20"/>
                <w:lang w:eastAsia="en-GB"/>
              </w:rPr>
            </w:pPr>
            <w:r w:rsidRPr="00CE69A8">
              <w:rPr>
                <w:rFonts w:ascii="Candara" w:eastAsia="Times New Roman" w:hAnsi="Candara" w:cs="Times New Roman"/>
                <w:i/>
                <w:sz w:val="20"/>
                <w:szCs w:val="20"/>
                <w:lang w:eastAsia="lv-LV"/>
              </w:rPr>
              <w:t>P&amp;I projektos iesaistīto maģistrantu un doktorantu</w:t>
            </w:r>
            <w:r>
              <w:rPr>
                <w:rFonts w:ascii="Candara" w:eastAsia="Times New Roman" w:hAnsi="Candara" w:cs="Times New Roman"/>
                <w:i/>
                <w:sz w:val="20"/>
                <w:szCs w:val="20"/>
                <w:lang w:eastAsia="lv-LV"/>
              </w:rPr>
              <w:t xml:space="preserve"> skaits</w:t>
            </w:r>
          </w:p>
          <w:p w:rsidR="00BA0380" w:rsidP="00A641DE" w14:paraId="561A462A" w14:textId="77777777">
            <w:pPr>
              <w:spacing w:before="60"/>
              <w:contextualSpacing/>
              <w:jc w:val="both"/>
              <w:textAlignment w:val="baseline"/>
              <w:rPr>
                <w:rFonts w:ascii="Candara" w:eastAsia="Candara" w:hAnsi="Candara" w:cs="Arial"/>
                <w:highlight w:val="green"/>
              </w:rPr>
            </w:pPr>
          </w:p>
        </w:tc>
      </w:tr>
    </w:tbl>
    <w:p w:rsidR="00A641DE" w:rsidP="00A641DE" w14:paraId="05A3774C"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921BC7" w:rsidRPr="00822D84" w:rsidP="00822D84" w14:paraId="6B24530F" w14:textId="77777777">
      <w:pPr>
        <w:spacing w:after="0" w:line="240" w:lineRule="auto"/>
        <w:rPr>
          <w:rFonts w:ascii="Candara" w:eastAsia="Times New Roman" w:hAnsi="Candara" w:cs="Arial"/>
          <w:b/>
        </w:rPr>
      </w:pPr>
      <w:r>
        <w:rPr>
          <w:rFonts w:ascii="Candara" w:eastAsia="Times New Roman" w:hAnsi="Candara" w:cs="Arial"/>
          <w:b/>
        </w:rPr>
        <w:t>54</w:t>
      </w:r>
      <w:r w:rsidRPr="00822D84" w:rsidR="00822D84">
        <w:rPr>
          <w:rFonts w:ascii="Candara" w:eastAsia="Times New Roman" w:hAnsi="Candara" w:cs="Arial"/>
          <w:b/>
        </w:rPr>
        <w:t xml:space="preserve">.attēls. </w:t>
      </w:r>
      <w:r w:rsidRPr="00822D84">
        <w:rPr>
          <w:rFonts w:ascii="Candara" w:eastAsia="Times New Roman" w:hAnsi="Candara" w:cs="Arial"/>
          <w:b/>
        </w:rPr>
        <w:t>Rezultatīvie rādītāji kompetenču centros par 2016.gadu:</w:t>
      </w:r>
    </w:p>
    <w:tbl>
      <w:tblPr>
        <w:tblStyle w:val="TableGrid"/>
        <w:tblW w:w="9461" w:type="dxa"/>
        <w:jc w:val="center"/>
        <w:tblLook w:val="04A0"/>
      </w:tblPr>
      <w:tblGrid>
        <w:gridCol w:w="1662"/>
        <w:gridCol w:w="996"/>
        <w:gridCol w:w="1268"/>
        <w:gridCol w:w="1306"/>
        <w:gridCol w:w="1399"/>
        <w:gridCol w:w="1419"/>
        <w:gridCol w:w="1411"/>
      </w:tblGrid>
      <w:tr w14:paraId="28FDA2B2" w14:textId="77777777" w:rsidTr="009524A9">
        <w:tblPrEx>
          <w:tblW w:w="9461" w:type="dxa"/>
          <w:jc w:val="center"/>
          <w:tblLook w:val="04A0"/>
        </w:tblPrEx>
        <w:trPr>
          <w:trHeight w:val="1277"/>
          <w:jc w:val="center"/>
        </w:trPr>
        <w:tc>
          <w:tcPr>
            <w:tcW w:w="1704" w:type="dxa"/>
            <w:shd w:val="clear" w:color="auto" w:fill="6D1D6B" w:themeFill="accent1" w:themeFillShade="BF"/>
          </w:tcPr>
          <w:p w:rsidR="00921BC7" w:rsidRPr="00D0722B" w:rsidP="009524A9" w14:paraId="6B9345FB" w14:textId="77777777">
            <w:pPr>
              <w:jc w:val="center"/>
              <w:rPr>
                <w:rFonts w:ascii="Candara" w:eastAsia="Times New Roman" w:hAnsi="Candara" w:cs="Times New Roman"/>
                <w:b/>
                <w:color w:val="FFFFFF" w:themeColor="background1"/>
                <w:sz w:val="16"/>
                <w:szCs w:val="16"/>
              </w:rPr>
            </w:pPr>
            <w:r w:rsidRPr="00D0722B">
              <w:rPr>
                <w:rFonts w:ascii="Candara" w:eastAsia="Times New Roman" w:hAnsi="Candara" w:cs="Times New Roman"/>
                <w:b/>
                <w:color w:val="FFFFFF" w:themeColor="background1"/>
                <w:sz w:val="16"/>
                <w:szCs w:val="16"/>
              </w:rPr>
              <w:t>KOMPETENCES CENTRS</w:t>
            </w:r>
          </w:p>
        </w:tc>
        <w:tc>
          <w:tcPr>
            <w:tcW w:w="925" w:type="dxa"/>
            <w:shd w:val="clear" w:color="auto" w:fill="6D1D6B" w:themeFill="accent1" w:themeFillShade="BF"/>
          </w:tcPr>
          <w:p w:rsidR="00921BC7" w:rsidRPr="00D0722B" w:rsidP="009524A9" w14:paraId="0BF09ECE" w14:textId="77777777">
            <w:pPr>
              <w:jc w:val="center"/>
              <w:rPr>
                <w:rFonts w:ascii="Candara" w:eastAsia="Times New Roman" w:hAnsi="Candara" w:cs="Times New Roman"/>
                <w:b/>
                <w:color w:val="FFFFFF" w:themeColor="background1"/>
                <w:sz w:val="16"/>
                <w:szCs w:val="16"/>
              </w:rPr>
            </w:pPr>
            <w:r w:rsidRPr="00D0722B">
              <w:rPr>
                <w:rFonts w:ascii="Candara" w:eastAsia="Times New Roman" w:hAnsi="Candara" w:cs="Times New Roman"/>
                <w:b/>
                <w:color w:val="FFFFFF" w:themeColor="background1"/>
                <w:sz w:val="16"/>
                <w:szCs w:val="16"/>
              </w:rPr>
              <w:t>Atbalstītie komersanti</w:t>
            </w:r>
          </w:p>
        </w:tc>
        <w:tc>
          <w:tcPr>
            <w:tcW w:w="1210" w:type="dxa"/>
            <w:shd w:val="clear" w:color="auto" w:fill="6D1D6B" w:themeFill="accent1" w:themeFillShade="BF"/>
          </w:tcPr>
          <w:p w:rsidR="00921BC7" w:rsidRPr="00D0722B" w:rsidP="009524A9" w14:paraId="2908F89D" w14:textId="77777777">
            <w:pPr>
              <w:jc w:val="center"/>
              <w:rPr>
                <w:rFonts w:ascii="Candara" w:eastAsia="Times New Roman" w:hAnsi="Candara" w:cs="Times New Roman"/>
                <w:b/>
                <w:color w:val="FFFFFF" w:themeColor="background1"/>
                <w:sz w:val="16"/>
                <w:szCs w:val="16"/>
              </w:rPr>
            </w:pPr>
            <w:r w:rsidRPr="00D0722B">
              <w:rPr>
                <w:rFonts w:ascii="Candara" w:eastAsia="Times New Roman" w:hAnsi="Candara" w:cs="Times New Roman"/>
                <w:b/>
                <w:color w:val="FFFFFF" w:themeColor="background1"/>
                <w:sz w:val="16"/>
                <w:szCs w:val="16"/>
              </w:rPr>
              <w:t>Nodarbinātības pieaugums komersantā kopš pētījuma uzsākšanas (darbinieku skaits)</w:t>
            </w:r>
          </w:p>
        </w:tc>
        <w:tc>
          <w:tcPr>
            <w:tcW w:w="1314" w:type="dxa"/>
            <w:shd w:val="clear" w:color="auto" w:fill="6D1D6B" w:themeFill="accent1" w:themeFillShade="BF"/>
          </w:tcPr>
          <w:p w:rsidR="00921BC7" w:rsidRPr="00D0722B" w:rsidP="009524A9" w14:paraId="58366637" w14:textId="77777777">
            <w:pPr>
              <w:jc w:val="center"/>
              <w:rPr>
                <w:rFonts w:ascii="Candara" w:eastAsia="Times New Roman" w:hAnsi="Candara" w:cs="Times New Roman"/>
                <w:b/>
                <w:color w:val="FFFFFF" w:themeColor="background1"/>
                <w:sz w:val="16"/>
                <w:szCs w:val="16"/>
              </w:rPr>
            </w:pPr>
            <w:r w:rsidRPr="00D0722B">
              <w:rPr>
                <w:rFonts w:ascii="Candara" w:eastAsia="Times New Roman" w:hAnsi="Candara" w:cs="Times New Roman"/>
                <w:b/>
                <w:color w:val="FFFFFF" w:themeColor="background1"/>
                <w:sz w:val="16"/>
                <w:szCs w:val="16"/>
              </w:rPr>
              <w:t>Pētniecības projektā iesaistīto doktorantu skaits (nodarbināti - darba līgums un ārpakalpijums)</w:t>
            </w:r>
          </w:p>
        </w:tc>
        <w:tc>
          <w:tcPr>
            <w:tcW w:w="1441" w:type="dxa"/>
            <w:shd w:val="clear" w:color="auto" w:fill="6D1D6B" w:themeFill="accent1" w:themeFillShade="BF"/>
          </w:tcPr>
          <w:p w:rsidR="00921BC7" w:rsidRPr="00D0722B" w:rsidP="009524A9" w14:paraId="39FC3B40" w14:textId="77777777">
            <w:pPr>
              <w:jc w:val="center"/>
              <w:rPr>
                <w:rFonts w:ascii="Candara" w:eastAsia="Times New Roman" w:hAnsi="Candara" w:cs="Times New Roman"/>
                <w:b/>
                <w:color w:val="FFFFFF" w:themeColor="background1"/>
                <w:sz w:val="16"/>
                <w:szCs w:val="16"/>
              </w:rPr>
            </w:pPr>
            <w:r w:rsidRPr="00D0722B">
              <w:rPr>
                <w:rFonts w:ascii="Candara" w:eastAsia="Times New Roman" w:hAnsi="Candara" w:cs="Times New Roman"/>
                <w:b/>
                <w:color w:val="FFFFFF" w:themeColor="background1"/>
                <w:sz w:val="16"/>
                <w:szCs w:val="16"/>
              </w:rPr>
              <w:t>Komersantu skaits, kuri sadarbojas ar pētniecības institūcijām</w:t>
            </w:r>
          </w:p>
        </w:tc>
        <w:tc>
          <w:tcPr>
            <w:tcW w:w="1443" w:type="dxa"/>
            <w:shd w:val="clear" w:color="auto" w:fill="6D1D6B" w:themeFill="accent1" w:themeFillShade="BF"/>
          </w:tcPr>
          <w:p w:rsidR="00921BC7" w:rsidRPr="00D0722B" w:rsidP="009524A9" w14:paraId="1C79D5FA" w14:textId="77777777">
            <w:pPr>
              <w:jc w:val="center"/>
              <w:rPr>
                <w:rFonts w:ascii="Candara" w:eastAsia="Times New Roman" w:hAnsi="Candara" w:cs="Times New Roman"/>
                <w:b/>
                <w:color w:val="FFFFFF" w:themeColor="background1"/>
                <w:sz w:val="16"/>
                <w:szCs w:val="16"/>
              </w:rPr>
            </w:pPr>
            <w:r w:rsidRPr="00D0722B">
              <w:rPr>
                <w:rFonts w:ascii="Candara" w:eastAsia="Times New Roman" w:hAnsi="Candara" w:cs="Times New Roman"/>
                <w:b/>
                <w:color w:val="FFFFFF" w:themeColor="background1"/>
                <w:sz w:val="16"/>
                <w:szCs w:val="16"/>
              </w:rPr>
              <w:t>Komersanta un pētniecības un zināšanu izplatīšanas organizācijas pētnieku koppublikāciju skaits</w:t>
            </w:r>
          </w:p>
        </w:tc>
        <w:tc>
          <w:tcPr>
            <w:tcW w:w="1424" w:type="dxa"/>
            <w:shd w:val="clear" w:color="auto" w:fill="6D1D6B" w:themeFill="accent1" w:themeFillShade="BF"/>
          </w:tcPr>
          <w:p w:rsidR="00921BC7" w:rsidRPr="00D0722B" w:rsidP="009524A9" w14:paraId="0912957D" w14:textId="77777777">
            <w:pPr>
              <w:jc w:val="center"/>
              <w:rPr>
                <w:rFonts w:ascii="Candara" w:eastAsia="Times New Roman" w:hAnsi="Candara" w:cs="Times New Roman"/>
                <w:b/>
                <w:color w:val="FFFFFF" w:themeColor="background1"/>
                <w:sz w:val="16"/>
                <w:szCs w:val="16"/>
              </w:rPr>
            </w:pPr>
            <w:r w:rsidRPr="00D0722B">
              <w:rPr>
                <w:rFonts w:ascii="Candara" w:eastAsia="Times New Roman" w:hAnsi="Candara" w:cs="Times New Roman"/>
                <w:b/>
                <w:color w:val="FFFFFF" w:themeColor="background1"/>
                <w:sz w:val="16"/>
                <w:szCs w:val="16"/>
              </w:rPr>
              <w:t>Privātās investīcijas, kas papildina valsts atbalstu P&amp;A projektiem/EUR</w:t>
            </w:r>
          </w:p>
        </w:tc>
      </w:tr>
      <w:tr w14:paraId="0CEA1972" w14:textId="77777777" w:rsidTr="009524A9">
        <w:tblPrEx>
          <w:tblW w:w="9461" w:type="dxa"/>
          <w:jc w:val="center"/>
          <w:tblLook w:val="04A0"/>
        </w:tblPrEx>
        <w:trPr>
          <w:trHeight w:val="633"/>
          <w:jc w:val="center"/>
        </w:trPr>
        <w:tc>
          <w:tcPr>
            <w:tcW w:w="1704" w:type="dxa"/>
          </w:tcPr>
          <w:p w:rsidR="00921BC7" w:rsidRPr="00D0722B" w:rsidP="009E680D" w14:paraId="255748AE" w14:textId="77777777">
            <w:pPr>
              <w:jc w:val="both"/>
              <w:rPr>
                <w:rFonts w:ascii="Candara" w:eastAsia="Times New Roman" w:hAnsi="Candara" w:cs="Times New Roman"/>
                <w:sz w:val="16"/>
                <w:szCs w:val="16"/>
              </w:rPr>
            </w:pPr>
            <w:r w:rsidRPr="00D0722B">
              <w:rPr>
                <w:rFonts w:ascii="Candara" w:eastAsia="Times New Roman" w:hAnsi="Candara" w:cs="Times New Roman"/>
                <w:sz w:val="16"/>
                <w:szCs w:val="16"/>
              </w:rPr>
              <w:t>Latvijas elektronisko un optisko iekārtu ražošanas kompetences centrs</w:t>
            </w:r>
          </w:p>
        </w:tc>
        <w:tc>
          <w:tcPr>
            <w:tcW w:w="925" w:type="dxa"/>
          </w:tcPr>
          <w:p w:rsidR="00921BC7" w:rsidRPr="00822D84" w:rsidP="009E680D" w14:paraId="208BEFAA"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15</w:t>
            </w:r>
          </w:p>
        </w:tc>
        <w:tc>
          <w:tcPr>
            <w:tcW w:w="1210" w:type="dxa"/>
          </w:tcPr>
          <w:p w:rsidR="00921BC7" w:rsidRPr="00822D84" w:rsidP="009E680D" w14:paraId="337605EE"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17</w:t>
            </w:r>
          </w:p>
        </w:tc>
        <w:tc>
          <w:tcPr>
            <w:tcW w:w="1314" w:type="dxa"/>
          </w:tcPr>
          <w:p w:rsidR="00921BC7" w:rsidRPr="00822D84" w:rsidP="009E680D" w14:paraId="51CE45A4"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14</w:t>
            </w:r>
          </w:p>
        </w:tc>
        <w:tc>
          <w:tcPr>
            <w:tcW w:w="1441" w:type="dxa"/>
          </w:tcPr>
          <w:p w:rsidR="00921BC7" w:rsidRPr="00822D84" w:rsidP="009E680D" w14:paraId="715277AC"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5</w:t>
            </w:r>
          </w:p>
        </w:tc>
        <w:tc>
          <w:tcPr>
            <w:tcW w:w="1443" w:type="dxa"/>
          </w:tcPr>
          <w:p w:rsidR="00921BC7" w:rsidRPr="00822D84" w:rsidP="009E680D" w14:paraId="03C5EC30"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24" w:type="dxa"/>
          </w:tcPr>
          <w:p w:rsidR="00921BC7" w:rsidRPr="00822D84" w:rsidP="009E680D" w14:paraId="5B0293B9"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625 000,00</w:t>
            </w:r>
          </w:p>
        </w:tc>
      </w:tr>
      <w:tr w14:paraId="44506AD5" w14:textId="77777777" w:rsidTr="009524A9">
        <w:tblPrEx>
          <w:tblW w:w="9461" w:type="dxa"/>
          <w:jc w:val="center"/>
          <w:tblLook w:val="04A0"/>
        </w:tblPrEx>
        <w:trPr>
          <w:trHeight w:val="310"/>
          <w:jc w:val="center"/>
        </w:trPr>
        <w:tc>
          <w:tcPr>
            <w:tcW w:w="1704" w:type="dxa"/>
          </w:tcPr>
          <w:p w:rsidR="00921BC7" w:rsidRPr="00D0722B" w:rsidP="009E680D" w14:paraId="0BDED9D9" w14:textId="77777777">
            <w:pPr>
              <w:jc w:val="both"/>
              <w:rPr>
                <w:rFonts w:ascii="Candara" w:eastAsia="Times New Roman" w:hAnsi="Candara" w:cs="Times New Roman"/>
                <w:sz w:val="16"/>
                <w:szCs w:val="16"/>
              </w:rPr>
            </w:pPr>
            <w:r w:rsidRPr="00D0722B">
              <w:rPr>
                <w:rFonts w:ascii="Candara" w:eastAsia="Times New Roman" w:hAnsi="Candara" w:cs="Times New Roman"/>
                <w:sz w:val="16"/>
                <w:szCs w:val="16"/>
              </w:rPr>
              <w:t>Mašīnbūves kompetences centrs</w:t>
            </w:r>
          </w:p>
        </w:tc>
        <w:tc>
          <w:tcPr>
            <w:tcW w:w="925" w:type="dxa"/>
          </w:tcPr>
          <w:p w:rsidR="00921BC7" w:rsidRPr="00822D84" w:rsidP="009E680D" w14:paraId="7F580C7B"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17</w:t>
            </w:r>
          </w:p>
        </w:tc>
        <w:tc>
          <w:tcPr>
            <w:tcW w:w="1210" w:type="dxa"/>
          </w:tcPr>
          <w:p w:rsidR="00921BC7" w:rsidRPr="00822D84" w:rsidP="009E680D" w14:paraId="6FE3C2CB"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11</w:t>
            </w:r>
          </w:p>
        </w:tc>
        <w:tc>
          <w:tcPr>
            <w:tcW w:w="1314" w:type="dxa"/>
          </w:tcPr>
          <w:p w:rsidR="00921BC7" w:rsidRPr="00822D84" w:rsidP="009E680D" w14:paraId="0FB4C62F"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5</w:t>
            </w:r>
          </w:p>
        </w:tc>
        <w:tc>
          <w:tcPr>
            <w:tcW w:w="1441" w:type="dxa"/>
          </w:tcPr>
          <w:p w:rsidR="00921BC7" w:rsidRPr="00822D84" w:rsidP="009E680D" w14:paraId="2523A3DC"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6</w:t>
            </w:r>
          </w:p>
        </w:tc>
        <w:tc>
          <w:tcPr>
            <w:tcW w:w="1443" w:type="dxa"/>
          </w:tcPr>
          <w:p w:rsidR="00921BC7" w:rsidRPr="00822D84" w:rsidP="009E680D" w14:paraId="6351FDE5"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w:t>
            </w:r>
          </w:p>
        </w:tc>
        <w:tc>
          <w:tcPr>
            <w:tcW w:w="1424" w:type="dxa"/>
          </w:tcPr>
          <w:p w:rsidR="00921BC7" w:rsidRPr="00822D84" w:rsidP="009E680D" w14:paraId="5B862543"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76 222,34</w:t>
            </w:r>
          </w:p>
        </w:tc>
      </w:tr>
      <w:tr w14:paraId="5C4C9200" w14:textId="77777777" w:rsidTr="009524A9">
        <w:tblPrEx>
          <w:tblW w:w="9461" w:type="dxa"/>
          <w:jc w:val="center"/>
          <w:tblLook w:val="04A0"/>
        </w:tblPrEx>
        <w:trPr>
          <w:trHeight w:val="322"/>
          <w:jc w:val="center"/>
        </w:trPr>
        <w:tc>
          <w:tcPr>
            <w:tcW w:w="1704" w:type="dxa"/>
          </w:tcPr>
          <w:p w:rsidR="00921BC7" w:rsidRPr="00D0722B" w:rsidP="009E680D" w14:paraId="5C1F5202" w14:textId="77777777">
            <w:pPr>
              <w:jc w:val="both"/>
              <w:rPr>
                <w:rFonts w:ascii="Candara" w:eastAsia="Times New Roman" w:hAnsi="Candara" w:cs="Times New Roman"/>
                <w:sz w:val="16"/>
                <w:szCs w:val="16"/>
              </w:rPr>
            </w:pPr>
            <w:r w:rsidRPr="00D0722B">
              <w:rPr>
                <w:rFonts w:ascii="Candara" w:eastAsia="Times New Roman" w:hAnsi="Candara" w:cs="Times New Roman"/>
                <w:sz w:val="16"/>
                <w:szCs w:val="16"/>
              </w:rPr>
              <w:t>Latvijas pārtikas kompetences centrs</w:t>
            </w:r>
          </w:p>
        </w:tc>
        <w:tc>
          <w:tcPr>
            <w:tcW w:w="925" w:type="dxa"/>
          </w:tcPr>
          <w:p w:rsidR="00921BC7" w:rsidRPr="00822D84" w:rsidP="009E680D" w14:paraId="3899EE65"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6</w:t>
            </w:r>
          </w:p>
        </w:tc>
        <w:tc>
          <w:tcPr>
            <w:tcW w:w="1210" w:type="dxa"/>
          </w:tcPr>
          <w:p w:rsidR="00921BC7" w:rsidRPr="00822D84" w:rsidP="009E680D" w14:paraId="045B601A"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21</w:t>
            </w:r>
          </w:p>
        </w:tc>
        <w:tc>
          <w:tcPr>
            <w:tcW w:w="1314" w:type="dxa"/>
          </w:tcPr>
          <w:p w:rsidR="00921BC7" w:rsidRPr="00822D84" w:rsidP="009E680D" w14:paraId="40827CE4"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3</w:t>
            </w:r>
          </w:p>
        </w:tc>
        <w:tc>
          <w:tcPr>
            <w:tcW w:w="1441" w:type="dxa"/>
          </w:tcPr>
          <w:p w:rsidR="00921BC7" w:rsidRPr="00822D84" w:rsidP="009E680D" w14:paraId="68FE208D" w14:textId="77777777">
            <w:pPr>
              <w:jc w:val="center"/>
              <w:rPr>
                <w:rFonts w:ascii="Candara" w:eastAsia="Times New Roman" w:hAnsi="Candara" w:cs="Times New Roman"/>
                <w:sz w:val="20"/>
                <w:szCs w:val="16"/>
              </w:rPr>
            </w:pPr>
          </w:p>
        </w:tc>
        <w:tc>
          <w:tcPr>
            <w:tcW w:w="1443" w:type="dxa"/>
          </w:tcPr>
          <w:p w:rsidR="00921BC7" w:rsidRPr="00822D84" w:rsidP="009E680D" w14:paraId="7833A65F"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24" w:type="dxa"/>
          </w:tcPr>
          <w:p w:rsidR="00921BC7" w:rsidRPr="00822D84" w:rsidP="009E680D" w14:paraId="708292F4"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163 714,49</w:t>
            </w:r>
          </w:p>
        </w:tc>
      </w:tr>
      <w:tr w14:paraId="2054DE82" w14:textId="77777777" w:rsidTr="009524A9">
        <w:tblPrEx>
          <w:tblW w:w="9461" w:type="dxa"/>
          <w:jc w:val="center"/>
          <w:tblLook w:val="04A0"/>
        </w:tblPrEx>
        <w:trPr>
          <w:trHeight w:val="477"/>
          <w:jc w:val="center"/>
        </w:trPr>
        <w:tc>
          <w:tcPr>
            <w:tcW w:w="1704" w:type="dxa"/>
          </w:tcPr>
          <w:p w:rsidR="00921BC7" w:rsidRPr="00D0722B" w:rsidP="009E680D" w14:paraId="0089F17B" w14:textId="77777777">
            <w:pPr>
              <w:jc w:val="both"/>
              <w:rPr>
                <w:rFonts w:ascii="Candara" w:eastAsia="Times New Roman" w:hAnsi="Candara" w:cs="Times New Roman"/>
                <w:sz w:val="16"/>
                <w:szCs w:val="16"/>
              </w:rPr>
            </w:pPr>
            <w:r w:rsidRPr="00D0722B">
              <w:rPr>
                <w:rFonts w:ascii="Candara" w:eastAsia="Times New Roman" w:hAnsi="Candara" w:cs="Times New Roman"/>
                <w:sz w:val="16"/>
                <w:szCs w:val="16"/>
              </w:rPr>
              <w:t>Viedo materiālu un tehnoloģiju kompetences centrs</w:t>
            </w:r>
          </w:p>
        </w:tc>
        <w:tc>
          <w:tcPr>
            <w:tcW w:w="925" w:type="dxa"/>
          </w:tcPr>
          <w:p w:rsidR="00921BC7" w:rsidRPr="00822D84" w:rsidP="009E680D" w14:paraId="4701A93D"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16</w:t>
            </w:r>
          </w:p>
        </w:tc>
        <w:tc>
          <w:tcPr>
            <w:tcW w:w="1210" w:type="dxa"/>
          </w:tcPr>
          <w:p w:rsidR="00921BC7" w:rsidRPr="00822D84" w:rsidP="009E680D" w14:paraId="25C673C9"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20</w:t>
            </w:r>
          </w:p>
        </w:tc>
        <w:tc>
          <w:tcPr>
            <w:tcW w:w="1314" w:type="dxa"/>
          </w:tcPr>
          <w:p w:rsidR="00921BC7" w:rsidRPr="00822D84" w:rsidP="009E680D" w14:paraId="4954B72B"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17</w:t>
            </w:r>
          </w:p>
        </w:tc>
        <w:tc>
          <w:tcPr>
            <w:tcW w:w="1441" w:type="dxa"/>
          </w:tcPr>
          <w:p w:rsidR="00921BC7" w:rsidRPr="00822D84" w:rsidP="009E680D" w14:paraId="5203BB98"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43" w:type="dxa"/>
          </w:tcPr>
          <w:p w:rsidR="00921BC7" w:rsidRPr="00822D84" w:rsidP="009E680D" w14:paraId="7440A14A"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2</w:t>
            </w:r>
          </w:p>
        </w:tc>
        <w:tc>
          <w:tcPr>
            <w:tcW w:w="1424" w:type="dxa"/>
          </w:tcPr>
          <w:p w:rsidR="00921BC7" w:rsidRPr="00822D84" w:rsidP="009E680D" w14:paraId="6E788360"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204 591,97</w:t>
            </w:r>
          </w:p>
        </w:tc>
      </w:tr>
      <w:tr w14:paraId="29C2C824" w14:textId="77777777" w:rsidTr="009524A9">
        <w:tblPrEx>
          <w:tblW w:w="9461" w:type="dxa"/>
          <w:jc w:val="center"/>
          <w:tblLook w:val="04A0"/>
        </w:tblPrEx>
        <w:trPr>
          <w:trHeight w:val="477"/>
          <w:jc w:val="center"/>
        </w:trPr>
        <w:tc>
          <w:tcPr>
            <w:tcW w:w="1704" w:type="dxa"/>
          </w:tcPr>
          <w:p w:rsidR="00921BC7" w:rsidRPr="00D0722B" w:rsidP="009E680D" w14:paraId="72E8D29A" w14:textId="77777777">
            <w:pPr>
              <w:jc w:val="both"/>
              <w:rPr>
                <w:rFonts w:ascii="Candara" w:eastAsia="Times New Roman" w:hAnsi="Candara" w:cs="Times New Roman"/>
                <w:sz w:val="16"/>
                <w:szCs w:val="16"/>
              </w:rPr>
            </w:pPr>
            <w:r w:rsidRPr="00D0722B">
              <w:rPr>
                <w:rFonts w:ascii="Candara" w:eastAsia="Times New Roman" w:hAnsi="Candara" w:cs="Times New Roman"/>
                <w:sz w:val="16"/>
                <w:szCs w:val="16"/>
              </w:rPr>
              <w:t xml:space="preserve">Farmācijas, biomedicīnas un medicīnas tehnoloģiju </w:t>
            </w:r>
          </w:p>
        </w:tc>
        <w:tc>
          <w:tcPr>
            <w:tcW w:w="925" w:type="dxa"/>
          </w:tcPr>
          <w:p w:rsidR="00921BC7" w:rsidRPr="00822D84" w:rsidP="009E680D" w14:paraId="68E452AE"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7</w:t>
            </w:r>
          </w:p>
        </w:tc>
        <w:tc>
          <w:tcPr>
            <w:tcW w:w="1210" w:type="dxa"/>
          </w:tcPr>
          <w:p w:rsidR="00921BC7" w:rsidRPr="00822D84" w:rsidP="009E680D" w14:paraId="1A44DD6A"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9</w:t>
            </w:r>
          </w:p>
        </w:tc>
        <w:tc>
          <w:tcPr>
            <w:tcW w:w="1314" w:type="dxa"/>
          </w:tcPr>
          <w:p w:rsidR="00921BC7" w:rsidRPr="00822D84" w:rsidP="009E680D" w14:paraId="5EEEFD2E"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41" w:type="dxa"/>
          </w:tcPr>
          <w:p w:rsidR="00921BC7" w:rsidRPr="00822D84" w:rsidP="009E680D" w14:paraId="1173A71B"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43" w:type="dxa"/>
          </w:tcPr>
          <w:p w:rsidR="00921BC7" w:rsidRPr="00822D84" w:rsidP="009E680D" w14:paraId="1CDE5EAC"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24" w:type="dxa"/>
          </w:tcPr>
          <w:p w:rsidR="00921BC7" w:rsidRPr="00822D84" w:rsidP="009E680D" w14:paraId="19E2B83D"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393 769,65</w:t>
            </w:r>
          </w:p>
        </w:tc>
      </w:tr>
      <w:tr w14:paraId="67A22131" w14:textId="77777777" w:rsidTr="009524A9">
        <w:tblPrEx>
          <w:tblW w:w="9461" w:type="dxa"/>
          <w:jc w:val="center"/>
          <w:tblLook w:val="04A0"/>
        </w:tblPrEx>
        <w:trPr>
          <w:trHeight w:val="633"/>
          <w:jc w:val="center"/>
        </w:trPr>
        <w:tc>
          <w:tcPr>
            <w:tcW w:w="1704" w:type="dxa"/>
          </w:tcPr>
          <w:p w:rsidR="00921BC7" w:rsidRPr="00D0722B" w:rsidP="009E680D" w14:paraId="3084C799" w14:textId="77777777">
            <w:pPr>
              <w:jc w:val="both"/>
              <w:rPr>
                <w:rFonts w:ascii="Candara" w:eastAsia="Times New Roman" w:hAnsi="Candara" w:cs="Times New Roman"/>
                <w:sz w:val="16"/>
                <w:szCs w:val="16"/>
              </w:rPr>
            </w:pPr>
            <w:r w:rsidRPr="00D0722B">
              <w:rPr>
                <w:rFonts w:ascii="Candara" w:eastAsia="Times New Roman" w:hAnsi="Candara" w:cs="Times New Roman"/>
                <w:sz w:val="16"/>
                <w:szCs w:val="16"/>
              </w:rPr>
              <w:t>Informācijas un komunikācijas tehnoloģiju kompetences centrs</w:t>
            </w:r>
          </w:p>
        </w:tc>
        <w:tc>
          <w:tcPr>
            <w:tcW w:w="925" w:type="dxa"/>
          </w:tcPr>
          <w:p w:rsidR="00921BC7" w:rsidRPr="00822D84" w:rsidP="009E680D" w14:paraId="70EA0D19"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21</w:t>
            </w:r>
          </w:p>
        </w:tc>
        <w:tc>
          <w:tcPr>
            <w:tcW w:w="1210" w:type="dxa"/>
          </w:tcPr>
          <w:p w:rsidR="00921BC7" w:rsidRPr="00822D84" w:rsidP="009E680D" w14:paraId="5E057416"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8</w:t>
            </w:r>
          </w:p>
        </w:tc>
        <w:tc>
          <w:tcPr>
            <w:tcW w:w="1314" w:type="dxa"/>
          </w:tcPr>
          <w:p w:rsidR="00921BC7" w:rsidRPr="00822D84" w:rsidP="009E680D" w14:paraId="12436183"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18</w:t>
            </w:r>
          </w:p>
        </w:tc>
        <w:tc>
          <w:tcPr>
            <w:tcW w:w="1441" w:type="dxa"/>
          </w:tcPr>
          <w:p w:rsidR="00921BC7" w:rsidRPr="00822D84" w:rsidP="009E680D" w14:paraId="3E00992F"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12</w:t>
            </w:r>
          </w:p>
        </w:tc>
        <w:tc>
          <w:tcPr>
            <w:tcW w:w="1443" w:type="dxa"/>
          </w:tcPr>
          <w:p w:rsidR="00921BC7" w:rsidRPr="00822D84" w:rsidP="009E680D" w14:paraId="38017B90"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2</w:t>
            </w:r>
          </w:p>
        </w:tc>
        <w:tc>
          <w:tcPr>
            <w:tcW w:w="1424" w:type="dxa"/>
          </w:tcPr>
          <w:p w:rsidR="00921BC7" w:rsidRPr="00822D84" w:rsidP="009E680D" w14:paraId="2BEE14D6"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452 434,18</w:t>
            </w:r>
          </w:p>
        </w:tc>
      </w:tr>
      <w:tr w14:paraId="43510FF3" w14:textId="77777777" w:rsidTr="009524A9">
        <w:tblPrEx>
          <w:tblW w:w="9461" w:type="dxa"/>
          <w:jc w:val="center"/>
          <w:tblLook w:val="04A0"/>
        </w:tblPrEx>
        <w:trPr>
          <w:trHeight w:val="633"/>
          <w:jc w:val="center"/>
        </w:trPr>
        <w:tc>
          <w:tcPr>
            <w:tcW w:w="1704" w:type="dxa"/>
          </w:tcPr>
          <w:p w:rsidR="00921BC7" w:rsidRPr="00D0722B" w:rsidP="009E680D" w14:paraId="51E051A1" w14:textId="77777777">
            <w:pPr>
              <w:jc w:val="both"/>
              <w:rPr>
                <w:rFonts w:ascii="Candara" w:eastAsia="Times New Roman" w:hAnsi="Candara" w:cs="Times New Roman"/>
                <w:sz w:val="16"/>
                <w:szCs w:val="16"/>
              </w:rPr>
            </w:pPr>
            <w:r w:rsidRPr="00D0722B">
              <w:rPr>
                <w:rFonts w:ascii="Candara" w:eastAsia="Times New Roman" w:hAnsi="Candara" w:cs="Times New Roman"/>
                <w:sz w:val="16"/>
                <w:szCs w:val="16"/>
              </w:rPr>
              <w:t>Viedo inženiersistēmu, transporta un enerģētikas kompetences centrs</w:t>
            </w:r>
          </w:p>
        </w:tc>
        <w:tc>
          <w:tcPr>
            <w:tcW w:w="925" w:type="dxa"/>
          </w:tcPr>
          <w:p w:rsidR="00921BC7" w:rsidRPr="00822D84" w:rsidP="009E680D" w14:paraId="25A87EDB"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15</w:t>
            </w:r>
          </w:p>
        </w:tc>
        <w:tc>
          <w:tcPr>
            <w:tcW w:w="1210" w:type="dxa"/>
          </w:tcPr>
          <w:p w:rsidR="00921BC7" w:rsidRPr="00822D84" w:rsidP="009E680D" w14:paraId="4C176A94"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11</w:t>
            </w:r>
          </w:p>
        </w:tc>
        <w:tc>
          <w:tcPr>
            <w:tcW w:w="1314" w:type="dxa"/>
          </w:tcPr>
          <w:p w:rsidR="00921BC7" w:rsidRPr="00822D84" w:rsidP="009E680D" w14:paraId="3960937F"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8</w:t>
            </w:r>
          </w:p>
        </w:tc>
        <w:tc>
          <w:tcPr>
            <w:tcW w:w="1441" w:type="dxa"/>
          </w:tcPr>
          <w:p w:rsidR="00921BC7" w:rsidRPr="00822D84" w:rsidP="009E680D" w14:paraId="49073FE9"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43" w:type="dxa"/>
          </w:tcPr>
          <w:p w:rsidR="00921BC7" w:rsidRPr="00822D84" w:rsidP="009E680D" w14:paraId="362BA024"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4</w:t>
            </w:r>
          </w:p>
        </w:tc>
        <w:tc>
          <w:tcPr>
            <w:tcW w:w="1424" w:type="dxa"/>
          </w:tcPr>
          <w:p w:rsidR="00921BC7" w:rsidRPr="00822D84" w:rsidP="009E680D" w14:paraId="42AB5E65"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369 996,00</w:t>
            </w:r>
          </w:p>
        </w:tc>
      </w:tr>
      <w:tr w14:paraId="187D9E19" w14:textId="77777777" w:rsidTr="009524A9">
        <w:tblPrEx>
          <w:tblW w:w="9461" w:type="dxa"/>
          <w:jc w:val="center"/>
          <w:tblLook w:val="04A0"/>
        </w:tblPrEx>
        <w:trPr>
          <w:trHeight w:val="322"/>
          <w:jc w:val="center"/>
        </w:trPr>
        <w:tc>
          <w:tcPr>
            <w:tcW w:w="1704" w:type="dxa"/>
          </w:tcPr>
          <w:p w:rsidR="00921BC7" w:rsidRPr="00D0722B" w:rsidP="009E680D" w14:paraId="17DDAD27" w14:textId="77777777">
            <w:pPr>
              <w:jc w:val="both"/>
              <w:rPr>
                <w:rFonts w:ascii="Candara" w:eastAsia="Times New Roman" w:hAnsi="Candara" w:cs="Times New Roman"/>
                <w:sz w:val="16"/>
                <w:szCs w:val="16"/>
              </w:rPr>
            </w:pPr>
            <w:r w:rsidRPr="00D0722B">
              <w:rPr>
                <w:rFonts w:ascii="Candara" w:eastAsia="Times New Roman" w:hAnsi="Candara" w:cs="Times New Roman"/>
                <w:sz w:val="16"/>
                <w:szCs w:val="16"/>
              </w:rPr>
              <w:t>Meža nozares kompetences centrs</w:t>
            </w:r>
          </w:p>
        </w:tc>
        <w:tc>
          <w:tcPr>
            <w:tcW w:w="925" w:type="dxa"/>
          </w:tcPr>
          <w:p w:rsidR="00921BC7" w:rsidRPr="00822D84" w:rsidP="009E680D" w14:paraId="2E487CC6"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9</w:t>
            </w:r>
          </w:p>
        </w:tc>
        <w:tc>
          <w:tcPr>
            <w:tcW w:w="1210" w:type="dxa"/>
          </w:tcPr>
          <w:p w:rsidR="00921BC7" w:rsidRPr="00822D84" w:rsidP="009E680D" w14:paraId="2DE775F9"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314" w:type="dxa"/>
          </w:tcPr>
          <w:p w:rsidR="00921BC7" w:rsidRPr="00822D84" w:rsidP="009E680D" w14:paraId="23A59438"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19</w:t>
            </w:r>
          </w:p>
        </w:tc>
        <w:tc>
          <w:tcPr>
            <w:tcW w:w="1441" w:type="dxa"/>
          </w:tcPr>
          <w:p w:rsidR="00921BC7" w:rsidRPr="00822D84" w:rsidP="009E680D" w14:paraId="2233FC1E"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43" w:type="dxa"/>
          </w:tcPr>
          <w:p w:rsidR="00921BC7" w:rsidRPr="00822D84" w:rsidP="009E680D" w14:paraId="3F5BC139"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0</w:t>
            </w:r>
          </w:p>
        </w:tc>
        <w:tc>
          <w:tcPr>
            <w:tcW w:w="1424" w:type="dxa"/>
          </w:tcPr>
          <w:p w:rsidR="00921BC7" w:rsidRPr="00822D84" w:rsidP="009E680D" w14:paraId="3E1075A2" w14:textId="77777777">
            <w:pPr>
              <w:jc w:val="center"/>
              <w:rPr>
                <w:rFonts w:ascii="Candara" w:eastAsia="Times New Roman" w:hAnsi="Candara" w:cs="Times New Roman"/>
                <w:sz w:val="20"/>
                <w:szCs w:val="16"/>
              </w:rPr>
            </w:pPr>
            <w:r w:rsidRPr="00822D84">
              <w:rPr>
                <w:rFonts w:ascii="Candara" w:eastAsia="Times New Roman" w:hAnsi="Candara" w:cs="Times New Roman"/>
                <w:sz w:val="20"/>
                <w:szCs w:val="16"/>
              </w:rPr>
              <w:t>315 317,81</w:t>
            </w:r>
          </w:p>
        </w:tc>
      </w:tr>
    </w:tbl>
    <w:p w:rsidR="00A31C76" w:rsidRPr="00516C5D" w:rsidP="00A31C76" w14:paraId="2626DB2F" w14:textId="77777777">
      <w:pPr>
        <w:widowControl w:val="0"/>
        <w:spacing w:after="120" w:line="240" w:lineRule="auto"/>
        <w:ind w:left="567"/>
        <w:contextualSpacing/>
        <w:jc w:val="both"/>
        <w:rPr>
          <w:rFonts w:ascii="Candara" w:hAnsi="Candara"/>
          <w:i/>
          <w:sz w:val="20"/>
          <w:szCs w:val="20"/>
        </w:rPr>
      </w:pPr>
    </w:p>
    <w:tbl>
      <w:tblPr>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87"/>
      </w:tblGrid>
      <w:tr w14:paraId="6987A252" w14:textId="77777777" w:rsidTr="00CF3F47">
        <w:tblPrEx>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978"/>
        </w:trPr>
        <w:tc>
          <w:tcPr>
            <w:tcW w:w="9187" w:type="dxa"/>
            <w:shd w:val="clear" w:color="auto" w:fill="BDD7EE"/>
          </w:tcPr>
          <w:p w:rsidR="00921BC7" w:rsidRPr="00516C5D" w:rsidP="009E680D" w14:paraId="3BB35318" w14:textId="77777777">
            <w:pPr>
              <w:spacing w:after="120"/>
              <w:jc w:val="both"/>
              <w:rPr>
                <w:rFonts w:ascii="Candara" w:eastAsia="Candara" w:hAnsi="Candara" w:cs="Candara"/>
                <w:sz w:val="18"/>
                <w:szCs w:val="18"/>
              </w:rPr>
            </w:pPr>
            <w:r w:rsidRPr="00516C5D">
              <w:rPr>
                <w:rFonts w:ascii="Candara" w:eastAsia="Times New Roman" w:hAnsi="Candara" w:cs="Times New Roman"/>
                <w:b/>
                <w:sz w:val="18"/>
                <w:szCs w:val="18"/>
              </w:rPr>
              <w:t xml:space="preserve">SIA SilvEXPO. </w:t>
            </w:r>
            <w:r w:rsidRPr="00516C5D">
              <w:rPr>
                <w:rFonts w:ascii="Candara" w:eastAsia="Times New Roman" w:hAnsi="Candara" w:cs="Times New Roman"/>
                <w:sz w:val="18"/>
                <w:szCs w:val="18"/>
              </w:rPr>
              <w:t xml:space="preserve">Pētījuma “Skuju poliprenolu fosfolipīdu liposomu un to mīkstā želantīna kapsulu fizikāli - ķīmiskais raksturojums” gaitā tika radīta jauna nanotehnoloģija aktīvo vielu iestrādei liposomā jeb slēgtajā fotolipīdu dubultslāņa sistēmā. Pielietojot jauno tehnoloģiju tika radīts inovatīvs un eksportspējīgs produkts ar aktīvo vielu, kas, salīdzinājumā ar konvencionālajām zāļu formām ir efektīvāks un pacientiem ekonomiski pieejamāks profilaksei un ārstēšanai. </w:t>
            </w:r>
          </w:p>
        </w:tc>
      </w:tr>
    </w:tbl>
    <w:p w:rsidR="00921BC7" w:rsidP="009F2C2C" w14:paraId="136B257E" w14:textId="77777777">
      <w:pPr>
        <w:spacing w:before="120" w:after="120" w:line="240" w:lineRule="auto"/>
        <w:ind w:firstLine="426"/>
        <w:jc w:val="both"/>
        <w:rPr>
          <w:rFonts w:ascii="Candara" w:hAnsi="Candara"/>
        </w:rPr>
      </w:pPr>
      <w:r w:rsidRPr="00516C5D">
        <w:rPr>
          <w:rFonts w:ascii="Candara" w:eastAsia="Candara" w:hAnsi="Candara" w:cs="Candara"/>
          <w:b/>
        </w:rPr>
        <w:t xml:space="preserve">Tehnoloģiju pārnese. </w:t>
      </w:r>
      <w:r w:rsidRPr="00516C5D">
        <w:rPr>
          <w:rFonts w:ascii="Candara" w:eastAsia="Candara" w:hAnsi="Candara" w:cs="Candara"/>
        </w:rPr>
        <w:t>2016.gada 25.oktobrī apstiprināti 1.2.1.2.pasākum</w:t>
      </w:r>
      <w:r w:rsidR="00A31C76">
        <w:rPr>
          <w:rFonts w:ascii="Candara" w:eastAsia="Candara" w:hAnsi="Candara" w:cs="Candara"/>
        </w:rPr>
        <w:t>a</w:t>
      </w:r>
      <w:r w:rsidRPr="00516C5D">
        <w:rPr>
          <w:rFonts w:ascii="Candara" w:eastAsia="Candara" w:hAnsi="Candara" w:cs="Candara"/>
        </w:rPr>
        <w:t xml:space="preserve"> “Atbalsts tehnoloģiju pārneses sistēmas pilnveidošanai” (TPP programma</w:t>
      </w:r>
      <w:r>
        <w:rPr>
          <w:rFonts w:ascii="Candara" w:eastAsia="Candara" w:hAnsi="Candara" w:cs="Candara"/>
          <w:vertAlign w:val="superscript"/>
        </w:rPr>
        <w:footnoteReference w:id="32"/>
      </w:r>
      <w:r w:rsidRPr="00516C5D">
        <w:rPr>
          <w:rFonts w:ascii="Candara" w:eastAsia="Candara" w:hAnsi="Candara" w:cs="Candara"/>
        </w:rPr>
        <w:t xml:space="preserve">) regulējošie MK noteikumi un uzsākta </w:t>
      </w:r>
      <w:r w:rsidRPr="00516C5D">
        <w:rPr>
          <w:rFonts w:ascii="Candara" w:eastAsia="Candara" w:hAnsi="Candara" w:cs="Candara"/>
        </w:rPr>
        <w:t>programmas īstenošana. Viens no TPP programmas mērķiem ir valsts pētniecības organizāciju zinātības un kompetenču atbalstīšana pētniecības rezultātu komercializācijas jomā, bet jo īpaši – pētniecības organizāciju īpašumā esošo pētniecības rezultātu komercializācijas sekmēšana gan Latvijā, gan ārvalstīs, vienlaikus palielinot pētniecības organizāciju ienākumus no pētījumu rezultātu komercializēšanas. Otrs programmas mērķis ir inovācijas aktivitātes veicināšana mikro un MVU, tehnoloģiju un zināšanu pārneses ceļā sniedzot tiem atbalstu jaunu vai būtiski uzlabotu produktu vai tehnoloģiju attīstīšanai.</w:t>
      </w:r>
      <w:r w:rsidRPr="00516C5D">
        <w:rPr>
          <w:rFonts w:ascii="Candara" w:hAnsi="Candara"/>
        </w:rPr>
        <w:t xml:space="preserve"> </w:t>
      </w:r>
      <w:r w:rsidRPr="00516C5D">
        <w:rPr>
          <w:rFonts w:ascii="Candara" w:eastAsia="Candara" w:hAnsi="Candara" w:cs="Candara"/>
        </w:rPr>
        <w:t>Kopējais programmas finansējums ir 42,35 milj. euro.</w:t>
      </w:r>
      <w:r w:rsidRPr="00516C5D">
        <w:rPr>
          <w:rFonts w:ascii="Candara" w:hAnsi="Candara"/>
        </w:rPr>
        <w:t xml:space="preserve"> Līdz 2022.gada nogalei programmā paredzēts nodrošināt atbalstu 100 pētniecības rezultātu komercializācijas projektiem, kā arī atbalstīt 320 komersantus, kas saņem grantus jaunu produktu un tehnoloģiju attīstībai un virzīšanai tirgū. 2017.gada februārī izsludināta projektu pieteikumu atlase inovācijas vaučera atbalstam, kā arī laikā no 18.04.-19.05.2017.2017. tika organizēta pirmā pētniecības rezultātu komercializācijas projektu atlases kārta. Programmu ievieš LIAA.</w:t>
      </w:r>
    </w:p>
    <w:p w:rsidR="00A641DE" w:rsidRPr="00C8558B" w:rsidP="00A641DE" w14:paraId="108A165D"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A641DE" w:rsidP="00A641DE" w14:paraId="1C889B1F" w14:textId="77777777">
      <w:pPr>
        <w:spacing w:before="60" w:after="0" w:line="240" w:lineRule="auto"/>
        <w:ind w:left="786"/>
        <w:contextualSpacing/>
        <w:jc w:val="both"/>
        <w:textAlignment w:val="baseline"/>
        <w:rPr>
          <w:rFonts w:ascii="Candara" w:eastAsia="Candara" w:hAnsi="Candara" w:cs="Arial"/>
          <w:highlight w:val="green"/>
        </w:rPr>
      </w:pPr>
    </w:p>
    <w:p w:rsidR="00A641DE" w:rsidP="00A641DE" w14:paraId="3FB3A39E"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A641DE" w:rsidP="00A641DE" w14:paraId="6998B671"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A42B29" w:rsidRPr="0036537A" w:rsidP="00A42B29" w14:paraId="229C094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Eiropas inovāciju rādītāju grupa (EIS pozīcija);</w:t>
      </w:r>
    </w:p>
    <w:p w:rsidR="00A42B29" w:rsidRPr="0036537A" w:rsidP="00A42B29" w14:paraId="571CEF23"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Ieguldījumi P&amp;A 1.5% no IKP;</w:t>
      </w:r>
    </w:p>
    <w:p w:rsidR="00A42B29" w:rsidRPr="0036537A" w:rsidP="00A42B29" w14:paraId="0C0F05B5"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Produktivitāte apstrādes rūpniecībā;</w:t>
      </w:r>
    </w:p>
    <w:p w:rsidR="00A42B29" w:rsidRPr="0036537A" w:rsidP="00A42B29" w14:paraId="375AAB20"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 xml:space="preserve">Zinātniskie raksti, kas publicēti starptautiskās datu bāzēs; </w:t>
      </w:r>
    </w:p>
    <w:p w:rsidR="00A42B29" w:rsidRPr="0036537A" w:rsidP="00A42B29" w14:paraId="2C63B135"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Privātā sektora ieguldījumu proporcionāls pieaugums P&amp;A;</w:t>
      </w:r>
    </w:p>
    <w:p w:rsidR="00A42B29" w:rsidRPr="0036537A" w:rsidP="00A42B29" w14:paraId="07921C25"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Zinātnisko darbinieku skaits, kas nodarbināti privātajā sektorā;</w:t>
      </w:r>
    </w:p>
    <w:p w:rsidR="00A42B29" w:rsidRPr="0036537A" w:rsidP="00A42B29" w14:paraId="0B4E5B6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Piešķirtie Eiropas patenti no zi</w:t>
      </w:r>
      <w:r>
        <w:rPr>
          <w:rFonts w:ascii="Candara" w:eastAsia="Times New Roman" w:hAnsi="Candara" w:cs="Times New Roman"/>
          <w:i/>
          <w:iCs/>
          <w:color w:val="000000"/>
          <w:sz w:val="20"/>
          <w:szCs w:val="20"/>
          <w:lang w:eastAsia="en-GB"/>
        </w:rPr>
        <w:t>nātniekiem, kas rezidē Latvijā;</w:t>
      </w:r>
    </w:p>
    <w:p w:rsidR="00A42B29" w:rsidRPr="0036537A" w:rsidP="00A42B29" w14:paraId="581585D0"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Inovatīvo uzņēmumu īpatsvars;</w:t>
      </w:r>
    </w:p>
    <w:p w:rsidR="00A42B29" w:rsidRPr="0036537A" w:rsidP="00A42B29" w14:paraId="4CBB5F05"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Apstrādes rūpniecības īpatsvars IKP un tās produktivitātes pieaugums;</w:t>
      </w:r>
    </w:p>
    <w:p w:rsidR="00A42B29" w:rsidRPr="0036537A" w:rsidP="00A42B29" w14:paraId="4B391038"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Eksporta pieaugums;</w:t>
      </w:r>
    </w:p>
    <w:p w:rsidR="00A42B29" w:rsidRPr="0036537A" w:rsidP="00A42B29" w14:paraId="6730002B"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Augsto tehnoloģiju produktu īpatsvars Latvijas kopējā eksportā un augsto un vidēji augsto tehnoloģiju nozaru īpatsvars Latvijas preču eksportā;</w:t>
      </w:r>
    </w:p>
    <w:p w:rsidR="00A641DE" w:rsidRPr="00C8558B" w:rsidP="00A42B29" w14:paraId="37836AEE"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p>
    <w:p w:rsidR="00A641DE" w:rsidRPr="00C8558B" w:rsidP="00A641DE" w14:paraId="47AA0939" w14:textId="77777777">
      <w:pPr>
        <w:spacing w:before="120" w:after="0" w:line="240" w:lineRule="auto"/>
        <w:ind w:left="788"/>
        <w:contextualSpacing/>
        <w:jc w:val="both"/>
        <w:textAlignment w:val="baseline"/>
        <w:rPr>
          <w:rFonts w:ascii="Candara" w:eastAsia="Times New Roman" w:hAnsi="Candara" w:cs="Times New Roman"/>
          <w:b/>
          <w:i/>
          <w:iCs/>
          <w:color w:val="000000"/>
          <w:sz w:val="10"/>
          <w:szCs w:val="10"/>
          <w:lang w:eastAsia="en-GB"/>
        </w:rPr>
      </w:pPr>
    </w:p>
    <w:p w:rsidR="00A641DE" w:rsidRPr="00C8558B" w:rsidP="00A641DE" w14:paraId="6130A499"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A641DE" w:rsidRPr="00A641DE" w:rsidP="00A641DE" w14:paraId="22277A12"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Zinātnisko institūciju licenču/patentu ieņēmumi (EUR);</w:t>
      </w:r>
    </w:p>
    <w:p w:rsidR="00A641DE" w:rsidRPr="00CE69A8" w:rsidP="00A641DE" w14:paraId="5F82BB03"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A641DE" w:rsidRPr="00A641DE" w:rsidP="00A641DE" w14:paraId="354D3DF4"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Uzņēmumu skaits, kas saņēmuši atbalstu, lai ieviestu jaunus produktus vai tehnoloģijas;</w:t>
      </w:r>
    </w:p>
    <w:p w:rsidR="00A641DE" w:rsidRPr="00A641DE" w:rsidP="00A641DE" w14:paraId="6F4E87A3" w14:textId="77777777">
      <w:pPr>
        <w:widowControl w:val="0"/>
        <w:numPr>
          <w:ilvl w:val="0"/>
          <w:numId w:val="7"/>
        </w:numPr>
        <w:spacing w:after="0" w:line="240" w:lineRule="auto"/>
        <w:contextualSpacing/>
        <w:jc w:val="both"/>
        <w:rPr>
          <w:rFonts w:ascii="Candara" w:hAnsi="Candara"/>
          <w:i/>
          <w:sz w:val="20"/>
          <w:szCs w:val="20"/>
        </w:rPr>
      </w:pPr>
      <w:r>
        <w:rPr>
          <w:rFonts w:ascii="Candara" w:eastAsia="Candara" w:hAnsi="Candara" w:cs="Candara"/>
          <w:i/>
          <w:sz w:val="20"/>
          <w:szCs w:val="20"/>
        </w:rPr>
        <w:t xml:space="preserve">Zinātnisko institūciju izveidotie jaundibinātie uzņēmumi (spin-off) </w:t>
      </w:r>
    </w:p>
    <w:p w:rsidR="00A641DE" w:rsidP="009F2C2C" w14:paraId="32B67BCA" w14:textId="77777777">
      <w:pPr>
        <w:spacing w:before="120" w:after="120" w:line="240" w:lineRule="auto"/>
        <w:ind w:firstLine="426"/>
        <w:jc w:val="both"/>
        <w:rPr>
          <w:rFonts w:ascii="Candara" w:eastAsia="Candara" w:hAnsi="Candara" w:cs="Candara"/>
        </w:rPr>
        <w:sectPr w:rsidSect="00A641DE">
          <w:type w:val="continuous"/>
          <w:pgSz w:w="11906" w:h="16838"/>
          <w:pgMar w:top="1134" w:right="1134" w:bottom="1134" w:left="1701" w:header="425" w:footer="193" w:gutter="0"/>
          <w:cols w:num="2" w:space="708"/>
          <w:titlePg/>
          <w:docGrid w:linePitch="360"/>
        </w:sectPr>
      </w:pPr>
    </w:p>
    <w:p w:rsidR="006D4322" w:rsidRPr="006D4322" w:rsidP="006D4322" w14:paraId="1DB7CCBA" w14:textId="77777777">
      <w:pPr>
        <w:widowControl w:val="0"/>
        <w:spacing w:after="240" w:line="240" w:lineRule="auto"/>
        <w:ind w:left="568"/>
        <w:contextualSpacing/>
        <w:jc w:val="both"/>
        <w:rPr>
          <w:rFonts w:ascii="Candara" w:hAnsi="Candara"/>
          <w:i/>
          <w:sz w:val="20"/>
          <w:szCs w:val="20"/>
        </w:rPr>
      </w:pPr>
    </w:p>
    <w:p w:rsidR="00921BC7" w:rsidRPr="00516C5D" w:rsidP="009F2C2C" w14:paraId="2F35B4F7" w14:textId="77777777">
      <w:pPr>
        <w:spacing w:before="120" w:after="120" w:line="240" w:lineRule="auto"/>
        <w:ind w:firstLine="426"/>
        <w:jc w:val="both"/>
        <w:rPr>
          <w:rFonts w:ascii="Candara" w:hAnsi="Candara"/>
        </w:rPr>
      </w:pPr>
      <w:r w:rsidRPr="00516C5D">
        <w:rPr>
          <w:rFonts w:ascii="Candara" w:eastAsia="Candara" w:hAnsi="Candara" w:cs="Candara"/>
          <w:b/>
        </w:rPr>
        <w:t>Jaunu produktu ieviešana ražošanā.</w:t>
      </w:r>
      <w:r w:rsidRPr="00516C5D">
        <w:rPr>
          <w:rFonts w:ascii="Candara" w:eastAsia="Candara" w:hAnsi="Candara" w:cs="Candara"/>
        </w:rPr>
        <w:t xml:space="preserve"> 2016.gada 10.maijā apstiprināti 1.2.1.4.pasākumu “Atbalsts jaunu produktu ieviešanai ražošanā” (JPR programma) regulējošie MK noteikumi un uzsākta programmas īstenošana.</w:t>
      </w:r>
      <w:r w:rsidRPr="00516C5D">
        <w:rPr>
          <w:rFonts w:ascii="Candara" w:hAnsi="Candara"/>
        </w:rPr>
        <w:t xml:space="preserve"> JPR programmas mērķis ir veicināt komersantu produktivitātes un konkurētspējas paaugstināšanu, atbalstot to centienus izstrādāt un ieviest ražošanā jaunus produktus un tehnoloģijas</w:t>
      </w:r>
      <w:r>
        <w:rPr>
          <w:rFonts w:ascii="Candara" w:hAnsi="Candara"/>
          <w:vertAlign w:val="superscript"/>
        </w:rPr>
        <w:footnoteReference w:id="33"/>
      </w:r>
      <w:r w:rsidRPr="00516C5D">
        <w:rPr>
          <w:rFonts w:ascii="Candara" w:hAnsi="Candara"/>
        </w:rPr>
        <w:t>, kā arī palielināt privātā sektora ieguldījumus P&amp;A&amp;I atbilstoši RIS3. Kopējais programmas finansējums ir 60 milj. euro. Līdz 2022.gada beigām programmā paredzēts atbalstīt 30 komersantus, kas saņem grantus, lai tirgū laistu jaunus produktus. Vienlaikus paredzēts, ka JPR programmas īstenošanas rezultātā tiks piesaistītas privātās investīcijas vismaz 10,59 milj. euro apmērā, kas papildina valsts atbalstu P&amp;A un inovācijas projektiem. Projektu iesniegumu atlases pirmās kārtas ietvaros (12.07.-12.09.2016) apstiprināti 16 projekti par ERAF finansējumu 23,44 milj. euro. 2017.gada otrajā pusē plānots īstenot JPR programmas iesniegumu atlases otro kārtu.</w:t>
      </w:r>
    </w:p>
    <w:p w:rsidR="00BA0380" w:rsidRPr="00BA0380" w:rsidP="00BA0380" w14:paraId="3A6C46D1"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3"/>
        <w:gridCol w:w="4172"/>
      </w:tblGrid>
      <w:tr w14:paraId="498E6FB6" w14:textId="77777777" w:rsidTr="00BA0380">
        <w:tblPrEx>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43" w:type="dxa"/>
          </w:tcPr>
          <w:p w:rsidR="00BA0380" w:rsidP="00BA0380" w14:paraId="66E586A8" w14:textId="77777777">
            <w:pPr>
              <w:spacing w:before="60"/>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BA0380" w:rsidRPr="0036537A" w:rsidP="00BA0380" w14:paraId="0E6BC6DB"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Eiropas inovāciju rādītāju grupa (EIS pozīcija);</w:t>
            </w:r>
          </w:p>
          <w:p w:rsidR="00BA0380" w:rsidRPr="0036537A" w:rsidP="00BA0380" w14:paraId="57B881A5"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Ieguldījumi P&amp;A 1.5% no IKP;</w:t>
            </w:r>
          </w:p>
          <w:p w:rsidR="00BA0380" w:rsidRPr="0036537A" w:rsidP="00BA0380" w14:paraId="5C5278B9"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Produktivitāte apstrādes rūpniecībā;</w:t>
            </w:r>
          </w:p>
          <w:p w:rsidR="00BA0380" w:rsidRPr="0036537A" w:rsidP="00BA0380" w14:paraId="62EE2C9E"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Privātā sektora ieguldījumu proporcionāls pieaugums P&amp;A;</w:t>
            </w:r>
          </w:p>
          <w:p w:rsidR="00BA0380" w:rsidRPr="0036537A" w:rsidP="00BA0380" w14:paraId="66329A50"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Zinātnisko darbinieku skaits, kas nodarbināti privātajā sektorā;</w:t>
            </w:r>
          </w:p>
          <w:p w:rsidR="00BA0380" w:rsidRPr="0036537A" w:rsidP="00BA0380" w14:paraId="3E56E500"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Inovatīvo uzņēmumu īpatsvars;</w:t>
            </w:r>
          </w:p>
          <w:p w:rsidR="00BA0380" w:rsidRPr="0036537A" w:rsidP="00BA0380" w14:paraId="269C0718"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Apstrādes rūpniecības īpatsvars IKP un tās produktivitātes pieaugums;</w:t>
            </w:r>
          </w:p>
          <w:p w:rsidR="00BA0380" w:rsidRPr="003175E6" w:rsidP="00BA0380" w14:paraId="4AC8F23E" w14:textId="77777777">
            <w:pPr>
              <w:numPr>
                <w:ilvl w:val="0"/>
                <w:numId w:val="7"/>
              </w:numPr>
              <w:spacing w:before="60"/>
              <w:contextualSpacing/>
              <w:jc w:val="both"/>
              <w:textAlignment w:val="baseline"/>
              <w:rPr>
                <w:rFonts w:ascii="Candara" w:eastAsia="Times New Roman" w:hAnsi="Candara" w:cs="Times New Roman"/>
                <w:b/>
                <w:i/>
                <w:iCs/>
                <w:color w:val="000000"/>
                <w:sz w:val="20"/>
                <w:szCs w:val="20"/>
                <w:lang w:eastAsia="en-GB"/>
              </w:rPr>
            </w:pPr>
            <w:r w:rsidRPr="0036537A">
              <w:rPr>
                <w:rFonts w:ascii="Candara" w:eastAsia="Times New Roman" w:hAnsi="Candara" w:cs="Times New Roman"/>
                <w:i/>
                <w:iCs/>
                <w:color w:val="000000"/>
                <w:sz w:val="20"/>
                <w:szCs w:val="20"/>
                <w:lang w:eastAsia="en-GB"/>
              </w:rPr>
              <w:t>Eksporta pieaugums;</w:t>
            </w:r>
          </w:p>
          <w:p w:rsidR="00BA0380" w:rsidRPr="0036537A" w:rsidP="00BA0380" w14:paraId="1A021C27" w14:textId="77777777">
            <w:pPr>
              <w:numPr>
                <w:ilvl w:val="0"/>
                <w:numId w:val="7"/>
              </w:numPr>
              <w:spacing w:before="60"/>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Augsto tehnoloģiju produktu īpatsvars Latvijas kopējā eksportā un augsto un vidēji augsto tehnoloģiju nozaru īpatsvars Latvijas preču eksportā;</w:t>
            </w:r>
          </w:p>
          <w:p w:rsidR="00BA0380" w:rsidP="00804BF2" w14:paraId="5DFEBFA9" w14:textId="77777777">
            <w:pPr>
              <w:spacing w:before="60"/>
              <w:contextualSpacing/>
              <w:jc w:val="both"/>
              <w:textAlignment w:val="baseline"/>
              <w:rPr>
                <w:rFonts w:ascii="Candara" w:eastAsia="Candara" w:hAnsi="Candara" w:cs="Arial"/>
                <w:highlight w:val="green"/>
              </w:rPr>
            </w:pPr>
          </w:p>
        </w:tc>
        <w:tc>
          <w:tcPr>
            <w:tcW w:w="4644" w:type="dxa"/>
          </w:tcPr>
          <w:p w:rsidR="00BA0380" w:rsidRPr="00C8558B" w:rsidP="00BA0380" w14:paraId="110B98C7" w14:textId="77777777">
            <w:pPr>
              <w:spacing w:before="120"/>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BA0380" w:rsidRPr="00CE69A8" w:rsidP="00BA0380" w14:paraId="04F0D0BB" w14:textId="77777777">
            <w:pPr>
              <w:numPr>
                <w:ilvl w:val="0"/>
                <w:numId w:val="7"/>
              </w:numPr>
              <w:spacing w:before="60"/>
              <w:contextualSpacing/>
              <w:jc w:val="both"/>
              <w:textAlignment w:val="baseline"/>
              <w:rPr>
                <w:rFonts w:ascii="Arial" w:eastAsia="Times New Roman" w:hAnsi="Arial" w:cs="Arial"/>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BA0380" w:rsidRPr="00804BF2" w:rsidP="00BA0380" w14:paraId="25843F85" w14:textId="77777777">
            <w:pPr>
              <w:numPr>
                <w:ilvl w:val="0"/>
                <w:numId w:val="7"/>
              </w:numPr>
              <w:spacing w:before="60"/>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Uzņēmumu skaits, kas saņēmuši atbalstu, lai ieviestu jaunus produktus vai tehnoloģijas;</w:t>
            </w:r>
          </w:p>
          <w:p w:rsidR="00BA0380" w:rsidRPr="00A641DE" w:rsidP="00BA0380" w14:paraId="5D85A3E3" w14:textId="77777777">
            <w:pPr>
              <w:numPr>
                <w:ilvl w:val="0"/>
                <w:numId w:val="7"/>
              </w:numPr>
              <w:spacing w:before="60"/>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Komersanta apgrozījums no pētniecības rezultātu ieviešanas saimnieciskajā darbībā vai komercializēšanas;</w:t>
            </w:r>
          </w:p>
          <w:p w:rsidR="00BA0380" w:rsidRPr="00A641DE" w:rsidP="00BA0380" w14:paraId="6AED1BBF" w14:textId="77777777">
            <w:pPr>
              <w:widowControl w:val="0"/>
              <w:numPr>
                <w:ilvl w:val="0"/>
                <w:numId w:val="7"/>
              </w:numPr>
              <w:contextualSpacing/>
              <w:jc w:val="both"/>
              <w:rPr>
                <w:rFonts w:ascii="Candara" w:hAnsi="Candara"/>
                <w:i/>
                <w:sz w:val="20"/>
                <w:szCs w:val="20"/>
              </w:rPr>
            </w:pPr>
            <w:r>
              <w:rPr>
                <w:rFonts w:ascii="Candara" w:eastAsia="Candara" w:hAnsi="Candara" w:cs="Candara"/>
                <w:i/>
                <w:sz w:val="20"/>
                <w:szCs w:val="20"/>
              </w:rPr>
              <w:t>Jaunradītās darba vietas, t.sk. tās, kurās nodarbināti zinātniskie darbinieki publiskā sektorā/ uzņēmējdarbības sektorā</w:t>
            </w:r>
          </w:p>
          <w:p w:rsidR="00BA0380" w:rsidP="00BA0380" w14:paraId="254E57E3" w14:textId="77777777">
            <w:pPr>
              <w:spacing w:before="60"/>
              <w:contextualSpacing/>
              <w:jc w:val="both"/>
              <w:textAlignment w:val="baseline"/>
              <w:rPr>
                <w:rFonts w:ascii="Candara" w:eastAsia="Candara" w:hAnsi="Candara" w:cs="Arial"/>
                <w:highlight w:val="green"/>
              </w:rPr>
            </w:pPr>
          </w:p>
        </w:tc>
      </w:tr>
    </w:tbl>
    <w:p w:rsidR="00804BF2" w:rsidP="00804BF2" w14:paraId="7860878F"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804BF2" w:rsidRPr="00C8558B" w:rsidP="00804BF2" w14:paraId="2A3D6F1D" w14:textId="77777777">
      <w:pPr>
        <w:spacing w:before="120" w:after="0" w:line="240" w:lineRule="auto"/>
        <w:ind w:left="788"/>
        <w:contextualSpacing/>
        <w:jc w:val="both"/>
        <w:textAlignment w:val="baseline"/>
        <w:rPr>
          <w:rFonts w:ascii="Candara" w:eastAsia="Times New Roman" w:hAnsi="Candara" w:cs="Times New Roman"/>
          <w:b/>
          <w:i/>
          <w:iCs/>
          <w:color w:val="000000"/>
          <w:sz w:val="10"/>
          <w:szCs w:val="10"/>
          <w:lang w:eastAsia="en-GB"/>
        </w:rPr>
      </w:pPr>
    </w:p>
    <w:p w:rsidR="00804BF2" w:rsidP="00804BF2" w14:paraId="11DC703F" w14:textId="77777777">
      <w:pPr>
        <w:spacing w:before="120" w:after="120" w:line="240" w:lineRule="auto"/>
        <w:ind w:firstLine="426"/>
        <w:jc w:val="both"/>
        <w:rPr>
          <w:rFonts w:ascii="Candara" w:eastAsia="Candara" w:hAnsi="Candara" w:cs="Candara"/>
        </w:rPr>
        <w:sectPr w:rsidSect="00A641DE">
          <w:type w:val="continuous"/>
          <w:pgSz w:w="11906" w:h="16838"/>
          <w:pgMar w:top="1134" w:right="1134" w:bottom="1134" w:left="1701" w:header="425" w:footer="193" w:gutter="0"/>
          <w:cols w:num="2" w:space="708"/>
          <w:titlePg/>
          <w:docGrid w:linePitch="360"/>
        </w:sectPr>
      </w:pPr>
    </w:p>
    <w:p w:rsidR="00D55166" w:rsidRPr="00516C5D" w:rsidP="00D55166" w14:paraId="50CAEA04" w14:textId="77777777">
      <w:pPr>
        <w:widowControl w:val="0"/>
        <w:spacing w:after="120" w:line="240" w:lineRule="auto"/>
        <w:ind w:left="567"/>
        <w:contextualSpacing/>
        <w:jc w:val="both"/>
        <w:rPr>
          <w:rFonts w:ascii="Candara" w:hAnsi="Candara"/>
          <w:i/>
          <w:sz w:val="20"/>
          <w:szCs w:val="20"/>
        </w:rPr>
      </w:pPr>
    </w:p>
    <w:tbl>
      <w:tblPr>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87"/>
      </w:tblGrid>
      <w:tr w14:paraId="43BE7D4C" w14:textId="77777777" w:rsidTr="00CF3F47">
        <w:tblPrEx>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187" w:type="dxa"/>
            <w:shd w:val="clear" w:color="auto" w:fill="BDD7EE"/>
          </w:tcPr>
          <w:p w:rsidR="00921BC7" w:rsidRPr="00516C5D" w:rsidP="009E680D" w14:paraId="13808016" w14:textId="77777777">
            <w:pPr>
              <w:spacing w:before="60" w:after="60"/>
              <w:jc w:val="both"/>
              <w:rPr>
                <w:rFonts w:ascii="Candara" w:eastAsia="Candara" w:hAnsi="Candara" w:cs="Candara"/>
                <w:sz w:val="18"/>
                <w:szCs w:val="18"/>
              </w:rPr>
            </w:pPr>
            <w:r w:rsidRPr="00516C5D">
              <w:rPr>
                <w:rFonts w:ascii="Candara" w:eastAsia="Times New Roman" w:hAnsi="Candara" w:cs="Times New Roman"/>
                <w:b/>
                <w:sz w:val="18"/>
                <w:szCs w:val="18"/>
              </w:rPr>
              <w:t xml:space="preserve">SIA “Light Guide Optics International”. </w:t>
            </w:r>
            <w:r w:rsidRPr="00516C5D">
              <w:rPr>
                <w:rFonts w:ascii="Candara" w:eastAsia="Times New Roman" w:hAnsi="Candara" w:cs="Times New Roman"/>
                <w:sz w:val="18"/>
                <w:szCs w:val="18"/>
              </w:rPr>
              <w:t>Uzņēmuma darbības veids ir optisko šķiedru, to izstrādājumu un metāla detaļu ražošana un realizācija. Uzņēmums aktīvi strādā pie jauniem risinājumiem optisko šķiedru apstrādes un komponešu ražošanas jomā. Šādi risinājumi nodrošinātu iespēju saražot augstākas precizitātes un medicīnas instrumentus, kas izmantojami, piemēram, medicīnas lāzerķirurģijā.</w:t>
            </w:r>
          </w:p>
        </w:tc>
      </w:tr>
    </w:tbl>
    <w:p w:rsidR="00921BC7" w:rsidRPr="00516C5D" w:rsidP="009F2C2C" w14:paraId="7DD99403" w14:textId="77777777">
      <w:pPr>
        <w:spacing w:before="120" w:after="120" w:line="240" w:lineRule="auto"/>
        <w:ind w:firstLine="426"/>
        <w:jc w:val="both"/>
        <w:rPr>
          <w:rFonts w:ascii="Candara" w:hAnsi="Candara"/>
        </w:rPr>
      </w:pPr>
      <w:r w:rsidRPr="00516C5D">
        <w:rPr>
          <w:rFonts w:ascii="Candara" w:eastAsia="Candara" w:hAnsi="Candara" w:cs="Candara"/>
          <w:b/>
        </w:rPr>
        <w:t xml:space="preserve">Nodarbināto apmācības. </w:t>
      </w:r>
      <w:r w:rsidRPr="00516C5D">
        <w:rPr>
          <w:rFonts w:ascii="Candara" w:eastAsia="Candara" w:hAnsi="Candara" w:cs="Candara"/>
        </w:rPr>
        <w:t xml:space="preserve">2015.gada 27.oktobrī apstiprināti 1.2.2.1.pasākuma “Atbalsts nodarbināto apmācībām” (Tehnoloģisko apmācību programma) pirmās projektu iesniegumu atlases kārtas īstenošanas noteikumi, bet 2016.gada 14.jūnijā 1.2.2.3.pasākuma “Atbalsts IKT un netehnoloģiskām apmācībām, kā arī apmācībām, lai sekmētu investoru piesaisti” (Netehnoloģisko apmācību programma) īstenošanas noteikumi. Tehnoloģisko apmācību programmas mērķis ir nodrošināt komersantus ar atbilstošas kvalifikācijas darbaspēku, kas sekmētu zināšanu pārnesi un jaunu vai uzlabotu produktu un tehnoloģiju izstrādi un ieviešanu ražošanā. Netehnoloģisko apmācību programmas mērķis ir </w:t>
      </w:r>
      <w:r w:rsidRPr="00516C5D">
        <w:rPr>
          <w:rFonts w:ascii="Candara" w:hAnsi="Candara"/>
        </w:rPr>
        <w:t>veicināt mikro un mazo komersantu produktivitāti un darba efektivitāti, paaugstinot to darbinieku kvalifikāciju un prasmes IKT</w:t>
      </w:r>
      <w:r w:rsidRPr="00516C5D">
        <w:rPr>
          <w:rFonts w:ascii="Candara" w:eastAsia="Candara" w:hAnsi="Candara" w:cs="Candara"/>
        </w:rPr>
        <w:t xml:space="preserve"> un netehnoloģisko inovāciju jomās, kā arī veicināt investoru piesaisti. Kopējais abās programmās pieejamais finansējums ir </w:t>
      </w:r>
      <w:r w:rsidRPr="00516C5D">
        <w:rPr>
          <w:rFonts w:ascii="Candara" w:hAnsi="Candara"/>
        </w:rPr>
        <w:t>24,9 milj. euro. Līdz 2023.gada beigām abās programmās kopā paredzēts atbals</w:t>
      </w:r>
      <w:r w:rsidRPr="00516C5D">
        <w:rPr>
          <w:rFonts w:ascii="Candara" w:hAnsi="Candara"/>
          <w:shd w:val="clear" w:color="auto" w:fill="F3F3F3"/>
        </w:rPr>
        <w:t>tīt</w:t>
      </w:r>
      <w:r w:rsidRPr="00516C5D">
        <w:rPr>
          <w:rFonts w:ascii="Candara" w:hAnsi="Candara"/>
        </w:rPr>
        <w:t xml:space="preserve"> 1300 komersantus, nodrošinot 11 080</w:t>
      </w:r>
      <w:r w:rsidRPr="00516C5D">
        <w:rPr>
          <w:rFonts w:ascii="Candara" w:hAnsi="Candara"/>
          <w:shd w:val="clear" w:color="auto" w:fill="F3F3F3"/>
        </w:rPr>
        <w:t xml:space="preserve"> </w:t>
      </w:r>
      <w:r w:rsidRPr="00516C5D">
        <w:rPr>
          <w:rFonts w:ascii="Candara" w:hAnsi="Candara"/>
        </w:rPr>
        <w:t xml:space="preserve">personu apmācīšanu un kvalifikācijas celšanu. Vienlaikus abās programmās kā specifiskais rezultāta rādītājs izvirzīts inovatīvo komersantu īpatsvara pieaugums, sasniedzot 40% no kopējā komersantu skaita (25,5% pārskata periodā par 2012.-2014.gadu). Tehnoloģisko apmācību programmas ietvaros noslēgti līgumi par projektu īstenošanu ar 10 nozaru asociācijām (LAKIFA, MASOC, LIKTA, </w:t>
      </w:r>
      <w:r w:rsidR="00B224B3">
        <w:rPr>
          <w:rFonts w:ascii="Candara" w:hAnsi="Candara"/>
        </w:rPr>
        <w:t>biedrība “Zaļās mājas”</w:t>
      </w:r>
      <w:r w:rsidRPr="00516C5D">
        <w:rPr>
          <w:rFonts w:ascii="Candara" w:hAnsi="Candara"/>
        </w:rPr>
        <w:t>, LLDRA, LPUF, LPUA, VRUA, LVRA, LETERA), kā arī uzsāktas apmācības (uz 31.03.2017. apmācītas 2387 personas 179 komersantos). Netehnoloģisko apmācību programmā noslēgti līgumi ar 3 apmācību īstenotājiem (LIKTA, LTRK, LIAA), kā arī uzsāktas apmācības (uz 31.03.2017. ir apmācītas 17 personas 14 komersantos).</w:t>
      </w:r>
    </w:p>
    <w:p w:rsidR="00804BF2" w:rsidRPr="00C8558B" w:rsidP="00804BF2" w14:paraId="1F103B44"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804BF2" w:rsidP="00804BF2" w14:paraId="4CBE6310" w14:textId="77777777">
      <w:pPr>
        <w:spacing w:before="60" w:after="0" w:line="240" w:lineRule="auto"/>
        <w:ind w:left="786"/>
        <w:contextualSpacing/>
        <w:jc w:val="both"/>
        <w:textAlignment w:val="baseline"/>
        <w:rPr>
          <w:rFonts w:ascii="Candara" w:eastAsia="Candara" w:hAnsi="Candara" w:cs="Arial"/>
          <w:highlight w:val="green"/>
        </w:rPr>
      </w:pPr>
    </w:p>
    <w:p w:rsidR="00804BF2" w:rsidP="00804BF2" w14:paraId="3EEB41F7"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804BF2" w:rsidP="00804BF2" w14:paraId="624E82CF"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A42B29" w:rsidRPr="0036537A" w:rsidP="00A42B29" w14:paraId="78FD367B"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Eiropas inovāciju rādītāju grupa (EIS pozīcija);</w:t>
      </w:r>
    </w:p>
    <w:p w:rsidR="00A42B29" w:rsidRPr="0036537A" w:rsidP="00A42B29" w14:paraId="2520137B"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Ieguldījumi P&amp;A 1.5% no IKP;</w:t>
      </w:r>
    </w:p>
    <w:p w:rsidR="00A42B29" w:rsidRPr="0036537A" w:rsidP="00A42B29" w14:paraId="5A9826D4"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Produktivitāte apstrādes rūpniecībā;</w:t>
      </w:r>
    </w:p>
    <w:p w:rsidR="00A42B29" w:rsidRPr="0036537A" w:rsidP="00A42B29" w14:paraId="1A16885B"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Inovatīvo uzņēmumu īpatsvars;</w:t>
      </w:r>
    </w:p>
    <w:p w:rsidR="00A42B29" w:rsidRPr="0036537A" w:rsidP="00A42B29" w14:paraId="6D79CFC4"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Apstrādes rūpniecības īpatsvars IKP un tās produktivitātes pieaugums;</w:t>
      </w:r>
    </w:p>
    <w:p w:rsidR="00A42B29" w:rsidRPr="0036537A" w:rsidP="00A42B29" w14:paraId="752481B2"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Eksporta pieaugums;</w:t>
      </w:r>
    </w:p>
    <w:p w:rsidR="00A42B29" w:rsidRPr="0036537A" w:rsidP="00A42B29" w14:paraId="14906E4C"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Augsto tehnoloģiju produktu īpatsvars Latvijas kopējā eksportā un augsto un vidēji augsto tehnoloģiju nozaru īpatsvars Latvijas preču eksportā;</w:t>
      </w:r>
    </w:p>
    <w:p w:rsidR="00804BF2" w:rsidRPr="003175E6" w:rsidP="003175E6" w14:paraId="03E40AFE"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p>
    <w:p w:rsidR="00804BF2" w:rsidRPr="00C8558B" w:rsidP="00804BF2" w14:paraId="5E865A49"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804BF2" w:rsidRPr="00A641DE" w:rsidP="00804BF2" w14:paraId="63427C35"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Apmācītie darbinieki;</w:t>
      </w:r>
    </w:p>
    <w:p w:rsidR="00804BF2" w:rsidRPr="00CE69A8" w:rsidP="00804BF2" w14:paraId="08A3E75B"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804BF2" w:rsidP="00804BF2" w14:paraId="12EF4954" w14:textId="77777777">
      <w:pPr>
        <w:spacing w:before="120" w:after="120" w:line="240" w:lineRule="auto"/>
        <w:ind w:firstLine="426"/>
        <w:jc w:val="both"/>
        <w:rPr>
          <w:rFonts w:ascii="Candara" w:eastAsia="Candara" w:hAnsi="Candara" w:cs="Candara"/>
        </w:rPr>
        <w:sectPr w:rsidSect="00A641DE">
          <w:type w:val="continuous"/>
          <w:pgSz w:w="11906" w:h="16838"/>
          <w:pgMar w:top="1134" w:right="1134" w:bottom="1134" w:left="1701" w:header="425" w:footer="193" w:gutter="0"/>
          <w:cols w:num="2" w:space="708"/>
          <w:titlePg/>
          <w:docGrid w:linePitch="360"/>
        </w:sectPr>
      </w:pPr>
    </w:p>
    <w:p w:rsidR="00A31C76" w:rsidRPr="00516C5D" w:rsidP="00A31C76" w14:paraId="00DCE8FF" w14:textId="77777777">
      <w:pPr>
        <w:widowControl w:val="0"/>
        <w:shd w:val="clear" w:color="auto" w:fill="FFFFFF" w:themeFill="background1"/>
        <w:spacing w:after="0" w:line="240" w:lineRule="auto"/>
        <w:ind w:left="567"/>
        <w:contextualSpacing/>
        <w:jc w:val="both"/>
        <w:rPr>
          <w:rFonts w:ascii="Candara" w:hAnsi="Candara"/>
          <w:i/>
          <w:sz w:val="20"/>
          <w:szCs w:val="20"/>
          <w:shd w:val="clear" w:color="auto" w:fill="F3F3F3"/>
        </w:rPr>
      </w:pPr>
    </w:p>
    <w:tbl>
      <w:tblPr>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87"/>
      </w:tblGrid>
      <w:tr w14:paraId="694403AB" w14:textId="77777777" w:rsidTr="00CF3F47">
        <w:tblPrEx>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187" w:type="dxa"/>
            <w:shd w:val="clear" w:color="auto" w:fill="BDD7EE"/>
          </w:tcPr>
          <w:p w:rsidR="00921BC7" w:rsidRPr="00516C5D" w:rsidP="00CF3F47" w14:paraId="35E32B12" w14:textId="77777777">
            <w:pPr>
              <w:spacing w:after="0"/>
              <w:jc w:val="both"/>
              <w:rPr>
                <w:rFonts w:ascii="Candara" w:eastAsia="Candara" w:hAnsi="Candara" w:cs="Candara"/>
                <w:b/>
                <w:sz w:val="18"/>
                <w:szCs w:val="18"/>
              </w:rPr>
            </w:pPr>
            <w:r w:rsidRPr="00516C5D">
              <w:rPr>
                <w:rFonts w:ascii="Candara" w:eastAsia="Candara" w:hAnsi="Candara" w:cs="Candara"/>
                <w:b/>
                <w:sz w:val="18"/>
                <w:szCs w:val="18"/>
              </w:rPr>
              <w:t xml:space="preserve">MMU projekts. </w:t>
            </w:r>
            <w:r w:rsidRPr="00516C5D">
              <w:rPr>
                <w:rFonts w:ascii="Candara" w:eastAsia="Candara" w:hAnsi="Candara" w:cs="Candara"/>
                <w:sz w:val="18"/>
                <w:szCs w:val="18"/>
              </w:rPr>
              <w:t>LIKTA līdz 31.12.2020. īsteno apmācību projektu “Mazo un mikro komersantu apmācības inovāciju un digitālo tehnoloģiju attīstībai Latvijā” (MMU projekts). Projektā apmācības plānotas 3 tematiskajos blokos:</w:t>
            </w:r>
          </w:p>
          <w:p w:rsidR="00921BC7" w:rsidRPr="00516C5D" w:rsidP="00CF3F47" w14:paraId="66F8205D" w14:textId="77777777">
            <w:pPr>
              <w:spacing w:after="0"/>
              <w:jc w:val="both"/>
              <w:rPr>
                <w:rFonts w:ascii="Candara" w:eastAsia="Candara" w:hAnsi="Candara" w:cs="Candara"/>
                <w:sz w:val="18"/>
                <w:szCs w:val="18"/>
              </w:rPr>
            </w:pPr>
            <w:r w:rsidRPr="00516C5D">
              <w:rPr>
                <w:rFonts w:ascii="Candara" w:eastAsia="Candara" w:hAnsi="Candara" w:cs="Candara"/>
                <w:sz w:val="18"/>
                <w:szCs w:val="18"/>
              </w:rPr>
              <w:t>1.Digitālās tehnoloģijas;</w:t>
            </w:r>
          </w:p>
          <w:p w:rsidR="00921BC7" w:rsidRPr="00516C5D" w:rsidP="00CF3F47" w14:paraId="57FE7862" w14:textId="77777777">
            <w:pPr>
              <w:spacing w:after="0"/>
              <w:jc w:val="both"/>
              <w:rPr>
                <w:rFonts w:ascii="Candara" w:eastAsia="Candara" w:hAnsi="Candara" w:cs="Candara"/>
                <w:sz w:val="18"/>
                <w:szCs w:val="18"/>
              </w:rPr>
            </w:pPr>
            <w:r w:rsidRPr="00516C5D">
              <w:rPr>
                <w:rFonts w:ascii="Candara" w:eastAsia="Candara" w:hAnsi="Candara" w:cs="Candara"/>
                <w:sz w:val="18"/>
                <w:szCs w:val="18"/>
              </w:rPr>
              <w:t>2.Uzņēmumu iekšējo procesu digitalizācija;</w:t>
            </w:r>
          </w:p>
          <w:p w:rsidR="00921BC7" w:rsidRPr="00516C5D" w:rsidP="00CF3F47" w14:paraId="585D3752" w14:textId="77777777">
            <w:pPr>
              <w:spacing w:after="0"/>
              <w:jc w:val="both"/>
              <w:rPr>
                <w:rFonts w:ascii="Candara" w:eastAsia="Candara" w:hAnsi="Candara" w:cs="Candara"/>
                <w:sz w:val="18"/>
                <w:szCs w:val="18"/>
              </w:rPr>
            </w:pPr>
            <w:r w:rsidRPr="00516C5D">
              <w:rPr>
                <w:rFonts w:ascii="Candara" w:eastAsia="Candara" w:hAnsi="Candara" w:cs="Candara"/>
                <w:sz w:val="18"/>
                <w:szCs w:val="18"/>
              </w:rPr>
              <w:t>3.Digitālie rīki ražošanas un pakalpojumu attīstībai.</w:t>
            </w:r>
          </w:p>
          <w:p w:rsidR="00921BC7" w:rsidRPr="00516C5D" w:rsidP="00CF3F47" w14:paraId="0B2017F7" w14:textId="77777777">
            <w:pPr>
              <w:spacing w:after="0"/>
              <w:jc w:val="both"/>
              <w:rPr>
                <w:rFonts w:ascii="Candara" w:eastAsia="Candara" w:hAnsi="Candara" w:cs="Candara"/>
                <w:sz w:val="18"/>
                <w:szCs w:val="18"/>
              </w:rPr>
            </w:pPr>
            <w:r w:rsidRPr="00516C5D">
              <w:rPr>
                <w:rFonts w:ascii="Candara" w:eastAsia="Candara" w:hAnsi="Candara" w:cs="Candara"/>
                <w:sz w:val="18"/>
                <w:szCs w:val="18"/>
              </w:rPr>
              <w:t>Katram apmācības modelim tiks izveidota e-vietne ar papildus tehnoloģiju un rīku ieviešanas scenāriju aprakstiem, praktiskiem uzdevumiem iegūto prasmju nostiprināšanai.</w:t>
            </w:r>
          </w:p>
        </w:tc>
      </w:tr>
    </w:tbl>
    <w:p w:rsidR="00921BC7" w:rsidRPr="00516C5D" w:rsidP="009F2C2C" w14:paraId="714DA603" w14:textId="77777777">
      <w:pPr>
        <w:spacing w:before="120" w:after="120" w:line="240" w:lineRule="auto"/>
        <w:ind w:firstLine="426"/>
        <w:jc w:val="both"/>
        <w:rPr>
          <w:rFonts w:ascii="Candara" w:hAnsi="Candara"/>
        </w:rPr>
      </w:pPr>
      <w:r w:rsidRPr="00516C5D">
        <w:rPr>
          <w:rFonts w:ascii="Candara" w:hAnsi="Candara"/>
          <w:b/>
        </w:rPr>
        <w:t xml:space="preserve">Inovācijas motivācija. </w:t>
      </w:r>
      <w:r w:rsidRPr="00516C5D">
        <w:rPr>
          <w:rFonts w:ascii="Candara" w:hAnsi="Candara"/>
        </w:rPr>
        <w:t>2016.gada 10.maijā apstiprināti 1.2.2.2.pasākumu “Inovāciju motivācijas programma” (Motivācijas programma) regulējošie MK noteikumi. Motivācijas programmas mērķis ir informēt plašāku sabiedrību par uzņēmējdarbības un inovācijas nozīmi, iedrošināt pievērsties uzņēmējdarbībai un praktiskā veidā iesaistīt inovatīvu ideju un risinājumu izstrādē un tālākā to attīstīšanā. Motivācijas programmā kopējais pieejamais finansējums ir 5,3 milj. euro. Programmā līdz 2023.gada nogalei kopumā paredzēts iesaistīt 10 tūkst. personu, kā arī atbalstīt 100 komersantus, kas saņem nefinansiālu atbalstu. Vienlaikus programmā kā rezultāta rādītājs noteikta inovatīvo komersantu skaita pieaugums – 40% no kopējā komersantu skaita. Kopš 2016.gada rudens uzsākta programmas aktivitāšu īstenošanā. Programmu ievieš LIAA.</w:t>
      </w:r>
    </w:p>
    <w:p w:rsidR="008E2C1E" w:rsidRPr="00C8558B" w:rsidP="008E2C1E" w14:paraId="4AE6BAB3"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8E2C1E" w:rsidP="008E2C1E" w14:paraId="10953760" w14:textId="77777777">
      <w:pPr>
        <w:spacing w:before="60" w:after="0" w:line="240" w:lineRule="auto"/>
        <w:ind w:left="786"/>
        <w:contextualSpacing/>
        <w:jc w:val="both"/>
        <w:textAlignment w:val="baseline"/>
        <w:rPr>
          <w:rFonts w:ascii="Candara" w:eastAsia="Candara" w:hAnsi="Candara" w:cs="Arial"/>
          <w:highlight w:val="green"/>
        </w:rPr>
      </w:pPr>
    </w:p>
    <w:p w:rsidR="008E2C1E" w:rsidP="008E2C1E" w14:paraId="477A2941"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8E2C1E" w:rsidP="008E2C1E" w14:paraId="348D721D"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A42B29" w:rsidRPr="0036537A" w:rsidP="00A42B29" w14:paraId="315F91A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Eiropas inovāciju rādītāju grupa (EIS pozīcija);</w:t>
      </w:r>
    </w:p>
    <w:p w:rsidR="00A42B29" w:rsidRPr="0036537A" w:rsidP="00A42B29" w14:paraId="3A63D30B"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Ieguldījumi P&amp;A 1.5% no IKP;</w:t>
      </w:r>
    </w:p>
    <w:p w:rsidR="00A42B29" w:rsidRPr="0036537A" w:rsidP="00A42B29" w14:paraId="22A40DE3"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Produktivitāte apstrādes rūpniecībā;</w:t>
      </w:r>
    </w:p>
    <w:p w:rsidR="00A42B29" w:rsidRPr="0036537A" w:rsidP="00A42B29" w14:paraId="0AB57C7C"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Privātā sektora ieguldījumu proporcionāls pieaugums P&amp;A;</w:t>
      </w:r>
    </w:p>
    <w:p w:rsidR="00A42B29" w:rsidRPr="0036537A" w:rsidP="00A42B29" w14:paraId="6F754B4E"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Inovatīvo uzņēmumu īpatsvars;</w:t>
      </w:r>
    </w:p>
    <w:p w:rsidR="00A42B29" w:rsidRPr="0036537A" w:rsidP="00A42B29" w14:paraId="01D6DA43"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Apstrādes rūpniecības īpatsvars IKP un tās produktivitātes pieaugums;</w:t>
      </w:r>
    </w:p>
    <w:p w:rsidR="00145D30" w:rsidRPr="0036537A" w:rsidP="00145D30" w14:paraId="2A7FF79C"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Eksporta pieaugums;</w:t>
      </w:r>
    </w:p>
    <w:p w:rsidR="00145D30" w:rsidRPr="0036537A" w:rsidP="00145D30" w14:paraId="0A4AE927"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36537A">
        <w:rPr>
          <w:rFonts w:ascii="Candara" w:eastAsia="Times New Roman" w:hAnsi="Candara" w:cs="Times New Roman"/>
          <w:i/>
          <w:iCs/>
          <w:color w:val="000000"/>
          <w:sz w:val="20"/>
          <w:szCs w:val="20"/>
          <w:lang w:eastAsia="en-GB"/>
        </w:rPr>
        <w:t>Augsto tehnoloģiju produktu īpatsvars Latvijas kopējā eksportā un augsto un vidēji augsto tehnoloģiju nozaru īpatsvars Latvijas preču eksportā;</w:t>
      </w:r>
    </w:p>
    <w:p w:rsidR="008E2C1E" w:rsidRPr="00C8558B" w:rsidP="003175E6" w14:paraId="76DF409A"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p>
    <w:p w:rsidR="008E2C1E" w:rsidRPr="00C8558B" w:rsidP="008E2C1E" w14:paraId="6DBE4010" w14:textId="77777777">
      <w:pPr>
        <w:spacing w:before="120" w:after="0" w:line="240" w:lineRule="auto"/>
        <w:ind w:left="788"/>
        <w:contextualSpacing/>
        <w:jc w:val="both"/>
        <w:textAlignment w:val="baseline"/>
        <w:rPr>
          <w:rFonts w:ascii="Candara" w:eastAsia="Times New Roman" w:hAnsi="Candara" w:cs="Times New Roman"/>
          <w:b/>
          <w:i/>
          <w:iCs/>
          <w:color w:val="000000"/>
          <w:sz w:val="10"/>
          <w:szCs w:val="10"/>
          <w:lang w:eastAsia="en-GB"/>
        </w:rPr>
      </w:pPr>
    </w:p>
    <w:p w:rsidR="008E2C1E" w:rsidRPr="00C8558B" w:rsidP="008E2C1E" w14:paraId="36ACAA36"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8E2C1E" w:rsidRPr="00A641DE" w:rsidP="008E2C1E" w14:paraId="190AB1F6"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Apmācītie darbinieki;</w:t>
      </w:r>
    </w:p>
    <w:p w:rsidR="008E2C1E" w:rsidRPr="00702F71" w:rsidP="00702F71" w14:paraId="4A59E3C3"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sectPr w:rsidSect="00A641DE">
          <w:type w:val="continuous"/>
          <w:pgSz w:w="11906" w:h="16838"/>
          <w:pgMar w:top="1134" w:right="1134" w:bottom="1134" w:left="1701" w:header="425" w:footer="193" w:gutter="0"/>
          <w:cols w:num="2" w:space="708"/>
          <w:titlePg/>
          <w:docGrid w:linePitch="360"/>
        </w:sectPr>
      </w:pPr>
      <w:r>
        <w:rPr>
          <w:rFonts w:ascii="Candara" w:eastAsia="Times New Roman" w:hAnsi="Candara" w:cs="Times New Roman"/>
          <w:i/>
          <w:iCs/>
          <w:color w:val="000000"/>
          <w:sz w:val="20"/>
          <w:szCs w:val="20"/>
          <w:lang w:eastAsia="en-GB"/>
        </w:rPr>
        <w:t>Atbalstīto jaunizveidoto komersantu skaits</w:t>
      </w:r>
      <w:r w:rsidRPr="00C8558B">
        <w:rPr>
          <w:rFonts w:ascii="Candara" w:eastAsia="Times New Roman" w:hAnsi="Candara" w:cs="Times New Roman"/>
          <w:i/>
          <w:iCs/>
          <w:color w:val="000000"/>
          <w:sz w:val="20"/>
          <w:szCs w:val="20"/>
          <w:lang w:eastAsia="en-GB"/>
        </w:rPr>
        <w:t>;</w:t>
      </w:r>
    </w:p>
    <w:p w:rsidR="00702F71" w:rsidP="009F2C2C" w14:paraId="75838EEC" w14:textId="77777777">
      <w:pPr>
        <w:spacing w:before="120" w:after="120" w:line="240" w:lineRule="auto"/>
        <w:ind w:firstLine="426"/>
        <w:jc w:val="both"/>
        <w:rPr>
          <w:rFonts w:ascii="Candara" w:hAnsi="Candara"/>
        </w:rPr>
      </w:pPr>
      <w:r w:rsidRPr="00516C5D">
        <w:rPr>
          <w:rFonts w:ascii="Candara" w:hAnsi="Candara"/>
          <w:b/>
        </w:rPr>
        <w:t>Klasteri</w:t>
      </w:r>
      <w:r w:rsidRPr="00516C5D">
        <w:rPr>
          <w:rFonts w:ascii="Candara" w:hAnsi="Candara"/>
        </w:rPr>
        <w:t xml:space="preserve"> (programma)</w:t>
      </w:r>
      <w:r>
        <w:rPr>
          <w:rFonts w:ascii="Candara" w:hAnsi="Candara"/>
        </w:rPr>
        <w:t xml:space="preserve">. </w:t>
      </w:r>
      <w:r w:rsidRPr="00516C5D">
        <w:rPr>
          <w:rFonts w:ascii="Candara" w:hAnsi="Candara"/>
        </w:rPr>
        <w:t>2016.gada 5.aprīlī apstiprināti 3.2.1.1.pasākuma “Klasteru programma” (Klasteru programma) regulējošie MK noteikumi. Klasteru programmas mērķis ir veicināt komersantu un pētniecības, izglītības un zināšanu izplatīšanas organizāciju un citu institūciju sadarbību vietējā un starptautiskajā līmenī, tādējādi veicinot komersantu konkurētspējas celšanu, palielinot eksporta apjomu un augstas pievienotās vērtības produktu un pakalpojumu īpatsvaru eksportā, kā arī inovācijas un jaunu produktu veidošanos. Klasteru programmā kopējais pieejamais finansējums 6,2 milj.</w:t>
      </w:r>
      <w:r>
        <w:rPr>
          <w:rFonts w:ascii="Candara" w:hAnsi="Candara"/>
        </w:rPr>
        <w:t xml:space="preserve"> </w:t>
      </w:r>
      <w:r w:rsidRPr="00516C5D">
        <w:rPr>
          <w:rFonts w:ascii="Candara" w:hAnsi="Candara"/>
        </w:rPr>
        <w:t xml:space="preserve">euro. Projektu iesniegumu atlases rezultātā darbību klasteru programmā ar 2017. gada janvāri ir uzsākuši 14 klasteri </w:t>
      </w:r>
      <w:r>
        <w:rPr>
          <w:rFonts w:ascii="Candara" w:hAnsi="Candara"/>
        </w:rPr>
        <w:t>–</w:t>
      </w:r>
      <w:r w:rsidRPr="00516C5D">
        <w:rPr>
          <w:rFonts w:ascii="Candara" w:hAnsi="Candara"/>
        </w:rPr>
        <w:t xml:space="preserve"> 8 nozaru un 6 starpnozaru klasteri. Projekta uzsākšanas brīdī klasteru programma apvienoja 353 MVU, bet MK noteikumi paredz, ka līdz 2017.gada beigām šim skaitlim jāpalielinās līdz vismaz 420 MVU.  Sasniedzamie iznākuma rādītāji līdz 2023.gadam paredz, ka programmas ietvaros 360 komersanti ir saņēmuši atbalstu, tai skaitā 120 komersanti, kas saņēmuši atbalstu granta formā.</w:t>
      </w:r>
    </w:p>
    <w:p w:rsidR="00702F71" w:rsidRPr="00C8558B" w:rsidP="00702F71" w14:paraId="530EE0D4"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702F71" w:rsidP="00702F71" w14:paraId="7CD410D6" w14:textId="77777777">
      <w:pPr>
        <w:spacing w:before="60" w:after="0" w:line="240" w:lineRule="auto"/>
        <w:ind w:left="786"/>
        <w:contextualSpacing/>
        <w:jc w:val="both"/>
        <w:textAlignment w:val="baseline"/>
        <w:rPr>
          <w:rFonts w:ascii="Candara" w:eastAsia="Candara" w:hAnsi="Candara" w:cs="Arial"/>
          <w:highlight w:val="green"/>
        </w:rPr>
      </w:pPr>
    </w:p>
    <w:p w:rsidR="00702F71" w:rsidP="00702F71" w14:paraId="6E96CA31"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702F71" w:rsidP="00702F71" w14:paraId="29D79BBC"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145D30" w:rsidRPr="00A110BF" w:rsidP="00145D30" w14:paraId="4F7E3E5B"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A110BF">
        <w:rPr>
          <w:rFonts w:ascii="Candara" w:eastAsia="Times New Roman" w:hAnsi="Candara" w:cs="Times New Roman"/>
          <w:i/>
          <w:iCs/>
          <w:color w:val="000000"/>
          <w:sz w:val="20"/>
          <w:szCs w:val="20"/>
          <w:lang w:eastAsia="en-GB"/>
        </w:rPr>
        <w:t>Ieguldījumi P&amp;A 1.5% no IKP;</w:t>
      </w:r>
    </w:p>
    <w:p w:rsidR="00145D30" w:rsidRPr="00A110BF" w:rsidP="00145D30" w14:paraId="392B18B4"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A110BF">
        <w:rPr>
          <w:rFonts w:ascii="Candara" w:eastAsia="Times New Roman" w:hAnsi="Candara" w:cs="Times New Roman"/>
          <w:i/>
          <w:iCs/>
          <w:color w:val="000000"/>
          <w:sz w:val="20"/>
          <w:szCs w:val="20"/>
          <w:lang w:eastAsia="en-GB"/>
        </w:rPr>
        <w:t>Produktivitāte apstrādes rūpniecībā;</w:t>
      </w:r>
    </w:p>
    <w:p w:rsidR="00145D30" w:rsidRPr="00A110BF" w:rsidP="00145D30" w14:paraId="455F7D98"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A110BF">
        <w:rPr>
          <w:rFonts w:ascii="Candara" w:eastAsia="Times New Roman" w:hAnsi="Candara" w:cs="Times New Roman"/>
          <w:i/>
          <w:iCs/>
          <w:color w:val="000000"/>
          <w:sz w:val="20"/>
          <w:szCs w:val="20"/>
          <w:lang w:eastAsia="en-GB"/>
        </w:rPr>
        <w:t>Privātā sektora ieguldījumu proporcionāls pieaugums P&amp;A;</w:t>
      </w:r>
    </w:p>
    <w:p w:rsidR="00145D30" w:rsidRPr="00A110BF" w:rsidP="00145D30" w14:paraId="7B61FFA4"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A110BF">
        <w:rPr>
          <w:rFonts w:ascii="Candara" w:eastAsia="Times New Roman" w:hAnsi="Candara" w:cs="Times New Roman"/>
          <w:i/>
          <w:iCs/>
          <w:color w:val="000000"/>
          <w:sz w:val="20"/>
          <w:szCs w:val="20"/>
          <w:lang w:eastAsia="en-GB"/>
        </w:rPr>
        <w:t>Zinātnisko darbinieku skaits, kas nodarbināti privātajā sektorā;</w:t>
      </w:r>
    </w:p>
    <w:p w:rsidR="00145D30" w:rsidRPr="00A110BF" w:rsidP="00145D30" w14:paraId="79992518"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A110BF">
        <w:rPr>
          <w:rFonts w:ascii="Candara" w:eastAsia="Times New Roman" w:hAnsi="Candara" w:cs="Times New Roman"/>
          <w:i/>
          <w:iCs/>
          <w:color w:val="000000"/>
          <w:sz w:val="20"/>
          <w:szCs w:val="20"/>
          <w:lang w:eastAsia="en-GB"/>
        </w:rPr>
        <w:t>Inovatīvo uzņēmumu īpatsvars;</w:t>
      </w:r>
    </w:p>
    <w:p w:rsidR="00145D30" w:rsidRPr="00A110BF" w:rsidP="00145D30" w14:paraId="033106EE"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A110BF">
        <w:rPr>
          <w:rFonts w:ascii="Candara" w:eastAsia="Times New Roman" w:hAnsi="Candara" w:cs="Times New Roman"/>
          <w:i/>
          <w:iCs/>
          <w:color w:val="000000"/>
          <w:sz w:val="20"/>
          <w:szCs w:val="20"/>
          <w:lang w:eastAsia="en-GB"/>
        </w:rPr>
        <w:t>Apstrādes rūpniecības īpatsvars IKP un tās produktivitātes pieaugums;</w:t>
      </w:r>
    </w:p>
    <w:p w:rsidR="00702F71" w:rsidRPr="003175E6" w:rsidP="00145D30" w14:paraId="0AE379A8" w14:textId="77777777">
      <w:pPr>
        <w:numPr>
          <w:ilvl w:val="0"/>
          <w:numId w:val="7"/>
        </w:numPr>
        <w:spacing w:before="60" w:after="0" w:line="240" w:lineRule="auto"/>
        <w:contextualSpacing/>
        <w:jc w:val="both"/>
        <w:textAlignment w:val="baseline"/>
        <w:rPr>
          <w:rFonts w:ascii="Candara" w:eastAsia="Times New Roman" w:hAnsi="Candara" w:cs="Times New Roman"/>
          <w:b/>
          <w:i/>
          <w:iCs/>
          <w:color w:val="000000"/>
          <w:sz w:val="20"/>
          <w:szCs w:val="20"/>
          <w:lang w:eastAsia="en-GB"/>
        </w:rPr>
      </w:pPr>
      <w:r w:rsidRPr="00A110BF">
        <w:rPr>
          <w:rFonts w:ascii="Candara" w:eastAsia="Times New Roman" w:hAnsi="Candara" w:cs="Times New Roman"/>
          <w:i/>
          <w:iCs/>
          <w:color w:val="000000"/>
          <w:sz w:val="20"/>
          <w:szCs w:val="20"/>
          <w:lang w:eastAsia="en-GB"/>
        </w:rPr>
        <w:t>Eksporta pieaugums;</w:t>
      </w:r>
    </w:p>
    <w:p w:rsidR="00145D30" w:rsidRPr="00A110BF" w:rsidP="00145D30" w14:paraId="53BEE76B"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A110BF">
        <w:rPr>
          <w:rFonts w:ascii="Candara" w:eastAsia="Times New Roman" w:hAnsi="Candara" w:cs="Times New Roman"/>
          <w:i/>
          <w:iCs/>
          <w:color w:val="000000"/>
          <w:sz w:val="20"/>
          <w:szCs w:val="20"/>
          <w:lang w:eastAsia="en-GB"/>
        </w:rPr>
        <w:t>Augsto tehnoloģiju produktu īpatsvars Latvijas kopējā eksportā un augsto un vidēji augsto tehnoloģiju nozaru īpatsvars Latvijas preču eksportā;</w:t>
      </w:r>
    </w:p>
    <w:p w:rsidR="00702F71" w:rsidRPr="00C8558B" w:rsidP="00702F71" w14:paraId="5DC0C5FB" w14:textId="77777777">
      <w:pPr>
        <w:spacing w:before="120" w:after="0" w:line="240" w:lineRule="auto"/>
        <w:ind w:left="788"/>
        <w:contextualSpacing/>
        <w:jc w:val="both"/>
        <w:textAlignment w:val="baseline"/>
        <w:rPr>
          <w:rFonts w:ascii="Candara" w:eastAsia="Times New Roman" w:hAnsi="Candara" w:cs="Times New Roman"/>
          <w:b/>
          <w:i/>
          <w:iCs/>
          <w:color w:val="000000"/>
          <w:sz w:val="10"/>
          <w:szCs w:val="10"/>
          <w:lang w:eastAsia="en-GB"/>
        </w:rPr>
      </w:pPr>
    </w:p>
    <w:p w:rsidR="00702F71" w:rsidRPr="00C8558B" w:rsidP="00702F71" w14:paraId="47782219"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702F71" w:rsidRPr="00A641DE" w:rsidP="00702F71" w14:paraId="66C0F2D8"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516C5D">
        <w:rPr>
          <w:rFonts w:ascii="Candara" w:eastAsia="Candara" w:hAnsi="Candara" w:cs="Candara"/>
          <w:i/>
          <w:sz w:val="20"/>
          <w:szCs w:val="20"/>
        </w:rPr>
        <w:t>Uzņēmumu skaits, kas saņēmuši atbalstu, lai ieviestu jaunus produktus un tehnoloģijas;</w:t>
      </w:r>
    </w:p>
    <w:p w:rsidR="00702F71" w:rsidRPr="00CE69A8" w:rsidP="00702F71" w14:paraId="1331398A"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702F71" w:rsidP="00702F71" w14:paraId="62791A47" w14:textId="77777777">
      <w:pPr>
        <w:spacing w:before="120" w:after="120" w:line="240" w:lineRule="auto"/>
        <w:ind w:firstLine="426"/>
        <w:jc w:val="both"/>
        <w:rPr>
          <w:rFonts w:ascii="Candara" w:eastAsia="Candara" w:hAnsi="Candara" w:cs="Candara"/>
        </w:rPr>
        <w:sectPr w:rsidSect="00A641DE">
          <w:type w:val="continuous"/>
          <w:pgSz w:w="11906" w:h="16838"/>
          <w:pgMar w:top="1134" w:right="1134" w:bottom="1134" w:left="1701" w:header="425" w:footer="193" w:gutter="0"/>
          <w:cols w:num="2" w:space="708"/>
          <w:titlePg/>
          <w:docGrid w:linePitch="360"/>
        </w:sectPr>
      </w:pPr>
    </w:p>
    <w:p w:rsidR="00921BC7" w:rsidRPr="00516C5D" w:rsidP="00921BC7" w14:paraId="5AF20A01" w14:textId="77777777">
      <w:pPr>
        <w:spacing w:after="0" w:line="240" w:lineRule="auto"/>
        <w:jc w:val="both"/>
        <w:rPr>
          <w:rFonts w:ascii="Candara" w:eastAsia="Candara" w:hAnsi="Candara" w:cs="Candara"/>
          <w:i/>
          <w:sz w:val="20"/>
          <w:szCs w:val="20"/>
        </w:rPr>
      </w:pPr>
    </w:p>
    <w:tbl>
      <w:tblPr>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046"/>
      </w:tblGrid>
      <w:tr w14:paraId="7063E694" w14:textId="77777777" w:rsidTr="00CF3F47">
        <w:tblPrEx>
          <w:tblW w:w="90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9046" w:type="dxa"/>
            <w:shd w:val="clear" w:color="auto" w:fill="BDD7EE"/>
          </w:tcPr>
          <w:p w:rsidR="00921BC7" w:rsidRPr="00516C5D" w:rsidP="009E680D" w14:paraId="1276BE01" w14:textId="77777777">
            <w:pPr>
              <w:spacing w:after="120"/>
              <w:jc w:val="both"/>
              <w:rPr>
                <w:rFonts w:ascii="Candara" w:eastAsia="Candara" w:hAnsi="Candara" w:cs="Candara"/>
                <w:sz w:val="18"/>
                <w:szCs w:val="18"/>
              </w:rPr>
            </w:pPr>
            <w:r w:rsidRPr="00516C5D">
              <w:rPr>
                <w:rFonts w:ascii="Candara" w:eastAsia="Times New Roman" w:hAnsi="Candara" w:cs="Times New Roman"/>
                <w:b/>
                <w:sz w:val="18"/>
                <w:szCs w:val="18"/>
              </w:rPr>
              <w:t xml:space="preserve">Latvijas IT klasteris. </w:t>
            </w:r>
            <w:r w:rsidRPr="00516C5D">
              <w:rPr>
                <w:rFonts w:ascii="Candara" w:eastAsia="Times New Roman" w:hAnsi="Candara" w:cs="Times New Roman"/>
                <w:sz w:val="18"/>
                <w:szCs w:val="18"/>
              </w:rPr>
              <w:t xml:space="preserve">Latvijas IT klasteris ir nacionāla līmeņa klasteris un šobrīd vienīgais Latvijas klasteris, kurš spējis iegūt Eiropā nozīmīgāko klasteru izcilības apliecinājumu - Klasteru ekselences iniciatīvas sudraba līmeņa novērtējumu. Latvijas IT klasteris saņēmis </w:t>
            </w:r>
            <w:r>
              <w:rPr>
                <w:rFonts w:ascii="Candara" w:eastAsia="Times New Roman" w:hAnsi="Candara" w:cs="Times New Roman"/>
                <w:sz w:val="18"/>
                <w:szCs w:val="18"/>
              </w:rPr>
              <w:t>ES</w:t>
            </w:r>
            <w:r w:rsidRPr="00516C5D">
              <w:rPr>
                <w:rFonts w:ascii="Candara" w:eastAsia="Times New Roman" w:hAnsi="Candara" w:cs="Times New Roman"/>
                <w:sz w:val="18"/>
                <w:szCs w:val="18"/>
              </w:rPr>
              <w:t xml:space="preserve"> fondu atbalstu 2007.-2013.gada plānošanas periodā, kas ļāva klasterim attīstīties, pozicionēt sevi kā vienu no nozares attīstības dzinējspēkiem un vērtīgu sadarbības partneri viet</w:t>
            </w:r>
            <w:r>
              <w:rPr>
                <w:rFonts w:ascii="Candara" w:eastAsia="Times New Roman" w:hAnsi="Candara" w:cs="Times New Roman"/>
                <w:sz w:val="18"/>
                <w:szCs w:val="18"/>
              </w:rPr>
              <w:t>ējā un starptautiskā mērogā. 2017.gada janvārī</w:t>
            </w:r>
            <w:r w:rsidRPr="00516C5D">
              <w:rPr>
                <w:rFonts w:ascii="Candara" w:eastAsia="Times New Roman" w:hAnsi="Candara" w:cs="Times New Roman"/>
                <w:sz w:val="18"/>
                <w:szCs w:val="18"/>
              </w:rPr>
              <w:t xml:space="preserve"> Latvijas IT klasteris uzsā</w:t>
            </w:r>
            <w:r>
              <w:rPr>
                <w:rFonts w:ascii="Candara" w:eastAsia="Times New Roman" w:hAnsi="Candara" w:cs="Times New Roman"/>
                <w:sz w:val="18"/>
                <w:szCs w:val="18"/>
              </w:rPr>
              <w:t>ka</w:t>
            </w:r>
            <w:r w:rsidRPr="00516C5D">
              <w:rPr>
                <w:rFonts w:ascii="Candara" w:eastAsia="Times New Roman" w:hAnsi="Candara" w:cs="Times New Roman"/>
                <w:sz w:val="18"/>
                <w:szCs w:val="18"/>
              </w:rPr>
              <w:t xml:space="preserve"> projekta īstenošanu arī šobrīd aktuālā plānošanas perioda Klasteru programmā. Pašlaik klasteris apvieno 28 nozares uzņēmumus, kuri kopā nodarbina 686 strādājošos. Turpmāko 4 gadu laikā klasteri plāno stiprināt savstarpēju sadarbību, lai paaugstinātu komersantu konkurētspēju </w:t>
            </w:r>
            <w:r w:rsidRPr="00516C5D">
              <w:rPr>
                <w:rFonts w:ascii="Candara" w:eastAsia="Times New Roman" w:hAnsi="Candara" w:cs="Times New Roman"/>
                <w:sz w:val="18"/>
                <w:szCs w:val="18"/>
              </w:rPr>
              <w:t xml:space="preserve">starptautiskā līmenī. Klasteris plāno īstenot aktivitātes eksporta, apgrozījuma, inovāciju, produktivitātes, internacionalizācijas veicināšanai, kā ari citu mērķu sasniegšanai. </w:t>
            </w:r>
          </w:p>
        </w:tc>
      </w:tr>
    </w:tbl>
    <w:p w:rsidR="006D4322" w:rsidP="009F2C2C" w14:paraId="4391C123" w14:textId="77777777">
      <w:pPr>
        <w:spacing w:before="120" w:after="120" w:line="240" w:lineRule="auto"/>
        <w:ind w:firstLine="426"/>
        <w:jc w:val="both"/>
        <w:rPr>
          <w:rFonts w:ascii="Candara" w:hAnsi="Candara"/>
        </w:rPr>
      </w:pPr>
      <w:r w:rsidRPr="00516C5D">
        <w:rPr>
          <w:rFonts w:ascii="Candara" w:hAnsi="Candara"/>
          <w:b/>
        </w:rPr>
        <w:t>Finanšu pieejamība.</w:t>
      </w:r>
      <w:r w:rsidRPr="00516C5D">
        <w:rPr>
          <w:rFonts w:ascii="Candara" w:hAnsi="Candara"/>
        </w:rPr>
        <w:t xml:space="preserve"> Finanšu instrumenti </w:t>
      </w:r>
      <w:r>
        <w:rPr>
          <w:rFonts w:ascii="Candara" w:hAnsi="Candara"/>
        </w:rPr>
        <w:t>–</w:t>
      </w:r>
      <w:r w:rsidRPr="00516C5D">
        <w:rPr>
          <w:rFonts w:ascii="Candara" w:hAnsi="Candara"/>
        </w:rPr>
        <w:t xml:space="preserve"> garantijas, mikrokredīti, aizdevumi uzņēmējdarbības uzsācējiem, agrīnās stadijas un vēlīnās stadijas riska kapitāla instrumenti </w:t>
      </w:r>
      <w:r>
        <w:rPr>
          <w:rFonts w:ascii="Candara" w:hAnsi="Candara"/>
        </w:rPr>
        <w:t>–</w:t>
      </w:r>
      <w:r w:rsidRPr="00516C5D">
        <w:rPr>
          <w:rFonts w:ascii="Candara" w:hAnsi="Candara"/>
        </w:rPr>
        <w:t xml:space="preserve"> veicina pieejamību finansējumam tiem saimnieciskās darbības veicējiem, kuriem nepietiekama nodrošinājuma, pašu kapitāla, nepietiekamas kredīta un uzņēmuma darbības vēstures, kā arī komercbanku kreditēšanas politikai neatbilstošu finanšu rādītāju un augstu darījumu risku dēļ nav iespējams saņemt finansējumu dzīvotspējīgu biznesa projektu realizācijai nepieciešamajā apmērā no komercbankām un privātajiem investoriem. Atbalsts finanšu instrumentu veidā tiek sniegts arī komersantiem, kas darbojas RIS3 prioritārajās nozarēs. Finanšu instrumenti </w:t>
      </w:r>
      <w:r>
        <w:rPr>
          <w:rFonts w:ascii="Candara" w:hAnsi="Candara"/>
        </w:rPr>
        <w:t>tiek īstenoti 3.tematiskā mērķa</w:t>
      </w:r>
      <w:r w:rsidRPr="00516C5D">
        <w:rPr>
          <w:rFonts w:ascii="Candara" w:hAnsi="Candara"/>
        </w:rPr>
        <w:t xml:space="preserve"> “MVU konkurētspējas uzlabošana” ietvaros. Tomēr, ņemot vērā  inovatīvu, uz zināšanām balstītu un tehnoloģiski intensīvu uzņēmumu atbalstu finanšu instrumentu, jo īpaši riska kapitāla fondu, ietvaros, paredzama ietekme arī uz 1.tematisko mērķi “Nostiprināt pētniecību, tehnoloģiju attīstību un inovāciju” un attiecīgi RIS3 mērķu sasniegšanu.</w:t>
      </w:r>
    </w:p>
    <w:p w:rsidR="00921BC7" w:rsidRPr="00516C5D" w:rsidP="009F2C2C" w14:paraId="49AB41D8" w14:textId="77777777">
      <w:pPr>
        <w:spacing w:before="120" w:after="120" w:line="240" w:lineRule="auto"/>
        <w:ind w:firstLine="426"/>
        <w:jc w:val="both"/>
        <w:rPr>
          <w:rFonts w:ascii="Candara" w:hAnsi="Candara"/>
        </w:rPr>
      </w:pPr>
      <w:r w:rsidRPr="00516C5D">
        <w:rPr>
          <w:rFonts w:ascii="Candara" w:hAnsi="Candara"/>
          <w:b/>
        </w:rPr>
        <w:t xml:space="preserve">Akcelerācijas fondi. </w:t>
      </w:r>
      <w:r w:rsidRPr="00516C5D">
        <w:rPr>
          <w:rFonts w:ascii="Candara" w:hAnsi="Candara"/>
        </w:rPr>
        <w:t xml:space="preserve">2016.gada 12.aprīlī apstiprināti MK noteikumi Nr.226 “Noteikumi par akcelerācijas fondiem saimnieciskās darbības veicēju izveides, attīstības un konkurētspējas veicināšanai”, kuru ietvaros atbalsts ar finanšu starpnieku (akcelerācijas fondu pārvaldnieku) starpniecību tiks sniegts inovatīvu uzņēmējdarbības projektu izstrādei un attīstīšanai. Akcelerācijas fondu mērķis ir sekmēt saimnieciskās darbības veicēju attīstību un konkurētspēju, sniedzot akcelerācijas pakalpojumus </w:t>
      </w:r>
      <w:r w:rsidRPr="00516C5D">
        <w:rPr>
          <w:rFonts w:ascii="Candara" w:hAnsi="Candara"/>
          <w:sz w:val="24"/>
          <w:szCs w:val="24"/>
        </w:rPr>
        <w:t xml:space="preserve">(bez maksas pakalpojumus, kā mentorings, palīdzība nozares ekspertu piesaistē, pircēju, piegādātāju, partneru un nākamo investoru piesaistē) </w:t>
      </w:r>
      <w:r w:rsidRPr="00516C5D">
        <w:rPr>
          <w:rFonts w:ascii="Candara" w:hAnsi="Candara"/>
        </w:rPr>
        <w:t>un finansējumu (līdz 250 EUR apmērā) uzņēmējdarbības projektiem, kas paredz tehnoloģiskos vai rūpnieciskos neizdošanās riskus. Akcelerācijas fondi līdzšinēji nav ieviesti, un notiek finanšu starpnieku piedāvājumu vērtēšana publiskās iepirkumu procedūras ietvaros.</w:t>
      </w:r>
    </w:p>
    <w:p w:rsidR="00921BC7" w:rsidRPr="00516C5D" w:rsidP="009F2C2C" w14:paraId="4A09C50C" w14:textId="77777777">
      <w:pPr>
        <w:spacing w:after="120" w:line="240" w:lineRule="auto"/>
        <w:ind w:firstLine="426"/>
        <w:jc w:val="both"/>
        <w:rPr>
          <w:rFonts w:ascii="Candara" w:hAnsi="Candara"/>
        </w:rPr>
      </w:pPr>
      <w:r w:rsidRPr="00516C5D">
        <w:rPr>
          <w:rFonts w:ascii="Candara" w:hAnsi="Candara"/>
          <w:b/>
        </w:rPr>
        <w:t xml:space="preserve">Sēklas, sākuma un izaugsmes kapitāla fondi. </w:t>
      </w:r>
      <w:r w:rsidRPr="00516C5D">
        <w:rPr>
          <w:rFonts w:ascii="Candara" w:hAnsi="Candara"/>
        </w:rPr>
        <w:t>2016.gada 2.augustā apstiprināti MK noteikumi Nr.518 “Noteikumi par sēklas kapitāla, sākuma kapitāla un izaugsmes kapitāla fondiem saimnieciskās darbības veicēju izveides, attīstības un konkurētspējas veicināšanai”, kuru ietvaros atbalsts ar finanšu starpnieku (sēklas kapitāla, sākuma kapitāla un izaugsmes kapitāla fondu pārvaldnieku) tiks sniegts inovatīvu projektu attīstīšanai. Sēklas kapitāla, sākuma kapitāla un izaugsmes kapitāla fondu mērķis ir sekmēt saimnieciskās darbības veicēju izveidi, attīstību un konkurētspēju, sniedzot sēklas kapitāla, sākuma kapitāla un izaugsmes kapitāla ieguldījumu uzņēmējdarbības projektu īstenošanai. Sēklas kapitāla, sākuma kapitāla un izaugsmes kapitāla fondi šobrīd nav ieviesti, un notiek ieprikumu dokumentācijas saskaņošana. Finanšu starpnieku atlasi publiskās iepirkumu procedūras ietvaros paredzēts izsludināt 2017.gada jūnijā.</w:t>
      </w:r>
    </w:p>
    <w:p w:rsidR="00921BC7" w:rsidRPr="00516C5D" w:rsidP="009F2C2C" w14:paraId="73D9456F" w14:textId="77777777">
      <w:pPr>
        <w:spacing w:after="120" w:line="240" w:lineRule="auto"/>
        <w:ind w:firstLine="426"/>
        <w:jc w:val="both"/>
        <w:rPr>
          <w:rFonts w:ascii="Candara" w:hAnsi="Candara"/>
        </w:rPr>
      </w:pPr>
      <w:r w:rsidRPr="00516C5D">
        <w:rPr>
          <w:rFonts w:ascii="Candara" w:hAnsi="Candara"/>
          <w:b/>
        </w:rPr>
        <w:t xml:space="preserve">Aizdevumu garantijas. </w:t>
      </w:r>
      <w:r w:rsidRPr="00516C5D">
        <w:rPr>
          <w:rFonts w:ascii="Candara" w:hAnsi="Candara"/>
        </w:rPr>
        <w:t>2016.gada 7.jūnijā apstiprināti grozījumi MK noteikumos Nr.997 “Noteikumi par garantijām komersantu un atbilstošu lauksaimniecības pakalpojumu kooperatīvo sabiedrību konkurētspējas uzlabošanai” un tika uzsākta aizdevumu garantiju izsniegšana Eiropas Savienības struktūrfondu un Kohēzijas fonda 2014.-2020.gada plānošanas perioda ietvaros. Aizdevumu garantiju programmas mērķis ir attīstīt sīkos, mazos un vidējos komersantus, veicinot finansējumu pieejamību biznesa projektu īstenošanai, gan izveides gan attīstības stadijās, tostarp inovatīvu uzņēmumu izveidei un attīstībai. Līdz 31.03.2017. izsniegtas 107 aizdevumu garantijas 19,2 milj. EUR apmērā.</w:t>
      </w:r>
    </w:p>
    <w:p w:rsidR="00921BC7" w:rsidP="009F2C2C" w14:paraId="714998A0" w14:textId="77777777">
      <w:pPr>
        <w:spacing w:after="120" w:line="240" w:lineRule="auto"/>
        <w:ind w:firstLine="426"/>
        <w:jc w:val="both"/>
        <w:rPr>
          <w:rFonts w:ascii="Candara" w:hAnsi="Candara"/>
        </w:rPr>
      </w:pPr>
      <w:r w:rsidRPr="00516C5D">
        <w:rPr>
          <w:rFonts w:ascii="Candara" w:hAnsi="Candara"/>
          <w:b/>
        </w:rPr>
        <w:t>Mikrokredīti un starta aizdevumi.</w:t>
      </w:r>
      <w:r w:rsidRPr="00516C5D">
        <w:rPr>
          <w:rFonts w:ascii="Candara" w:hAnsi="Candara"/>
        </w:rPr>
        <w:t xml:space="preserve"> 2016.gada 31.maijā tika apstiprināti MK noteikumi Nr.328 “Noteikumi par mikroaizdevumiem un starta aizdevumiem” un tika uzsākta starta aizdevumu un mikroaizdevumu programmas īstenošana Eiropas Savienības struktūrfondu un Kohēzijas fonda 2014.-2020.gada plānošanas perioda ietvaros. Starta aizdevumus var saņemt biznesa uzsācēji kā arī jaundibināti uzņēmumi biznesa ideju īstenošanai savukārt mikroaizdevumi ir paredzēti sīkajiem, mazajiem un vidējiem uzņēmumiem dzīvotspējīgu biznesa projektu īstenošanai - investīcijām un apgrozāmajiem līdzekļiem. Atbalsts tiek sniegts tostarp RIS3 prioritārajās nozarēs. Līdz 31.03.2017. izsniegti 140 starta aizdevumi 2 801 270 </w:t>
      </w:r>
      <w:r w:rsidR="009E6743">
        <w:rPr>
          <w:rFonts w:ascii="Candara" w:hAnsi="Candara"/>
        </w:rPr>
        <w:t>EUR</w:t>
      </w:r>
      <w:r w:rsidRPr="00516C5D">
        <w:rPr>
          <w:rFonts w:ascii="Candara" w:hAnsi="Candara"/>
        </w:rPr>
        <w:t xml:space="preserve"> un 40 mikroaizdevumi 520 277 </w:t>
      </w:r>
      <w:r w:rsidR="009E6743">
        <w:rPr>
          <w:rFonts w:ascii="Candara" w:hAnsi="Candara"/>
        </w:rPr>
        <w:t>EUR</w:t>
      </w:r>
      <w:r w:rsidRPr="00516C5D">
        <w:rPr>
          <w:rFonts w:ascii="Candara" w:hAnsi="Candara"/>
        </w:rPr>
        <w:t xml:space="preserve"> apmērā.</w:t>
      </w:r>
    </w:p>
    <w:p w:rsidR="00702F71" w:rsidRPr="00C8558B" w:rsidP="00702F71" w14:paraId="2F712225"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702F71" w:rsidP="00702F71" w14:paraId="2237AE33" w14:textId="77777777">
      <w:pPr>
        <w:spacing w:before="60" w:after="0" w:line="240" w:lineRule="auto"/>
        <w:ind w:left="786"/>
        <w:contextualSpacing/>
        <w:jc w:val="both"/>
        <w:textAlignment w:val="baseline"/>
        <w:rPr>
          <w:rFonts w:ascii="Candara" w:eastAsia="Candara" w:hAnsi="Candara" w:cs="Arial"/>
          <w:highlight w:val="green"/>
        </w:rPr>
      </w:pPr>
    </w:p>
    <w:p w:rsidR="00702F71" w:rsidP="00702F71" w14:paraId="4D229C50"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702F71" w:rsidP="00702F71" w14:paraId="43D39555"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145D30" w:rsidRPr="00B4564E" w:rsidP="00145D30" w14:paraId="2714C9C7"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B4564E">
        <w:rPr>
          <w:rFonts w:ascii="Candara" w:eastAsia="Times New Roman" w:hAnsi="Candara" w:cs="Times New Roman"/>
          <w:i/>
          <w:iCs/>
          <w:color w:val="000000"/>
          <w:sz w:val="20"/>
          <w:szCs w:val="20"/>
          <w:lang w:eastAsia="en-GB"/>
        </w:rPr>
        <w:t>Eiropas inovāciju rādītāju grupa (EIS pozīcija);</w:t>
      </w:r>
    </w:p>
    <w:p w:rsidR="00145D30" w:rsidRPr="00B4564E" w:rsidP="00145D30" w14:paraId="638DA05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B4564E">
        <w:rPr>
          <w:rFonts w:ascii="Candara" w:eastAsia="Times New Roman" w:hAnsi="Candara" w:cs="Times New Roman"/>
          <w:i/>
          <w:iCs/>
          <w:color w:val="000000"/>
          <w:sz w:val="20"/>
          <w:szCs w:val="20"/>
          <w:lang w:eastAsia="en-GB"/>
        </w:rPr>
        <w:t>Ieguldījumi P&amp;A 1.5% no IKP;</w:t>
      </w:r>
    </w:p>
    <w:p w:rsidR="00145D30" w:rsidRPr="00B4564E" w:rsidP="00145D30" w14:paraId="4B4D53FE"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B4564E">
        <w:rPr>
          <w:rFonts w:ascii="Candara" w:eastAsia="Times New Roman" w:hAnsi="Candara" w:cs="Times New Roman"/>
          <w:i/>
          <w:iCs/>
          <w:color w:val="000000"/>
          <w:sz w:val="20"/>
          <w:szCs w:val="20"/>
          <w:lang w:eastAsia="en-GB"/>
        </w:rPr>
        <w:t>Produktivitāte apstrādes rūpniecībā;</w:t>
      </w:r>
    </w:p>
    <w:p w:rsidR="00145D30" w:rsidRPr="00B4564E" w:rsidP="00145D30" w14:paraId="709C130F"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B4564E">
        <w:rPr>
          <w:rFonts w:ascii="Candara" w:eastAsia="Times New Roman" w:hAnsi="Candara" w:cs="Times New Roman"/>
          <w:i/>
          <w:iCs/>
          <w:color w:val="000000"/>
          <w:sz w:val="20"/>
          <w:szCs w:val="20"/>
          <w:lang w:eastAsia="en-GB"/>
        </w:rPr>
        <w:t>Privātā sektora ieguldījumu proporcionāls pieaugums P&amp;A;</w:t>
      </w:r>
    </w:p>
    <w:p w:rsidR="00145D30" w:rsidRPr="00B4564E" w:rsidP="00145D30" w14:paraId="2E9413D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B4564E">
        <w:rPr>
          <w:rFonts w:ascii="Candara" w:eastAsia="Times New Roman" w:hAnsi="Candara" w:cs="Times New Roman"/>
          <w:i/>
          <w:iCs/>
          <w:color w:val="000000"/>
          <w:sz w:val="20"/>
          <w:szCs w:val="20"/>
          <w:lang w:eastAsia="en-GB"/>
        </w:rPr>
        <w:t>Inovatīvo uzņēmumu īpatsvars;</w:t>
      </w:r>
    </w:p>
    <w:p w:rsidR="00145D30" w:rsidRPr="00B4564E" w:rsidP="00145D30" w14:paraId="01CA26CE"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B4564E">
        <w:rPr>
          <w:rFonts w:ascii="Candara" w:eastAsia="Times New Roman" w:hAnsi="Candara" w:cs="Times New Roman"/>
          <w:i/>
          <w:iCs/>
          <w:color w:val="000000"/>
          <w:sz w:val="20"/>
          <w:szCs w:val="20"/>
          <w:lang w:eastAsia="en-GB"/>
        </w:rPr>
        <w:t>Apstrādes rūpniecības īpatsvars IKP un tās produktivitātes pieaugums;</w:t>
      </w:r>
    </w:p>
    <w:p w:rsidR="00145D30" w:rsidRPr="00B4564E" w:rsidP="00145D30" w14:paraId="433F5E70"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B4564E">
        <w:rPr>
          <w:rFonts w:ascii="Candara" w:eastAsia="Times New Roman" w:hAnsi="Candara" w:cs="Times New Roman"/>
          <w:i/>
          <w:iCs/>
          <w:color w:val="000000"/>
          <w:sz w:val="20"/>
          <w:szCs w:val="20"/>
          <w:lang w:eastAsia="en-GB"/>
        </w:rPr>
        <w:t>Eksporta pieaugums;</w:t>
      </w:r>
    </w:p>
    <w:p w:rsidR="00145D30" w:rsidRPr="00B4564E" w:rsidP="00145D30" w14:paraId="7116D1F8"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B4564E">
        <w:rPr>
          <w:rFonts w:ascii="Candara" w:eastAsia="Times New Roman" w:hAnsi="Candara" w:cs="Times New Roman"/>
          <w:i/>
          <w:iCs/>
          <w:color w:val="000000"/>
          <w:sz w:val="20"/>
          <w:szCs w:val="20"/>
          <w:lang w:eastAsia="en-GB"/>
        </w:rPr>
        <w:t xml:space="preserve">Augsto tehnoloģiju produktu īpatsvars Latvijas kopējā eksportā un augsto un </w:t>
      </w:r>
      <w:r w:rsidRPr="00B4564E">
        <w:rPr>
          <w:rFonts w:ascii="Candara" w:eastAsia="Times New Roman" w:hAnsi="Candara" w:cs="Times New Roman"/>
          <w:i/>
          <w:iCs/>
          <w:color w:val="000000"/>
          <w:sz w:val="20"/>
          <w:szCs w:val="20"/>
          <w:lang w:eastAsia="en-GB"/>
        </w:rPr>
        <w:t>vidēji augsto tehnoloģiju nozaru īpatsvars Latvijas preču eksportā;</w:t>
      </w:r>
    </w:p>
    <w:p w:rsidR="00702F71" w:rsidP="003175E6" w14:paraId="1381FB6D"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p>
    <w:p w:rsidR="00145D30" w:rsidP="003175E6" w14:paraId="7C974076"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p>
    <w:p w:rsidR="00145D30" w:rsidP="003175E6" w14:paraId="5190F417"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p>
    <w:p w:rsidR="00145D30" w:rsidRPr="003175E6" w:rsidP="003175E6" w14:paraId="40F0EEB2"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p>
    <w:p w:rsidR="00702F71" w:rsidRPr="00C8558B" w:rsidP="00702F71" w14:paraId="7602026B"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702F71" w:rsidRPr="00A641DE" w:rsidP="00702F71" w14:paraId="4623C851"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516C5D">
        <w:rPr>
          <w:rFonts w:ascii="Candara" w:eastAsia="Candara" w:hAnsi="Candara" w:cs="Candara"/>
          <w:i/>
          <w:sz w:val="20"/>
          <w:szCs w:val="20"/>
        </w:rPr>
        <w:t>Uzņēmumu skaits, kas saņēmuši atbalstu, lai ieviestu jaunus produktus un tehnoloģijas;</w:t>
      </w:r>
    </w:p>
    <w:p w:rsidR="00702F71" w:rsidRPr="00CE69A8" w:rsidP="00702F71" w14:paraId="65C8B898"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sidRPr="00C8558B">
        <w:rPr>
          <w:rFonts w:ascii="Candara" w:eastAsia="Times New Roman" w:hAnsi="Candara" w:cs="Times New Roman"/>
          <w:i/>
          <w:iCs/>
          <w:color w:val="000000"/>
          <w:sz w:val="20"/>
          <w:szCs w:val="20"/>
          <w:lang w:eastAsia="en-GB"/>
        </w:rPr>
        <w:t>Uzņēmumu līdzfinansējums P&amp;A projektiem (EUR);</w:t>
      </w:r>
    </w:p>
    <w:p w:rsidR="00702F71" w:rsidP="00702F71" w14:paraId="605E9202" w14:textId="77777777">
      <w:pPr>
        <w:spacing w:before="120" w:after="120" w:line="240" w:lineRule="auto"/>
        <w:ind w:firstLine="426"/>
        <w:jc w:val="both"/>
        <w:rPr>
          <w:rFonts w:ascii="Candara" w:eastAsia="Candara" w:hAnsi="Candara" w:cs="Candara"/>
        </w:rPr>
        <w:sectPr w:rsidSect="00A641DE">
          <w:type w:val="continuous"/>
          <w:pgSz w:w="11906" w:h="16838"/>
          <w:pgMar w:top="1134" w:right="1134" w:bottom="1134" w:left="1701" w:header="425" w:footer="193" w:gutter="0"/>
          <w:cols w:num="2" w:space="708"/>
          <w:titlePg/>
          <w:docGrid w:linePitch="360"/>
        </w:sectPr>
      </w:pPr>
    </w:p>
    <w:p w:rsidR="00AA4E91" w:rsidRPr="00253CB7" w:rsidP="00AA4E91" w14:paraId="27143B0F" w14:textId="77777777">
      <w:pPr>
        <w:widowControl w:val="0"/>
        <w:spacing w:after="0" w:line="240" w:lineRule="auto"/>
        <w:ind w:left="567"/>
        <w:contextualSpacing/>
        <w:jc w:val="both"/>
        <w:rPr>
          <w:rFonts w:ascii="Candara" w:hAnsi="Candara"/>
        </w:rPr>
      </w:pPr>
    </w:p>
    <w:tbl>
      <w:tblPr>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87"/>
      </w:tblGrid>
      <w:tr w14:paraId="4A31FE25" w14:textId="77777777" w:rsidTr="00361297">
        <w:tblPrEx>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780"/>
        </w:trPr>
        <w:tc>
          <w:tcPr>
            <w:tcW w:w="9187" w:type="dxa"/>
            <w:shd w:val="clear" w:color="auto" w:fill="BDD7EE"/>
          </w:tcPr>
          <w:p w:rsidR="00921BC7" w:rsidRPr="00516C5D" w:rsidP="00361297" w14:paraId="4E2A6A3E" w14:textId="77777777">
            <w:pPr>
              <w:spacing w:after="0" w:line="240" w:lineRule="auto"/>
              <w:jc w:val="both"/>
              <w:rPr>
                <w:rFonts w:ascii="Candara" w:hAnsi="Candara"/>
                <w:sz w:val="18"/>
                <w:szCs w:val="18"/>
              </w:rPr>
            </w:pPr>
            <w:r w:rsidRPr="00516C5D">
              <w:rPr>
                <w:rFonts w:ascii="Candara" w:hAnsi="Candara"/>
                <w:b/>
                <w:sz w:val="18"/>
                <w:szCs w:val="18"/>
              </w:rPr>
              <w:t>SIA “PRIMEKSS”</w:t>
            </w:r>
            <w:r w:rsidRPr="00516C5D">
              <w:rPr>
                <w:rFonts w:ascii="Candara" w:hAnsi="Candara"/>
                <w:sz w:val="18"/>
                <w:szCs w:val="18"/>
              </w:rPr>
              <w:t xml:space="preserve"> ražo industriālās betona grīdas. Uzņēmums ir radījis un patentējis unikālu tehnoloģiju un betona piedevu ķīmisko sastāvu PrimeComposite, kas dod iespēju betona grīdai būt plānākai, vienlaicīgi saglabājot nepieciešamās stiprības un stiepes īpašības. Uzņēmums darbojas Skandināvijas tirgū, Vācijā Izraēlā.  2016.gada oktobrī Altum piešķīra garantijas par kopējo summu 1,44m eiro uzņēmuma darbības attīstībai, kā arī uzņēmums piesaistīt</w:t>
            </w:r>
            <w:r w:rsidR="00253CB7">
              <w:rPr>
                <w:rFonts w:ascii="Candara" w:hAnsi="Candara"/>
                <w:sz w:val="18"/>
                <w:szCs w:val="18"/>
              </w:rPr>
              <w:t>as arī InnovFIN pretgarantijas.</w:t>
            </w:r>
          </w:p>
          <w:p w:rsidR="00921BC7" w:rsidRPr="00516C5D" w:rsidP="00361297" w14:paraId="4C3AA46A" w14:textId="77777777">
            <w:pPr>
              <w:spacing w:after="0" w:line="240" w:lineRule="auto"/>
              <w:jc w:val="both"/>
              <w:rPr>
                <w:rFonts w:ascii="Candara" w:hAnsi="Candara"/>
                <w:sz w:val="18"/>
                <w:szCs w:val="18"/>
              </w:rPr>
            </w:pPr>
            <w:r w:rsidRPr="00516C5D">
              <w:rPr>
                <w:rFonts w:ascii="Candara" w:hAnsi="Candara"/>
                <w:b/>
                <w:sz w:val="18"/>
                <w:szCs w:val="18"/>
              </w:rPr>
              <w:t>AS HansaMatrix</w:t>
            </w:r>
            <w:r w:rsidRPr="00516C5D">
              <w:rPr>
                <w:rFonts w:ascii="Candara" w:hAnsi="Candara"/>
                <w:sz w:val="18"/>
                <w:szCs w:val="18"/>
              </w:rPr>
              <w:t xml:space="preserve"> veic jaunu elektronisko produktu un sistēmu izstrādi, industrializāciju un pilnu ražošanas pakalpojumu, datu tīklu iekārtu, lietu interneta (Internet of Things), industriālo sistēmu un citos augstas pievienotās vērtības tirgus segmentos. Ir viens no nozares vadošajiem Baltijas - Ziemeļvalstu ražotājiem. 2016.gada decembrī Altum piešķīra garantijas par kopējo summu 1,2m eiro jaunas ražotnes izveidošanai Ogrē. Piesaistīt</w:t>
            </w:r>
            <w:r w:rsidR="00253CB7">
              <w:rPr>
                <w:rFonts w:ascii="Candara" w:hAnsi="Candara"/>
                <w:sz w:val="18"/>
                <w:szCs w:val="18"/>
              </w:rPr>
              <w:t>as arī InnovFIN pretgarantijas.</w:t>
            </w:r>
          </w:p>
          <w:p w:rsidR="00921BC7" w:rsidRPr="00516C5D" w:rsidP="00361297" w14:paraId="00C252D3" w14:textId="77777777">
            <w:pPr>
              <w:spacing w:after="0" w:line="240" w:lineRule="auto"/>
              <w:jc w:val="both"/>
              <w:rPr>
                <w:rFonts w:ascii="Candara" w:hAnsi="Candara"/>
                <w:sz w:val="18"/>
                <w:szCs w:val="18"/>
              </w:rPr>
            </w:pPr>
            <w:r w:rsidRPr="00516C5D">
              <w:rPr>
                <w:rFonts w:ascii="Candara" w:hAnsi="Candara"/>
                <w:b/>
                <w:sz w:val="18"/>
                <w:szCs w:val="18"/>
              </w:rPr>
              <w:t>Squalio.</w:t>
            </w:r>
            <w:r w:rsidRPr="00516C5D">
              <w:rPr>
                <w:rFonts w:ascii="Candara" w:hAnsi="Candara"/>
                <w:sz w:val="18"/>
                <w:szCs w:val="18"/>
              </w:rPr>
              <w:t xml:space="preserve"> IT risinājumu un pakalpojumu uzņēmums “Squalio” ir piesaistījis bankas Citadele finansējumu </w:t>
            </w:r>
            <w:r>
              <w:rPr>
                <w:rFonts w:ascii="Candara" w:hAnsi="Candara"/>
                <w:sz w:val="18"/>
                <w:szCs w:val="18"/>
              </w:rPr>
              <w:t>8 milj. euro</w:t>
            </w:r>
            <w:r w:rsidRPr="00516C5D">
              <w:rPr>
                <w:rFonts w:ascii="Candara" w:hAnsi="Candara"/>
                <w:sz w:val="18"/>
                <w:szCs w:val="18"/>
              </w:rPr>
              <w:t xml:space="preserve"> apmērā ar ALTUM garantiju trīs miljonu eiro apmērā. Uzņēmums plāno izvērst savu darbību Eiropā un Vidējos Austrumos, kā arī attīstīt jaunus pakalpojumus un produktu līnijas.</w:t>
            </w:r>
          </w:p>
          <w:p w:rsidR="00921BC7" w:rsidRPr="00516C5D" w:rsidP="00361297" w14:paraId="39F013BD" w14:textId="77777777">
            <w:pPr>
              <w:spacing w:after="0" w:line="240" w:lineRule="auto"/>
              <w:jc w:val="both"/>
              <w:rPr>
                <w:rFonts w:ascii="Candara" w:eastAsia="Times New Roman" w:hAnsi="Candara" w:cs="Times New Roman"/>
                <w:sz w:val="18"/>
                <w:szCs w:val="18"/>
              </w:rPr>
            </w:pPr>
            <w:r w:rsidRPr="00516C5D">
              <w:rPr>
                <w:rFonts w:ascii="Candara" w:hAnsi="Candara"/>
                <w:sz w:val="18"/>
                <w:szCs w:val="18"/>
              </w:rPr>
              <w:t>Daļa finansējuma tiks ieguldīta, lai “Squalio” attīstītu jau esošās deviņas filiāles Eiropas un Vidējo Austrumu valstīs. Bankas piešķirtie finanšu līdzekļi tiks ieguldīti uzņēmuma mākoņpakalpojumu risinājumu, licencēšanas pārvaldības kompetenču centru attīstībā, IT platformu nodrošināšanā un citos IT pakalpojumos, kas ir būtiski jaunu piedāvājumu izstrādāšanai un ieviešanai tirgū. Daļa no piesaistītā finansējuma uzņēmumam nepieciešama apgrozāmajiem līdzekļiem, kas tiks novirzīti dažādu projektu īstenošanai.</w:t>
            </w:r>
          </w:p>
        </w:tc>
      </w:tr>
    </w:tbl>
    <w:p w:rsidR="00AA4E91" w:rsidP="00361297" w14:paraId="7AEFB77E" w14:textId="77777777">
      <w:pPr>
        <w:widowControl w:val="0"/>
        <w:spacing w:after="0" w:line="240" w:lineRule="auto"/>
        <w:ind w:firstLine="426"/>
        <w:contextualSpacing/>
        <w:jc w:val="both"/>
        <w:rPr>
          <w:rFonts w:ascii="Candara" w:eastAsia="Times New Roman" w:hAnsi="Candara" w:cs="Times New Roman"/>
          <w:b/>
        </w:rPr>
      </w:pPr>
    </w:p>
    <w:p w:rsidR="00361297" w:rsidP="00361297" w14:paraId="595F45BF" w14:textId="77777777">
      <w:pPr>
        <w:widowControl w:val="0"/>
        <w:spacing w:after="0" w:line="240" w:lineRule="auto"/>
        <w:ind w:firstLine="426"/>
        <w:contextualSpacing/>
        <w:jc w:val="both"/>
        <w:rPr>
          <w:rFonts w:ascii="Candara" w:hAnsi="Candara" w:cs="Arial"/>
          <w:b/>
        </w:rPr>
      </w:pPr>
      <w:r w:rsidRPr="00516C5D">
        <w:rPr>
          <w:rFonts w:ascii="Candara" w:eastAsia="Times New Roman" w:hAnsi="Candara" w:cs="Times New Roman"/>
          <w:b/>
        </w:rPr>
        <w:t>Biznesa inkubatori.</w:t>
      </w:r>
      <w:r w:rsidRPr="00516C5D">
        <w:rPr>
          <w:rFonts w:ascii="Candara" w:hAnsi="Candara"/>
          <w:b/>
        </w:rPr>
        <w:t xml:space="preserve"> </w:t>
      </w:r>
      <w:r w:rsidRPr="00516C5D">
        <w:rPr>
          <w:rFonts w:ascii="Candara" w:eastAsia="Times New Roman" w:hAnsi="Candara" w:cs="Times New Roman"/>
        </w:rPr>
        <w:t xml:space="preserve">2016. gada 3. maijā apstiprināti Ministru kabineta noteikumi Nr. 279 “Darbības programmas "Izaugsme un nodarbinātība" 3.1.1. specifiskā atbalsta mērķa "Sekmēt MVK izveidi un attīstību, īpaši apstrādes rūpniecībā un RIS3 prioritārajās nozarēs" 3.1.1.6. pasākuma "Reģionālie biznesa inkubatori un radošo industriju inkubators" īstenošanas noteikumi” (biznesa inkubatoru programma).  Biznesa inkubatoru </w:t>
      </w:r>
      <w:r w:rsidR="00580EB3">
        <w:rPr>
          <w:rFonts w:ascii="Candara" w:eastAsia="Times New Roman" w:hAnsi="Candara" w:cs="Times New Roman"/>
        </w:rPr>
        <w:t>p</w:t>
      </w:r>
      <w:r w:rsidRPr="00516C5D">
        <w:rPr>
          <w:rFonts w:ascii="Candara" w:eastAsia="Times New Roman" w:hAnsi="Candara" w:cs="Times New Roman"/>
        </w:rPr>
        <w:t xml:space="preserve">rogramma tiek īstenota ar mērķi atbalstīt jaunu dzīvotspējīgu un konkurētspējīgu komersantu izveidi un attīstību Latvijas reģionos, nodrošinot gala labuma guvējiem uzņēmējdarbībai nepieciešamās konsultācijas, apmācības un pasākumus par vispārīgiem uzņēmējdarbības jautājumiem, mentoru atbalstu, vidi (telpas) un grantu līdzfinansējumu komersantu darbības izmaksām. Finansējuma saņēmējs un biznesa inkubatoru programmas īstenotājs ir Latvijas Investīciju un attīstības aģentūra. Biznesa inkubatoru programmas kopējais finansējums reģionālajiem biznesa inkubatoriem ir 25,76 milj. </w:t>
      </w:r>
      <w:r w:rsidRPr="00516C5D">
        <w:rPr>
          <w:rFonts w:ascii="Candara" w:eastAsia="Times New Roman" w:hAnsi="Candara" w:cs="Times New Roman"/>
          <w:i/>
        </w:rPr>
        <w:t>euro</w:t>
      </w:r>
      <w:r w:rsidRPr="00516C5D">
        <w:rPr>
          <w:rFonts w:ascii="Candara" w:eastAsia="Times New Roman" w:hAnsi="Candara" w:cs="Times New Roman"/>
        </w:rPr>
        <w:t>, radošo i</w:t>
      </w:r>
      <w:r w:rsidR="00580EB3">
        <w:rPr>
          <w:rFonts w:ascii="Candara" w:eastAsia="Times New Roman" w:hAnsi="Candara" w:cs="Times New Roman"/>
        </w:rPr>
        <w:t>n</w:t>
      </w:r>
      <w:r w:rsidRPr="00516C5D">
        <w:rPr>
          <w:rFonts w:ascii="Candara" w:eastAsia="Times New Roman" w:hAnsi="Candara" w:cs="Times New Roman"/>
        </w:rPr>
        <w:t xml:space="preserve">dustriju biznesa inkubatoram- 7,05 milj. </w:t>
      </w:r>
      <w:r w:rsidRPr="00516C5D">
        <w:rPr>
          <w:rFonts w:ascii="Candara" w:eastAsia="Times New Roman" w:hAnsi="Candara" w:cs="Times New Roman"/>
          <w:i/>
        </w:rPr>
        <w:t xml:space="preserve">euro. </w:t>
      </w:r>
      <w:r w:rsidRPr="00516C5D">
        <w:rPr>
          <w:rFonts w:ascii="Candara" w:eastAsia="Times New Roman" w:hAnsi="Candara" w:cs="Times New Roman"/>
        </w:rPr>
        <w:t>Kopā ir izveidotas 15 inkubācijas sniegšanas vienības, t.i. 9 nacionālas nozīmes attīstības centra pašvaldībās, 5 reģionālas nozīmes attīstības centra pašvaldībās un 1 radošo industriju biznesa inkubators Rīgā</w:t>
      </w:r>
      <w:r w:rsidR="00A65B70">
        <w:rPr>
          <w:rFonts w:ascii="Candara" w:eastAsia="Times New Roman" w:hAnsi="Candara" w:cs="Times New Roman"/>
        </w:rPr>
        <w:t xml:space="preserve"> (sk. 55</w:t>
      </w:r>
      <w:r>
        <w:rPr>
          <w:rFonts w:ascii="Candara" w:eastAsia="Times New Roman" w:hAnsi="Candara" w:cs="Times New Roman"/>
        </w:rPr>
        <w:t>. attēlu)</w:t>
      </w:r>
      <w:r w:rsidRPr="00516C5D">
        <w:rPr>
          <w:rFonts w:ascii="Candara" w:eastAsia="Times New Roman" w:hAnsi="Candara" w:cs="Times New Roman"/>
        </w:rPr>
        <w:t>. Biznesa inkubatoru</w:t>
      </w:r>
      <w:r>
        <w:rPr>
          <w:rFonts w:ascii="Candara" w:eastAsia="Times New Roman" w:hAnsi="Candara" w:cs="Times New Roman"/>
        </w:rPr>
        <w:br/>
      </w:r>
    </w:p>
    <w:p w:rsidR="00361297" w:rsidRPr="002D2715" w:rsidP="00361297" w14:paraId="37039CA9" w14:textId="77777777">
      <w:pPr>
        <w:widowControl w:val="0"/>
        <w:spacing w:after="0" w:line="240" w:lineRule="auto"/>
        <w:ind w:firstLine="426"/>
        <w:contextualSpacing/>
        <w:jc w:val="center"/>
        <w:rPr>
          <w:rFonts w:ascii="Candara" w:hAnsi="Candara" w:cs="Arial"/>
          <w:b/>
        </w:rPr>
      </w:pPr>
      <w:r w:rsidRPr="002D2715">
        <w:rPr>
          <w:rFonts w:ascii="Candara" w:hAnsi="Candara" w:cs="Arial"/>
          <w:b/>
        </w:rPr>
        <w:t>5</w:t>
      </w:r>
      <w:r>
        <w:rPr>
          <w:rFonts w:ascii="Candara" w:hAnsi="Candara" w:cs="Arial"/>
          <w:b/>
        </w:rPr>
        <w:t>5</w:t>
      </w:r>
      <w:r w:rsidRPr="002D2715">
        <w:rPr>
          <w:rFonts w:ascii="Candara" w:hAnsi="Candara" w:cs="Arial"/>
          <w:b/>
        </w:rPr>
        <w:t>.attēls. Biznesa inkubatoru reģionālā pārklājuma karte</w:t>
      </w:r>
    </w:p>
    <w:p w:rsidR="00361297" w:rsidRPr="00516C5D" w:rsidP="00361297" w14:paraId="209DC4EE" w14:textId="77777777">
      <w:pPr>
        <w:spacing w:after="120" w:line="240" w:lineRule="auto"/>
        <w:jc w:val="center"/>
        <w:rPr>
          <w:rFonts w:ascii="Candara" w:eastAsia="Times New Roman" w:hAnsi="Candara" w:cs="Times New Roman"/>
        </w:rPr>
      </w:pPr>
      <w:r>
        <w:rPr>
          <w:noProof/>
          <w:lang w:eastAsia="lv-LV"/>
        </w:rPr>
        <w:drawing>
          <wp:inline distT="0" distB="0" distL="0" distR="0">
            <wp:extent cx="2876550" cy="175100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96925" name=""/>
                    <pic:cNvPicPr/>
                  </pic:nvPicPr>
                  <pic:blipFill>
                    <a:blip xmlns:r="http://schemas.openxmlformats.org/officeDocument/2006/relationships" r:embed="rId97"/>
                    <a:stretch>
                      <a:fillRect/>
                    </a:stretch>
                  </pic:blipFill>
                  <pic:spPr>
                    <a:xfrm>
                      <a:off x="0" y="0"/>
                      <a:ext cx="2912848" cy="1773098"/>
                    </a:xfrm>
                    <a:prstGeom prst="rect">
                      <a:avLst/>
                    </a:prstGeom>
                  </pic:spPr>
                </pic:pic>
              </a:graphicData>
            </a:graphic>
          </wp:inline>
        </w:drawing>
      </w:r>
    </w:p>
    <w:p w:rsidR="00253CB7" w:rsidP="00361297" w14:paraId="5F98A784" w14:textId="77777777">
      <w:pPr>
        <w:spacing w:before="120" w:after="120" w:line="240" w:lineRule="auto"/>
        <w:jc w:val="both"/>
        <w:rPr>
          <w:rFonts w:ascii="Candara" w:eastAsia="Times New Roman" w:hAnsi="Candara" w:cs="Times New Roman"/>
        </w:rPr>
      </w:pPr>
      <w:r w:rsidRPr="00516C5D">
        <w:rPr>
          <w:rFonts w:ascii="Candara" w:eastAsia="Times New Roman" w:hAnsi="Candara" w:cs="Times New Roman"/>
        </w:rPr>
        <w:t>programma darbojas līdz 2023.gada 31.decembrim; šajā laikā ir jāsasniedz šādi rezultatīvie rādītāji - jaunizveidoto komersantu skaits, kuri saņem atbalstu - 148, komersantu skaits, kuri saņem atbalstu (grantu) - 200, radošo industriju jomas komersantu skaits, kuri saņem atbalstu - 40, nodarbinātības pieaugums atbalstītajos komersantos - 200 pilnas slodzes ekvivalenti, gala labuma guvēji, kuri saņem nefinansiālu atbalstu pirmsinkubācijas veidā - 180. Sākot ar 2016.gada 4.ceturksni biznesa inkubatori uzsāka darbu un pieteikumu saņemšanu. Uzņemšana pirmsinkubācijas atbalsta saņemšanai notiek nepārtraukti (atkarībā no attiecīgā biznesa inkubatora kapacitātes), uzņemšana inkubācijā t</w:t>
      </w:r>
      <w:r>
        <w:rPr>
          <w:rFonts w:ascii="Candara" w:eastAsia="Times New Roman" w:hAnsi="Candara" w:cs="Times New Roman"/>
        </w:rPr>
        <w:t>iek organizēta reizi ceturksnī.</w:t>
      </w:r>
    </w:p>
    <w:p w:rsidR="00702F71" w:rsidRPr="00C8558B" w:rsidP="00702F71" w14:paraId="7E5F509C"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702F71" w:rsidP="00702F71" w14:paraId="29A472D3" w14:textId="77777777">
      <w:pPr>
        <w:spacing w:before="60" w:after="0" w:line="240" w:lineRule="auto"/>
        <w:ind w:left="786"/>
        <w:contextualSpacing/>
        <w:jc w:val="both"/>
        <w:textAlignment w:val="baseline"/>
        <w:rPr>
          <w:rFonts w:ascii="Candara" w:eastAsia="Candara" w:hAnsi="Candara" w:cs="Arial"/>
          <w:highlight w:val="green"/>
        </w:rPr>
      </w:pPr>
    </w:p>
    <w:p w:rsidR="00702F71" w:rsidP="00702F71" w14:paraId="24D5CFC3"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702F71" w:rsidP="00702F71" w14:paraId="39902DC7"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145D30" w:rsidRPr="00FE3A76" w:rsidP="00145D30" w14:paraId="6B38FF23"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FE3A76">
        <w:rPr>
          <w:rFonts w:ascii="Candara" w:eastAsia="Times New Roman" w:hAnsi="Candara" w:cs="Times New Roman"/>
          <w:i/>
          <w:iCs/>
          <w:color w:val="000000"/>
          <w:sz w:val="20"/>
          <w:szCs w:val="20"/>
          <w:lang w:eastAsia="en-GB"/>
        </w:rPr>
        <w:t>Eiropas inovāciju rādītāju grupa (EIS pozīcija);</w:t>
      </w:r>
    </w:p>
    <w:p w:rsidR="00145D30" w:rsidRPr="00FE3A76" w:rsidP="00145D30" w14:paraId="04A0C560"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FE3A76">
        <w:rPr>
          <w:rFonts w:ascii="Candara" w:eastAsia="Times New Roman" w:hAnsi="Candara" w:cs="Times New Roman"/>
          <w:i/>
          <w:iCs/>
          <w:color w:val="000000"/>
          <w:sz w:val="20"/>
          <w:szCs w:val="20"/>
          <w:lang w:eastAsia="en-GB"/>
        </w:rPr>
        <w:t>Ieguldījumi P&amp;A 1.5% no IKP;</w:t>
      </w:r>
    </w:p>
    <w:p w:rsidR="00145D30" w:rsidRPr="00FE3A76" w:rsidP="00145D30" w14:paraId="26C09778"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FE3A76">
        <w:rPr>
          <w:rFonts w:ascii="Candara" w:eastAsia="Times New Roman" w:hAnsi="Candara" w:cs="Times New Roman"/>
          <w:i/>
          <w:iCs/>
          <w:color w:val="000000"/>
          <w:sz w:val="20"/>
          <w:szCs w:val="20"/>
          <w:lang w:eastAsia="en-GB"/>
        </w:rPr>
        <w:t>Produktivitāte apstrādes rūpniecībā;</w:t>
      </w:r>
    </w:p>
    <w:p w:rsidR="00145D30" w:rsidRPr="00FE3A76" w:rsidP="00145D30" w14:paraId="457F94C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FE3A76">
        <w:rPr>
          <w:rFonts w:ascii="Candara" w:eastAsia="Times New Roman" w:hAnsi="Candara" w:cs="Times New Roman"/>
          <w:i/>
          <w:iCs/>
          <w:color w:val="000000"/>
          <w:sz w:val="20"/>
          <w:szCs w:val="20"/>
          <w:lang w:eastAsia="en-GB"/>
        </w:rPr>
        <w:t>Privātā sektora ieguldījumu proporcionāls pieaugums P&amp;A;</w:t>
      </w:r>
    </w:p>
    <w:p w:rsidR="00145D30" w:rsidRPr="00FE3A76" w:rsidP="00145D30" w14:paraId="4A7BB3B8"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FE3A76">
        <w:rPr>
          <w:rFonts w:ascii="Candara" w:eastAsia="Times New Roman" w:hAnsi="Candara" w:cs="Times New Roman"/>
          <w:i/>
          <w:iCs/>
          <w:color w:val="000000"/>
          <w:sz w:val="20"/>
          <w:szCs w:val="20"/>
          <w:lang w:eastAsia="en-GB"/>
        </w:rPr>
        <w:t>Inovatīvo uzņēmumu īpatsvars;</w:t>
      </w:r>
    </w:p>
    <w:p w:rsidR="00145D30" w:rsidRPr="00FE3A76" w:rsidP="00145D30" w14:paraId="06AA6560"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FE3A76">
        <w:rPr>
          <w:rFonts w:ascii="Candara" w:eastAsia="Times New Roman" w:hAnsi="Candara" w:cs="Times New Roman"/>
          <w:i/>
          <w:iCs/>
          <w:color w:val="000000"/>
          <w:sz w:val="20"/>
          <w:szCs w:val="20"/>
          <w:lang w:eastAsia="en-GB"/>
        </w:rPr>
        <w:t>Apstrādes rūpniecības īpatsvars IKP un tās produktivitātes pieaugums;</w:t>
      </w:r>
    </w:p>
    <w:p w:rsidR="00145D30" w:rsidRPr="00FE3A76" w:rsidP="00145D30" w14:paraId="51FFCAF2"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FE3A76">
        <w:rPr>
          <w:rFonts w:ascii="Candara" w:eastAsia="Times New Roman" w:hAnsi="Candara" w:cs="Times New Roman"/>
          <w:i/>
          <w:iCs/>
          <w:color w:val="000000"/>
          <w:sz w:val="20"/>
          <w:szCs w:val="20"/>
          <w:lang w:eastAsia="en-GB"/>
        </w:rPr>
        <w:t>Eksporta pieaugums;</w:t>
      </w:r>
    </w:p>
    <w:p w:rsidR="00702F71" w:rsidRPr="00C8558B" w:rsidP="00145D30" w14:paraId="5D199328" w14:textId="77777777">
      <w:pPr>
        <w:numPr>
          <w:ilvl w:val="0"/>
          <w:numId w:val="7"/>
        </w:numPr>
        <w:spacing w:before="60" w:after="0" w:line="240" w:lineRule="auto"/>
        <w:contextualSpacing/>
        <w:jc w:val="both"/>
        <w:textAlignment w:val="baseline"/>
        <w:rPr>
          <w:rFonts w:ascii="Candara" w:eastAsia="Times New Roman" w:hAnsi="Candara" w:cs="Times New Roman"/>
          <w:b/>
          <w:i/>
          <w:iCs/>
          <w:color w:val="000000"/>
          <w:sz w:val="20"/>
          <w:szCs w:val="20"/>
          <w:lang w:eastAsia="en-GB"/>
        </w:rPr>
      </w:pPr>
      <w:r w:rsidRPr="00FE3A76">
        <w:rPr>
          <w:rFonts w:ascii="Candara" w:eastAsia="Times New Roman" w:hAnsi="Candara" w:cs="Times New Roman"/>
          <w:i/>
          <w:iCs/>
          <w:color w:val="000000"/>
          <w:sz w:val="20"/>
          <w:szCs w:val="20"/>
          <w:lang w:eastAsia="en-GB"/>
        </w:rPr>
        <w:t>Augsto tehnoloģiju produktu īpatsvars Latvijas kopējā eksportā un augsto un</w:t>
      </w:r>
      <w:r>
        <w:rPr>
          <w:rFonts w:ascii="Candara" w:eastAsia="Times New Roman" w:hAnsi="Candara" w:cs="Times New Roman"/>
          <w:i/>
          <w:iCs/>
          <w:color w:val="000000"/>
          <w:sz w:val="20"/>
          <w:szCs w:val="20"/>
          <w:lang w:eastAsia="en-GB"/>
        </w:rPr>
        <w:t xml:space="preserve"> </w:t>
      </w:r>
      <w:r w:rsidRPr="00FE3A76">
        <w:rPr>
          <w:rFonts w:ascii="Candara" w:eastAsia="Times New Roman" w:hAnsi="Candara" w:cs="Times New Roman"/>
          <w:i/>
          <w:iCs/>
          <w:color w:val="000000"/>
          <w:sz w:val="20"/>
          <w:szCs w:val="20"/>
          <w:lang w:eastAsia="en-GB"/>
        </w:rPr>
        <w:t>vidēji augsto tehnoloģiju nozaru īpatsvars Latvijas preču eksportā;</w:t>
      </w:r>
    </w:p>
    <w:p w:rsidR="00702F71" w:rsidP="00702F71" w14:paraId="392F5F4A"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p>
    <w:p w:rsidR="00702F71" w:rsidRPr="00C8558B" w:rsidP="00702F71" w14:paraId="69677A17"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702F71" w:rsidRPr="00A641DE" w:rsidP="00702F71" w14:paraId="41C3A6E3"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Pr>
          <w:rFonts w:ascii="Candara" w:eastAsia="Candara" w:hAnsi="Candara" w:cs="Candara"/>
          <w:i/>
          <w:sz w:val="20"/>
          <w:szCs w:val="20"/>
        </w:rPr>
        <w:t>Jaunradītās darba vietas, t.sk. tās, kurās nodarbināti zinātniskie darbinieki publiskā sektorā/ uzņēmējdarbības sektorā;</w:t>
      </w:r>
    </w:p>
    <w:p w:rsidR="00702F71" w:rsidRPr="00CE69A8" w:rsidP="00702F71" w14:paraId="09E626D6"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pPr>
      <w:r>
        <w:rPr>
          <w:rFonts w:ascii="Candara" w:eastAsia="Times New Roman" w:hAnsi="Candara" w:cs="Times New Roman"/>
          <w:i/>
          <w:iCs/>
          <w:color w:val="000000"/>
          <w:sz w:val="20"/>
          <w:szCs w:val="20"/>
          <w:lang w:eastAsia="en-GB"/>
        </w:rPr>
        <w:t>Atbalstīto jaunizveidoto komersantu skaits</w:t>
      </w:r>
      <w:r w:rsidRPr="00C8558B">
        <w:rPr>
          <w:rFonts w:ascii="Candara" w:eastAsia="Times New Roman" w:hAnsi="Candara" w:cs="Times New Roman"/>
          <w:i/>
          <w:iCs/>
          <w:color w:val="000000"/>
          <w:sz w:val="20"/>
          <w:szCs w:val="20"/>
          <w:lang w:eastAsia="en-GB"/>
        </w:rPr>
        <w:t>;</w:t>
      </w:r>
    </w:p>
    <w:p w:rsidR="00702F71" w:rsidP="00702F71" w14:paraId="5D6CA772" w14:textId="77777777">
      <w:pPr>
        <w:spacing w:before="120" w:after="120" w:line="240" w:lineRule="auto"/>
        <w:ind w:firstLine="426"/>
        <w:jc w:val="both"/>
        <w:rPr>
          <w:rFonts w:ascii="Candara" w:eastAsia="Candara" w:hAnsi="Candara" w:cs="Candara"/>
        </w:rPr>
        <w:sectPr w:rsidSect="00A641DE">
          <w:type w:val="continuous"/>
          <w:pgSz w:w="11906" w:h="16838"/>
          <w:pgMar w:top="1134" w:right="1134" w:bottom="1134" w:left="1701" w:header="425" w:footer="193" w:gutter="0"/>
          <w:cols w:num="2" w:space="708"/>
          <w:titlePg/>
          <w:docGrid w:linePitch="360"/>
        </w:sectPr>
      </w:pPr>
    </w:p>
    <w:p w:rsidR="00AA4E91" w:rsidP="009F2C2C" w14:paraId="2C60BA19" w14:textId="77777777">
      <w:pPr>
        <w:spacing w:after="120" w:line="240" w:lineRule="auto"/>
        <w:ind w:firstLine="426"/>
        <w:jc w:val="both"/>
        <w:rPr>
          <w:rFonts w:ascii="Candara" w:eastAsia="Times New Roman" w:hAnsi="Candara" w:cs="Times New Roman"/>
          <w:b/>
        </w:rPr>
      </w:pPr>
    </w:p>
    <w:p w:rsidR="00921BC7" w:rsidP="009F2C2C" w14:paraId="15D02A53" w14:textId="77777777">
      <w:pPr>
        <w:spacing w:after="120" w:line="240" w:lineRule="auto"/>
        <w:ind w:firstLine="426"/>
        <w:jc w:val="both"/>
        <w:rPr>
          <w:rFonts w:ascii="Candara" w:eastAsia="Times New Roman" w:hAnsi="Candara" w:cs="Times New Roman"/>
        </w:rPr>
      </w:pPr>
      <w:r w:rsidRPr="00516C5D">
        <w:rPr>
          <w:rFonts w:ascii="Candara" w:eastAsia="Times New Roman" w:hAnsi="Candara" w:cs="Times New Roman"/>
          <w:b/>
        </w:rPr>
        <w:t>Industriālās teritorijas.</w:t>
      </w:r>
      <w:r w:rsidRPr="00516C5D">
        <w:rPr>
          <w:rFonts w:ascii="Candara" w:eastAsia="Times New Roman" w:hAnsi="Candara" w:cs="Times New Roman"/>
        </w:rPr>
        <w:t xml:space="preserve"> </w:t>
      </w:r>
      <w:r>
        <w:rPr>
          <w:rFonts w:ascii="Candara" w:eastAsia="Times New Roman" w:hAnsi="Candara" w:cs="Times New Roman"/>
        </w:rPr>
        <w:t>2016.gada 12.aprīlī apstiprināti Ministru k</w:t>
      </w:r>
      <w:r w:rsidRPr="00516C5D">
        <w:rPr>
          <w:rFonts w:ascii="Candara" w:eastAsia="Times New Roman" w:hAnsi="Candara" w:cs="Times New Roman"/>
        </w:rPr>
        <w:t>abineta noteikumi Nr.227 “Darbības programmas „Izaugsme un nodarbinātība” 3.1.1.specifiskā atbalsta mērķa „Sekmēt MVK izveidi un attīstību, īpaši apstrādes rūpniecībā un RIS3 prioritārajās nozarē”” 3.1.1.5.pasākuma „Atbalsts ieguldījumiem ražošanas telpu un infrastruktūras izveidei vai rekonstrukcijai” īstenošanas noteikumi”. Ražošanas telpu un industriālo teritoriju attīstības programmas mērķis ir veicināt apstrādes rūpniecības komersantu paplašināšanos un jaunu komersantu veidošanos, atbalstot industriālo telpu izveidi reģionos. Programmas mērķa grupa ir sīkie (mikro), mazie un vidējie komersanti (turpmāk - MVK), saskaņā ar Komisijas Regulas Nr. 651/2014 1.pielikumu, kas veic saimniecisko darbību apstrādes rūpniecības nozarēs (saskaņā ar NACE 2. red. C sadaļu "Apstrādes rūpniecība"). Finansējumu programmas ietvaros var saņemt apstrādes rūpniecības MVK un ostu pārvaldes, nodibinājumi, lielie komersanti (industriālo teritoriju operatori). Ražošanas telpu un industriālo teritoriju attīstības programmas plānotais ERAF finansējums ir 24,8 milj.</w:t>
      </w:r>
      <w:r>
        <w:rPr>
          <w:rFonts w:ascii="Candara" w:eastAsia="Times New Roman" w:hAnsi="Candara" w:cs="Times New Roman"/>
        </w:rPr>
        <w:t xml:space="preserve"> </w:t>
      </w:r>
      <w:r w:rsidRPr="00516C5D">
        <w:rPr>
          <w:rFonts w:ascii="Candara" w:eastAsia="Times New Roman" w:hAnsi="Candara" w:cs="Times New Roman"/>
          <w:i/>
        </w:rPr>
        <w:t>euro</w:t>
      </w:r>
      <w:r w:rsidRPr="00516C5D">
        <w:rPr>
          <w:rFonts w:ascii="Candara" w:eastAsia="Times New Roman" w:hAnsi="Candara" w:cs="Times New Roman"/>
        </w:rPr>
        <w:t>, kurš sadalīts vienlīdzīgās daļās starp pieciem plānošanas reģioniem, izņemot Rīgas pilsētu, katram reģionam - 4,6 milj.</w:t>
      </w:r>
      <w:r>
        <w:rPr>
          <w:rFonts w:ascii="Candara" w:eastAsia="Times New Roman" w:hAnsi="Candara" w:cs="Times New Roman"/>
        </w:rPr>
        <w:t xml:space="preserve"> </w:t>
      </w:r>
      <w:r w:rsidRPr="00516C5D">
        <w:rPr>
          <w:rFonts w:ascii="Candara" w:eastAsia="Times New Roman" w:hAnsi="Candara" w:cs="Times New Roman"/>
          <w:i/>
        </w:rPr>
        <w:t xml:space="preserve">euro </w:t>
      </w:r>
      <w:r w:rsidRPr="00516C5D">
        <w:rPr>
          <w:rFonts w:ascii="Candara" w:eastAsia="Times New Roman" w:hAnsi="Candara" w:cs="Times New Roman"/>
        </w:rPr>
        <w:t xml:space="preserve">un vienam projekta iesniegumam maksimālais pieejamais ERAF finansējuma apmērs 1,1 milj. </w:t>
      </w:r>
      <w:r w:rsidRPr="00516C5D">
        <w:rPr>
          <w:rFonts w:ascii="Candara" w:eastAsia="Times New Roman" w:hAnsi="Candara" w:cs="Times New Roman"/>
          <w:i/>
        </w:rPr>
        <w:t>euro</w:t>
      </w:r>
      <w:r w:rsidRPr="00516C5D">
        <w:rPr>
          <w:rFonts w:ascii="Candara" w:eastAsia="Times New Roman" w:hAnsi="Candara" w:cs="Times New Roman"/>
        </w:rPr>
        <w:t>. Programmas ietvaros finansējuma saņēmējiem ir jānodrošina privātais līdzfinansējums vismaz 21,7 milj.</w:t>
      </w:r>
      <w:r>
        <w:rPr>
          <w:rFonts w:ascii="Candara" w:eastAsia="Times New Roman" w:hAnsi="Candara" w:cs="Times New Roman"/>
        </w:rPr>
        <w:t xml:space="preserve"> </w:t>
      </w:r>
      <w:r w:rsidRPr="00516C5D">
        <w:rPr>
          <w:rFonts w:ascii="Candara" w:eastAsia="Times New Roman" w:hAnsi="Candara" w:cs="Times New Roman"/>
        </w:rPr>
        <w:t xml:space="preserve">euro apmērā. Līdz 2023.gada 31.decembrim ir jāsasniedz šādi uzraudzības rādītāji: 20 komersanti, kas saņēmuši atbalstu (grantu); privātais finansējums, kas piesaistīts publiskajam finansējumam, kas ir granti, – 21 750 000 </w:t>
      </w:r>
      <w:r w:rsidRPr="00516C5D">
        <w:rPr>
          <w:rFonts w:ascii="Candara" w:eastAsia="Times New Roman" w:hAnsi="Candara" w:cs="Times New Roman"/>
          <w:i/>
        </w:rPr>
        <w:t>euro</w:t>
      </w:r>
      <w:r w:rsidRPr="00516C5D">
        <w:rPr>
          <w:rFonts w:ascii="Candara" w:eastAsia="Times New Roman" w:hAnsi="Candara" w:cs="Times New Roman"/>
        </w:rPr>
        <w:t>; nodarbinātības pieaugums komersantos, kuri guvuši labumu no investīcijām, – 467 (</w:t>
      </w:r>
      <w:r w:rsidR="009E6743">
        <w:rPr>
          <w:rFonts w:ascii="Candara" w:eastAsia="Times New Roman" w:hAnsi="Candara" w:cs="Times New Roman"/>
        </w:rPr>
        <w:t>PLE</w:t>
      </w:r>
      <w:r w:rsidRPr="00516C5D">
        <w:rPr>
          <w:rFonts w:ascii="Candara" w:eastAsia="Times New Roman" w:hAnsi="Candara" w:cs="Times New Roman"/>
        </w:rPr>
        <w:t xml:space="preserve">). No 03.05.2016.-03.08.2016. notika projektu iesniegumu atlase un līdz 03.11.2016. notika projektu iesniegumu vērtēšana. Sadarbības </w:t>
      </w:r>
      <w:r w:rsidRPr="00516C5D">
        <w:rPr>
          <w:rFonts w:ascii="Candara" w:eastAsia="Times New Roman" w:hAnsi="Candara" w:cs="Times New Roman"/>
        </w:rPr>
        <w:t>iestādē tika iesniegti 77 projektu iesniegumi, no kuriem ir atbalstīti 39 projekta iesniegumi un noslēgti 39 līgumi ar finansējuma saņēmējiem par projektu īstenošanu. Līdz 30.04.2017. ir pabeigts viens projekts un finansējuma saņēmējs ir iesniedzis sadarbības iestādē noslēguma maksājuma pieprasījumu. Līdz ar to ir uzsākusies 3.1.1.5.pasākuma uzraudzības rādītāju izpilde. Ir atbalstīts 1 komersants, kas saņēmis atbalstu (grantu), un projekta īstenošanas rezultātā tiek radītas jaunas 12 (</w:t>
      </w:r>
      <w:r w:rsidR="009E6743">
        <w:rPr>
          <w:rFonts w:ascii="Candara" w:eastAsia="Times New Roman" w:hAnsi="Candara" w:cs="Times New Roman"/>
        </w:rPr>
        <w:t>PLE</w:t>
      </w:r>
      <w:r w:rsidRPr="00516C5D">
        <w:rPr>
          <w:rFonts w:ascii="Candara" w:eastAsia="Times New Roman" w:hAnsi="Candara" w:cs="Times New Roman"/>
        </w:rPr>
        <w:t>) darba vietas. Kopējās pabeigtā projekta attiecināmās izmaksas - 1 milj</w:t>
      </w:r>
      <w:r>
        <w:rPr>
          <w:rFonts w:ascii="Candara" w:eastAsia="Times New Roman" w:hAnsi="Candara" w:cs="Times New Roman"/>
        </w:rPr>
        <w:t>.</w:t>
      </w:r>
      <w:r w:rsidRPr="00516C5D">
        <w:rPr>
          <w:rFonts w:ascii="Candara" w:eastAsia="Times New Roman" w:hAnsi="Candara" w:cs="Times New Roman"/>
        </w:rPr>
        <w:t xml:space="preserve"> </w:t>
      </w:r>
      <w:r w:rsidRPr="00516C5D">
        <w:rPr>
          <w:rFonts w:ascii="Candara" w:eastAsia="Times New Roman" w:hAnsi="Candara" w:cs="Times New Roman"/>
          <w:i/>
        </w:rPr>
        <w:t>euro</w:t>
      </w:r>
      <w:r w:rsidRPr="00516C5D">
        <w:rPr>
          <w:rFonts w:ascii="Candara" w:eastAsia="Times New Roman" w:hAnsi="Candara" w:cs="Times New Roman"/>
        </w:rPr>
        <w:t xml:space="preserve">, tai skaitā ERAF - 454 tūkst. </w:t>
      </w:r>
      <w:r w:rsidRPr="00516C5D">
        <w:rPr>
          <w:rFonts w:ascii="Candara" w:eastAsia="Times New Roman" w:hAnsi="Candara" w:cs="Times New Roman"/>
          <w:i/>
        </w:rPr>
        <w:t>euro</w:t>
      </w:r>
      <w:r w:rsidRPr="00516C5D">
        <w:rPr>
          <w:rFonts w:ascii="Candara" w:eastAsia="Times New Roman" w:hAnsi="Candara" w:cs="Times New Roman"/>
        </w:rPr>
        <w:t xml:space="preserve"> un privātais līdzfinansējums – 555 tūkst</w:t>
      </w:r>
      <w:r w:rsidRPr="00516C5D">
        <w:rPr>
          <w:rFonts w:ascii="Candara" w:eastAsia="Times New Roman" w:hAnsi="Candara" w:cs="Times New Roman"/>
          <w:i/>
        </w:rPr>
        <w:t>.</w:t>
      </w:r>
      <w:r>
        <w:rPr>
          <w:rFonts w:ascii="Candara" w:eastAsia="Times New Roman" w:hAnsi="Candara" w:cs="Times New Roman"/>
          <w:i/>
        </w:rPr>
        <w:t xml:space="preserve"> </w:t>
      </w:r>
      <w:r w:rsidRPr="00516C5D">
        <w:rPr>
          <w:rFonts w:ascii="Candara" w:eastAsia="Times New Roman" w:hAnsi="Candara" w:cs="Times New Roman"/>
          <w:i/>
        </w:rPr>
        <w:t>euro</w:t>
      </w:r>
      <w:r w:rsidRPr="00516C5D">
        <w:rPr>
          <w:rFonts w:ascii="Candara" w:eastAsia="Times New Roman" w:hAnsi="Candara" w:cs="Times New Roman"/>
        </w:rPr>
        <w:t>.</w:t>
      </w:r>
    </w:p>
    <w:p w:rsidR="00702F71" w:rsidRPr="00C8558B" w:rsidP="00702F71" w14:paraId="6DF47270"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702F71" w:rsidP="00702F71" w14:paraId="55D72D0B" w14:textId="77777777">
      <w:pPr>
        <w:spacing w:before="60" w:after="0" w:line="240" w:lineRule="auto"/>
        <w:ind w:left="786"/>
        <w:contextualSpacing/>
        <w:jc w:val="both"/>
        <w:textAlignment w:val="baseline"/>
        <w:rPr>
          <w:rFonts w:ascii="Candara" w:eastAsia="Candara" w:hAnsi="Candara" w:cs="Arial"/>
          <w:highlight w:val="green"/>
        </w:rPr>
      </w:pPr>
    </w:p>
    <w:p w:rsidR="00702F71" w:rsidP="00702F71" w14:paraId="3AE7F0AA"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702F71" w:rsidP="00702F71" w14:paraId="6F087249"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145D30" w:rsidRPr="00155E84" w:rsidP="00145D30" w14:paraId="32155421"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55E84">
        <w:rPr>
          <w:rFonts w:ascii="Candara" w:eastAsia="Times New Roman" w:hAnsi="Candara" w:cs="Times New Roman"/>
          <w:i/>
          <w:iCs/>
          <w:color w:val="000000"/>
          <w:sz w:val="20"/>
          <w:szCs w:val="20"/>
          <w:lang w:eastAsia="en-GB"/>
        </w:rPr>
        <w:t>Eiropas inovāciju rādītāju grupa (EIS pozīcija);</w:t>
      </w:r>
    </w:p>
    <w:p w:rsidR="00145D30" w:rsidRPr="00155E84" w:rsidP="00145D30" w14:paraId="77494855"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55E84">
        <w:rPr>
          <w:rFonts w:ascii="Candara" w:eastAsia="Times New Roman" w:hAnsi="Candara" w:cs="Times New Roman"/>
          <w:i/>
          <w:iCs/>
          <w:color w:val="000000"/>
          <w:sz w:val="20"/>
          <w:szCs w:val="20"/>
          <w:lang w:eastAsia="en-GB"/>
        </w:rPr>
        <w:t>Ieguldījumi P&amp;A 1.5% no IKP;</w:t>
      </w:r>
    </w:p>
    <w:p w:rsidR="00145D30" w:rsidRPr="00155E84" w:rsidP="00145D30" w14:paraId="5168D69F"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55E84">
        <w:rPr>
          <w:rFonts w:ascii="Candara" w:eastAsia="Times New Roman" w:hAnsi="Candara" w:cs="Times New Roman"/>
          <w:i/>
          <w:iCs/>
          <w:color w:val="000000"/>
          <w:sz w:val="20"/>
          <w:szCs w:val="20"/>
          <w:lang w:eastAsia="en-GB"/>
        </w:rPr>
        <w:t>Produktivitāte apstrādes rūpniecībā;</w:t>
      </w:r>
    </w:p>
    <w:p w:rsidR="00145D30" w:rsidRPr="00155E84" w:rsidP="00145D30" w14:paraId="3DFE616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55E84">
        <w:rPr>
          <w:rFonts w:ascii="Candara" w:eastAsia="Times New Roman" w:hAnsi="Candara" w:cs="Times New Roman"/>
          <w:i/>
          <w:iCs/>
          <w:color w:val="000000"/>
          <w:sz w:val="20"/>
          <w:szCs w:val="20"/>
          <w:lang w:eastAsia="en-GB"/>
        </w:rPr>
        <w:t>Inovatīvo uzņēmumu īpatsvars;</w:t>
      </w:r>
    </w:p>
    <w:p w:rsidR="00702F71" w:rsidRPr="003175E6" w:rsidP="00145D30" w14:paraId="62EBD634" w14:textId="77777777">
      <w:pPr>
        <w:numPr>
          <w:ilvl w:val="0"/>
          <w:numId w:val="7"/>
        </w:numPr>
        <w:spacing w:before="60" w:after="0" w:line="240" w:lineRule="auto"/>
        <w:contextualSpacing/>
        <w:jc w:val="both"/>
        <w:textAlignment w:val="baseline"/>
        <w:rPr>
          <w:rFonts w:ascii="Candara" w:eastAsia="Times New Roman" w:hAnsi="Candara" w:cs="Times New Roman"/>
          <w:b/>
          <w:i/>
          <w:iCs/>
          <w:color w:val="000000"/>
          <w:sz w:val="20"/>
          <w:szCs w:val="20"/>
          <w:lang w:eastAsia="en-GB"/>
        </w:rPr>
      </w:pPr>
      <w:r w:rsidRPr="00155E84">
        <w:rPr>
          <w:rFonts w:ascii="Candara" w:eastAsia="Times New Roman" w:hAnsi="Candara" w:cs="Times New Roman"/>
          <w:i/>
          <w:iCs/>
          <w:color w:val="000000"/>
          <w:sz w:val="20"/>
          <w:szCs w:val="20"/>
          <w:lang w:eastAsia="en-GB"/>
        </w:rPr>
        <w:t>Apstrādes rūpniecības īpatsvars IKP un tās produktivitātes pieaugums;</w:t>
      </w:r>
    </w:p>
    <w:p w:rsidR="00145D30" w:rsidRPr="00155E84" w:rsidP="00145D30" w14:paraId="0C8579A9"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55E84">
        <w:rPr>
          <w:rFonts w:ascii="Candara" w:eastAsia="Times New Roman" w:hAnsi="Candara" w:cs="Times New Roman"/>
          <w:i/>
          <w:iCs/>
          <w:color w:val="000000"/>
          <w:sz w:val="20"/>
          <w:szCs w:val="20"/>
          <w:lang w:eastAsia="en-GB"/>
        </w:rPr>
        <w:t>Eksporta pieaugums;</w:t>
      </w:r>
    </w:p>
    <w:p w:rsidR="00145D30" w:rsidRPr="003175E6" w:rsidP="00145D30" w14:paraId="77990A07"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55E84">
        <w:rPr>
          <w:rFonts w:ascii="Candara" w:eastAsia="Times New Roman" w:hAnsi="Candara" w:cs="Times New Roman"/>
          <w:i/>
          <w:iCs/>
          <w:color w:val="000000"/>
          <w:sz w:val="20"/>
          <w:szCs w:val="20"/>
          <w:lang w:eastAsia="en-GB"/>
        </w:rPr>
        <w:t>Augsto tehnoloģiju produktu īpatsvars Latvijas kopējā eksportā un augsto un vidēji augsto tehnoloģiju nozaru īpatsvars Latvijas preču eksportā;</w:t>
      </w:r>
    </w:p>
    <w:p w:rsidR="00702F71" w:rsidP="00702F71" w14:paraId="4522B33E"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p>
    <w:p w:rsidR="00702F71" w:rsidRPr="00C8558B" w:rsidP="00702F71" w14:paraId="5F431F5F"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702F71" w:rsidRPr="006B171E" w:rsidP="00702F71" w14:paraId="2D177527"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sectPr w:rsidSect="00702F71">
          <w:type w:val="continuous"/>
          <w:pgSz w:w="11906" w:h="16838"/>
          <w:pgMar w:top="1134" w:right="1134" w:bottom="1134" w:left="1701" w:header="425" w:footer="193" w:gutter="0"/>
          <w:cols w:num="2" w:space="708"/>
          <w:titlePg/>
          <w:docGrid w:linePitch="360"/>
        </w:sectPr>
      </w:pPr>
      <w:r>
        <w:rPr>
          <w:rFonts w:ascii="Candara" w:eastAsia="Times New Roman" w:hAnsi="Candara" w:cs="Times New Roman"/>
          <w:i/>
          <w:iCs/>
          <w:color w:val="000000"/>
          <w:sz w:val="20"/>
          <w:szCs w:val="20"/>
          <w:lang w:eastAsia="en-GB"/>
        </w:rPr>
        <w:t>Atbalstīto jaunizveidoto komersantu skaits</w:t>
      </w:r>
    </w:p>
    <w:p w:rsidR="00442B76" w:rsidRPr="00253CB7" w:rsidP="00442B76" w14:paraId="77F61362" w14:textId="77777777">
      <w:pPr>
        <w:widowControl w:val="0"/>
        <w:spacing w:after="0" w:line="240" w:lineRule="auto"/>
        <w:ind w:left="1440"/>
        <w:contextualSpacing/>
        <w:jc w:val="both"/>
        <w:rPr>
          <w:rFonts w:ascii="Candara" w:eastAsia="Times New Roman" w:hAnsi="Candara" w:cs="Times New Roman"/>
          <w:sz w:val="20"/>
          <w:szCs w:val="20"/>
        </w:rPr>
      </w:pPr>
    </w:p>
    <w:tbl>
      <w:tblPr>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87"/>
      </w:tblGrid>
      <w:tr w14:paraId="1A368596" w14:textId="77777777" w:rsidTr="00361297">
        <w:tblPrEx>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975"/>
        </w:trPr>
        <w:tc>
          <w:tcPr>
            <w:tcW w:w="9187" w:type="dxa"/>
            <w:shd w:val="clear" w:color="auto" w:fill="BDD7EE"/>
          </w:tcPr>
          <w:p w:rsidR="00921BC7" w:rsidRPr="00516C5D" w:rsidP="009E680D" w14:paraId="36529BFA" w14:textId="77777777">
            <w:pPr>
              <w:jc w:val="both"/>
              <w:rPr>
                <w:rFonts w:ascii="Candara" w:eastAsia="Times New Roman" w:hAnsi="Candara" w:cs="Times New Roman"/>
                <w:sz w:val="18"/>
                <w:szCs w:val="18"/>
              </w:rPr>
            </w:pPr>
            <w:r w:rsidRPr="00516C5D">
              <w:rPr>
                <w:rFonts w:ascii="Candara" w:eastAsia="Times New Roman" w:hAnsi="Candara" w:cs="Times New Roman"/>
                <w:b/>
                <w:sz w:val="18"/>
                <w:szCs w:val="18"/>
              </w:rPr>
              <w:t xml:space="preserve">SIA “Stiga RM” </w:t>
            </w:r>
            <w:r w:rsidRPr="00516C5D">
              <w:rPr>
                <w:rFonts w:ascii="Candara" w:eastAsia="Times New Roman" w:hAnsi="Candara" w:cs="Times New Roman"/>
                <w:sz w:val="18"/>
                <w:szCs w:val="18"/>
              </w:rPr>
              <w:t>ir uzbūvējusi jaunu ražotni Kuldīgā, kura tika atklāta 2017.gada februārī, tādējādi paplašinot darbību un ražošanā ieviešot jaunu produktu – laminēto bērza saplāksni. Uzņēmums plāno ar jauno ražotni palielināt gan eksporta apjomus, gan produktivitāti, un projekta īstenošanas rezultātā radīt jaunas darba vietas. SIA “Stiga RM”  projekts tika izstrādāts apstrādes rūpniecības nozarē NACE 2 kods: 16.21.“Finiera lokšņu un koka paneļu ražošana”, kas ir viena no RIS3 noteiktajām specializācijas jomām “Zināšanu-ietilpīga bio-ekonomika”. Projekts sniegs ieguldījumu RIS3 Tautsaimniecības transformācijas virziena Nr.1 “Ražošanas un eksporta struktūras maiņa tradicionālajās tautsaimniecības nozarēs” 1.prioritātei, tā kā Projekta ietvaros tiks nodrošināta efektīvāka pirmapstrādes produktu (bērza finierkluču) izmantošana augstākas pievienotās vērtības produktu (laminētā bērza saplākšņa) ražošanā.</w:t>
            </w:r>
          </w:p>
        </w:tc>
      </w:tr>
    </w:tbl>
    <w:p w:rsidR="00AA4E91" w:rsidP="006B171E" w14:paraId="38AF9513" w14:textId="77777777">
      <w:pPr>
        <w:spacing w:before="120" w:after="0" w:line="240" w:lineRule="auto"/>
        <w:ind w:firstLine="426"/>
        <w:jc w:val="both"/>
        <w:rPr>
          <w:rFonts w:ascii="Candara" w:eastAsia="Candara" w:hAnsi="Candara" w:cs="Candara"/>
          <w:i/>
          <w:sz w:val="20"/>
          <w:szCs w:val="20"/>
        </w:rPr>
      </w:pPr>
      <w:r w:rsidRPr="00516C5D">
        <w:rPr>
          <w:rFonts w:ascii="Candara" w:eastAsia="Times New Roman" w:hAnsi="Candara" w:cs="Times New Roman"/>
          <w:b/>
        </w:rPr>
        <w:t>Starptautiskās konkurētspējas veicināšana.</w:t>
      </w:r>
      <w:r w:rsidRPr="00516C5D">
        <w:rPr>
          <w:rFonts w:ascii="Candara" w:eastAsia="Times New Roman" w:hAnsi="Candara" w:cs="Times New Roman"/>
        </w:rPr>
        <w:t xml:space="preserve"> 2015.gada 1.decembrī ir apstiprināti Ministru Kabineta noteikumi Nr.678 “Darbības programmas „Izaugsme un nodarbinātība” 3.2.1.specifiskā atbalsta mērķa „Palielināt augstas pievienotās vērtības produktu un pakalpojumu eksporta proporciju” 3.2.1.2.pasākuma „Starptautiskās konkurētspējas veicināšana” īstenošanas noteikumi”. Programmas mērķis ir veicināt nozaru starptautisko konkurētspēju, atbalstot uzņēmējdarbību un ieiešanu ārvalstu tirgos, nodrošinot Latvijas ārvalstu ekonomisko pārstāvniecību darbību un attīstot Latvijas kā tūrisma galamērķa starptautisko konkurētspēju prioritārajos tūrisma sektoros (darījumu un pasākumu tūrisms, labsajūtas tūrisms). Programmas mērķa grupa un gala labuma guvēji ir  komersanti, kooperatīvās sabiedrības (tai skaitā lauksaimniecības pakalpojumu kooperatīvā sabiedrība vai atbilstīga lauksaimniecības pakalpojumu kooperatīvā sabiedrība), zemnieku vai zvejnieku saimniecības, individuālie uzņēmumi, biedrības, nodibinājumi, kuri atbilst sīko (mikro), mazo un vidējo saimnieciskās darbības subjektu (komercsabiedrību) statusam saskaņā ar Komisijas Regulas Nr. 651/2014 1.pielikumu, kā arī ostu pārvaldes, pašvaldības un plānošanas reģioni (projektos, kas neietver saimnieciskas darbības). Atbalsts paredzēts komersantiem ārējo tirgu apguvei, eksportspējas stiprināšanai, ražotņu un produktu atbilstības novērtēšanai, kā arī  LIAA ārvalstu ekonomisko pārstāvniecību darbības nodrošināšanai un Latvijas uzņēmumu starptautiskās konkurētspējas stiprināšanai, tai skaitā ārējā mārketinga pasākumu īstenošanai, preču un pakalpojumu eksporta veicināšanai, kā arī Latvijas kā tūrisma galamērķa starptautiskās konkurētspējas stiprināšanai prioritārajos tūrisma sektoros (darījumu un pasākumu tūrisms, labsajūtas tūrisms). Programmas plānotais kopējais attiecināmais finansējums ir 60,9 milj. </w:t>
      </w:r>
      <w:r w:rsidRPr="00516C5D">
        <w:rPr>
          <w:rFonts w:ascii="Candara" w:eastAsia="Times New Roman" w:hAnsi="Candara" w:cs="Times New Roman"/>
          <w:i/>
        </w:rPr>
        <w:t>euro</w:t>
      </w:r>
      <w:r w:rsidRPr="00516C5D">
        <w:rPr>
          <w:rFonts w:ascii="Candara" w:eastAsia="Times New Roman" w:hAnsi="Candara" w:cs="Times New Roman"/>
        </w:rPr>
        <w:t>, tai skaitā ERAF finansējums – 51,8 milj.</w:t>
      </w:r>
      <w:r>
        <w:rPr>
          <w:rFonts w:ascii="Candara" w:eastAsia="Times New Roman" w:hAnsi="Candara" w:cs="Times New Roman"/>
        </w:rPr>
        <w:t xml:space="preserve"> </w:t>
      </w:r>
      <w:r w:rsidRPr="00516C5D">
        <w:rPr>
          <w:rFonts w:ascii="Candara" w:eastAsia="Times New Roman" w:hAnsi="Candara" w:cs="Times New Roman"/>
          <w:i/>
        </w:rPr>
        <w:t>euro</w:t>
      </w:r>
      <w:r w:rsidRPr="00516C5D">
        <w:rPr>
          <w:rFonts w:ascii="Candara" w:eastAsia="Times New Roman" w:hAnsi="Candara" w:cs="Times New Roman"/>
        </w:rPr>
        <w:t>, valsts budžeta finansējums – 4milj.</w:t>
      </w:r>
      <w:r w:rsidRPr="00516C5D">
        <w:rPr>
          <w:rFonts w:ascii="Candara" w:eastAsia="Times New Roman" w:hAnsi="Candara" w:cs="Times New Roman"/>
          <w:i/>
        </w:rPr>
        <w:t>euro</w:t>
      </w:r>
      <w:r w:rsidRPr="00516C5D">
        <w:rPr>
          <w:rFonts w:ascii="Candara" w:eastAsia="Times New Roman" w:hAnsi="Candara" w:cs="Times New Roman"/>
        </w:rPr>
        <w:t xml:space="preserve"> un privātais, pašvaldību un plānošanas reģionu līdzfinansējums – 5,1 milj.</w:t>
      </w:r>
      <w:r>
        <w:rPr>
          <w:rFonts w:ascii="Candara" w:eastAsia="Times New Roman" w:hAnsi="Candara" w:cs="Times New Roman"/>
        </w:rPr>
        <w:t xml:space="preserve"> </w:t>
      </w:r>
      <w:r w:rsidRPr="00516C5D">
        <w:rPr>
          <w:rFonts w:ascii="Candara" w:eastAsia="Times New Roman" w:hAnsi="Candara" w:cs="Times New Roman"/>
          <w:i/>
        </w:rPr>
        <w:t>euro</w:t>
      </w:r>
      <w:r w:rsidRPr="00516C5D">
        <w:rPr>
          <w:rFonts w:ascii="Candara" w:eastAsia="Times New Roman" w:hAnsi="Candara" w:cs="Times New Roman"/>
        </w:rPr>
        <w:t xml:space="preserve">. Programmas ietvaros ir noslēgti 2 līgumi ar LIAA kā finansējuma saņēmēju: 1) 14.03.2016. "Starptautiskās konkurētspējas veicināšana" ar ID numuru 3.2.1.2/16/I/001; 2) 26.04.2016. "Latvijas starptautiskās konkurētspējas veicināšana tūrismā" ar ID numuru 3.2.1.2/16/I/002. Projektā "Starptautiskās konkurētspējas veicināšana" atbalsta sniegšana mērķa grupai ir uzsākta 15.03.2016; Projektā "Latvijas starptautiskās konkurētspējas veicināšana tūrismā" atbalsta sniegšana mērķa </w:t>
      </w:r>
      <w:r w:rsidRPr="00516C5D">
        <w:rPr>
          <w:rFonts w:ascii="Candara" w:eastAsia="Times New Roman" w:hAnsi="Candara" w:cs="Times New Roman"/>
        </w:rPr>
        <w:t>grupai ir uzsākta 02.05.2016. Līdz 30.04.2017. projekta Nr. 3.2.1.2/16/l/002 "Latvijas starptautiskās konkurētspējas veicināšana tūrismā" ietvaros noorganizēti 11 nacionālie stendi. Projekta ietvaros ir īstenotas 8 tūrisma mārketinga un reklāmas kampaņas; 61 žurnālistu, emuāristu (tīmekļa dienasgrāmatu rakstītāju) vizīte; 51 ārvalstīs reģistrētu tūrisma pakalpojumu komercsabiedrību pārstāvju, korporatīvo un darījumu pasākumu organizētāju iepazīšanās vizītes; nodrošināti 65 veidi tūrisma informācijas un mārketinga materiālu; īstenoti 199 Latvijas tūrisma publicitātes pasākumu un ārvalstu specializēto tūrisma veicināšanas pasākumi; 3 tūrisma tirgus pētījumi; 16 ārvalstu tūristu piesaistes pasākumi Latvijas novados un 11 darījumu un pasākumu tūrisma piesaistes pasākumi Latvijai. Projekta Nr.3.2.1.2/16/I/001 "Starptautiskās konkurētspējas veicināšana" ietvaros nodrošināta 20 LIAA pārstāvniecības 19 valstīs darbība (t.sk. līdz 30.03.2017. apstrādāti 913 eksporta projekti/pieprasījumi); noorganizēti 37 nacionālie stendi (piedalījās 278 mērķa grupas klienti); noorganizēti 42 semināri par ārējiem tirgiem un ārējās tirdzniecības jautājumiem (vairāk nekā 2000 dalībnieki); sniegts atbalsts dalībai 152 nozaru izstādēs (izņemot nacionālos stendus) ārvalstīs; noorganizētas 57 tirdzniecības misijas (t.sk.11 Latvijas augstu valsts amatpersonu vizītēs ārvalstīs), kurās piedalījās 484 komersanti; līdz 30.03.2017.sniegts konsultatīvs atbalsts - 1203 konsultācijas mērķa grupai par LIAA pakalpojumiem un atbalstu eksportam, kā arī 1417 konsultācijas par biznesa partneru meklēšanu); sniegts atbalsts mērķa grupas klientiem, atbalstot 15 komersantu dalību 10 starptautiskās izstādēs ārvalstīs. Noorganizēts starptautisks forums "Eksporta forums "Magnetic Latvija 2016", kā arī forums “Polaris 2016” (08.09.2016.). Noorganizēts biznesa forums 5.Centrālās un Austrumeiropas un Ķīnas premjerministru tikšanās laikā (16+1 ietvaros) (05.-06.11.2016.). Noorganizēts Mašīnbūves un metālapstrādes biznesa forums (Liepājā, 02.02.2017., vairāk kā 250 dalībnieki). Nodrošināts atbalsts 18 mērķa grupas klientiem ražotņu un produktu atbilstības novērtēšanai.</w:t>
      </w:r>
    </w:p>
    <w:p w:rsidR="00702F71" w:rsidRPr="00C8558B" w:rsidP="00702F71" w14:paraId="42F6BB9D" w14:textId="77777777">
      <w:pPr>
        <w:spacing w:before="120" w:after="0" w:line="240" w:lineRule="auto"/>
        <w:ind w:left="1134"/>
        <w:jc w:val="center"/>
        <w:rPr>
          <w:rFonts w:ascii="Candara" w:eastAsia="Times New Roman" w:hAnsi="Candara" w:cs="Times New Roman"/>
          <w:i/>
          <w:iCs/>
          <w:color w:val="000000"/>
          <w:sz w:val="20"/>
          <w:szCs w:val="20"/>
          <w:u w:val="single"/>
          <w:lang w:eastAsia="en-GB"/>
        </w:rPr>
      </w:pPr>
      <w:r w:rsidRPr="00C8558B">
        <w:rPr>
          <w:rFonts w:ascii="Candara" w:eastAsia="Times New Roman" w:hAnsi="Candara" w:cs="Times New Roman"/>
          <w:i/>
          <w:iCs/>
          <w:color w:val="000000"/>
          <w:sz w:val="20"/>
          <w:szCs w:val="20"/>
          <w:u w:val="single"/>
          <w:lang w:eastAsia="en-GB"/>
        </w:rPr>
        <w:t>Aktivitātei ir ietekme uz šādu RIS3 rādītāju sasniegšanu:</w:t>
      </w:r>
    </w:p>
    <w:p w:rsidR="00702F71" w:rsidP="00702F71" w14:paraId="0E885B57" w14:textId="77777777">
      <w:pPr>
        <w:spacing w:before="60" w:after="0" w:line="240" w:lineRule="auto"/>
        <w:ind w:left="786"/>
        <w:contextualSpacing/>
        <w:jc w:val="both"/>
        <w:textAlignment w:val="baseline"/>
        <w:rPr>
          <w:rFonts w:ascii="Candara" w:eastAsia="Candara" w:hAnsi="Candara" w:cs="Arial"/>
          <w:highlight w:val="green"/>
        </w:rPr>
      </w:pPr>
    </w:p>
    <w:p w:rsidR="00702F71" w:rsidP="00702F71" w14:paraId="2024E243" w14:textId="77777777">
      <w:pPr>
        <w:spacing w:before="60" w:after="0" w:line="240" w:lineRule="auto"/>
        <w:ind w:left="786"/>
        <w:contextualSpacing/>
        <w:jc w:val="both"/>
        <w:textAlignment w:val="baseline"/>
        <w:rPr>
          <w:rFonts w:ascii="Candara" w:eastAsia="Candara" w:hAnsi="Candara" w:cs="Arial"/>
          <w:highlight w:val="green"/>
        </w:rPr>
        <w:sectPr w:rsidSect="00161769">
          <w:type w:val="continuous"/>
          <w:pgSz w:w="11906" w:h="16838"/>
          <w:pgMar w:top="1134" w:right="1134" w:bottom="1134" w:left="1701" w:header="425" w:footer="193" w:gutter="0"/>
          <w:cols w:space="708"/>
          <w:titlePg/>
          <w:docGrid w:linePitch="360"/>
        </w:sectPr>
      </w:pPr>
    </w:p>
    <w:p w:rsidR="00702F71" w:rsidP="00702F71" w14:paraId="4208ED05" w14:textId="77777777">
      <w:pPr>
        <w:spacing w:before="60" w:after="0" w:line="240" w:lineRule="auto"/>
        <w:ind w:left="786"/>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mērķa sasniegšanas rādītāji:</w:t>
      </w:r>
    </w:p>
    <w:p w:rsidR="00145D30" w:rsidRPr="001728EF" w:rsidP="00145D30" w14:paraId="6B79B9FF"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728EF">
        <w:rPr>
          <w:rFonts w:ascii="Candara" w:eastAsia="Times New Roman" w:hAnsi="Candara" w:cs="Times New Roman"/>
          <w:i/>
          <w:iCs/>
          <w:color w:val="000000"/>
          <w:sz w:val="20"/>
          <w:szCs w:val="20"/>
          <w:lang w:eastAsia="en-GB"/>
        </w:rPr>
        <w:t>Inovatīvo uzņēmumu īpatsvars;</w:t>
      </w:r>
    </w:p>
    <w:p w:rsidR="00145D30" w:rsidRPr="001728EF" w:rsidP="00145D30" w14:paraId="37E15C08"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728EF">
        <w:rPr>
          <w:rFonts w:ascii="Candara" w:eastAsia="Times New Roman" w:hAnsi="Candara" w:cs="Times New Roman"/>
          <w:i/>
          <w:iCs/>
          <w:color w:val="000000"/>
          <w:sz w:val="20"/>
          <w:szCs w:val="20"/>
          <w:lang w:eastAsia="en-GB"/>
        </w:rPr>
        <w:t>Eksporta pieaugums;</w:t>
      </w:r>
    </w:p>
    <w:p w:rsidR="00702F71" w:rsidRPr="003175E6" w:rsidP="00145D30" w14:paraId="5B946410" w14:textId="77777777">
      <w:pPr>
        <w:numPr>
          <w:ilvl w:val="0"/>
          <w:numId w:val="7"/>
        </w:numPr>
        <w:spacing w:before="60" w:after="0" w:line="240" w:lineRule="auto"/>
        <w:contextualSpacing/>
        <w:jc w:val="both"/>
        <w:textAlignment w:val="baseline"/>
        <w:rPr>
          <w:rFonts w:ascii="Candara" w:eastAsia="Times New Roman" w:hAnsi="Candara" w:cs="Times New Roman"/>
          <w:i/>
          <w:iCs/>
          <w:color w:val="000000"/>
          <w:sz w:val="20"/>
          <w:szCs w:val="20"/>
          <w:lang w:eastAsia="en-GB"/>
        </w:rPr>
      </w:pPr>
      <w:r w:rsidRPr="001728EF">
        <w:rPr>
          <w:rFonts w:ascii="Candara" w:eastAsia="Times New Roman" w:hAnsi="Candara" w:cs="Times New Roman"/>
          <w:i/>
          <w:iCs/>
          <w:color w:val="000000"/>
          <w:sz w:val="20"/>
          <w:szCs w:val="20"/>
          <w:lang w:eastAsia="en-GB"/>
        </w:rPr>
        <w:t xml:space="preserve">Augsto tehnoloģiju produktu īpatsvars Latvijas kopējā eksportā un augsto un </w:t>
      </w:r>
      <w:r w:rsidRPr="001728EF">
        <w:rPr>
          <w:rFonts w:ascii="Candara" w:eastAsia="Times New Roman" w:hAnsi="Candara" w:cs="Times New Roman"/>
          <w:i/>
          <w:iCs/>
          <w:color w:val="000000"/>
          <w:sz w:val="20"/>
          <w:szCs w:val="20"/>
          <w:lang w:eastAsia="en-GB"/>
        </w:rPr>
        <w:t>vidēji augsto tehnoloģiju nozaru īpatsvars Latvijas preču eksportā;</w:t>
      </w:r>
    </w:p>
    <w:p w:rsidR="00702F71" w:rsidP="00702F71" w14:paraId="66CFACC0"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p>
    <w:p w:rsidR="00702F71" w:rsidRPr="00C8558B" w:rsidP="00702F71" w14:paraId="48233404" w14:textId="77777777">
      <w:pPr>
        <w:spacing w:before="120" w:after="0" w:line="240" w:lineRule="auto"/>
        <w:ind w:left="788"/>
        <w:contextualSpacing/>
        <w:jc w:val="both"/>
        <w:textAlignment w:val="baseline"/>
        <w:rPr>
          <w:rFonts w:ascii="Candara" w:eastAsia="Times New Roman" w:hAnsi="Candara" w:cs="Times New Roman"/>
          <w:b/>
          <w:i/>
          <w:iCs/>
          <w:color w:val="000000"/>
          <w:sz w:val="20"/>
          <w:szCs w:val="20"/>
          <w:lang w:eastAsia="en-GB"/>
        </w:rPr>
      </w:pPr>
      <w:r w:rsidRPr="00C8558B">
        <w:rPr>
          <w:rFonts w:ascii="Candara" w:eastAsia="Times New Roman" w:hAnsi="Candara" w:cs="Times New Roman"/>
          <w:b/>
          <w:i/>
          <w:iCs/>
          <w:color w:val="000000"/>
          <w:sz w:val="20"/>
          <w:szCs w:val="20"/>
          <w:lang w:eastAsia="en-GB"/>
        </w:rPr>
        <w:t>RIS3 mikro līmeņa rādītāji:</w:t>
      </w:r>
    </w:p>
    <w:p w:rsidR="00702F71" w:rsidRPr="002317D3" w:rsidP="00702F71" w14:paraId="098F575F" w14:textId="77777777">
      <w:pPr>
        <w:numPr>
          <w:ilvl w:val="0"/>
          <w:numId w:val="7"/>
        </w:numPr>
        <w:spacing w:before="60" w:after="0" w:line="240" w:lineRule="auto"/>
        <w:contextualSpacing/>
        <w:jc w:val="both"/>
        <w:textAlignment w:val="baseline"/>
        <w:rPr>
          <w:rFonts w:ascii="Arial" w:eastAsia="Times New Roman" w:hAnsi="Arial" w:cs="Arial"/>
          <w:i/>
          <w:iCs/>
          <w:color w:val="000000"/>
          <w:sz w:val="20"/>
          <w:szCs w:val="20"/>
          <w:lang w:eastAsia="en-GB"/>
        </w:rPr>
        <w:sectPr w:rsidSect="00702F71">
          <w:type w:val="continuous"/>
          <w:pgSz w:w="11906" w:h="16838"/>
          <w:pgMar w:top="1134" w:right="1134" w:bottom="1134" w:left="1701" w:header="425" w:footer="193" w:gutter="0"/>
          <w:cols w:num="2" w:space="708"/>
          <w:titlePg/>
          <w:docGrid w:linePitch="360"/>
        </w:sectPr>
      </w:pPr>
      <w:r>
        <w:rPr>
          <w:rFonts w:ascii="Candara" w:eastAsia="Times New Roman" w:hAnsi="Candara" w:cs="Times New Roman"/>
          <w:i/>
          <w:iCs/>
          <w:color w:val="000000"/>
          <w:sz w:val="20"/>
          <w:szCs w:val="20"/>
          <w:lang w:eastAsia="en-GB"/>
        </w:rPr>
        <w:t>Atbalstīto jaunizveidoto komersantu skaits</w:t>
      </w:r>
    </w:p>
    <w:p w:rsidR="00253CB7" w:rsidRPr="00253CB7" w:rsidP="00702F71" w14:paraId="5B1789CA" w14:textId="77777777">
      <w:pPr>
        <w:widowControl w:val="0"/>
        <w:spacing w:after="120" w:line="240" w:lineRule="auto"/>
        <w:ind w:left="568"/>
        <w:jc w:val="both"/>
        <w:rPr>
          <w:rFonts w:ascii="Candara" w:hAnsi="Candara"/>
        </w:rPr>
      </w:pPr>
    </w:p>
    <w:tbl>
      <w:tblPr>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87"/>
      </w:tblGrid>
      <w:tr w14:paraId="7C49D844" w14:textId="77777777" w:rsidTr="00361297">
        <w:tblPrEx>
          <w:tblW w:w="918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924"/>
        </w:trPr>
        <w:tc>
          <w:tcPr>
            <w:tcW w:w="9187" w:type="dxa"/>
            <w:shd w:val="clear" w:color="auto" w:fill="BDD7EE"/>
          </w:tcPr>
          <w:p w:rsidR="00921BC7" w:rsidRPr="007030FD" w:rsidP="009F2C2C" w14:paraId="310DDFA7" w14:textId="77777777">
            <w:pPr>
              <w:spacing w:after="0" w:line="240" w:lineRule="auto"/>
              <w:jc w:val="both"/>
              <w:rPr>
                <w:rFonts w:ascii="Candara" w:eastAsia="Candara" w:hAnsi="Candara" w:cs="Candara"/>
                <w:sz w:val="18"/>
                <w:szCs w:val="18"/>
              </w:rPr>
            </w:pPr>
            <w:r w:rsidRPr="007030FD">
              <w:rPr>
                <w:rFonts w:ascii="Candara" w:eastAsia="Candara" w:hAnsi="Candara" w:cs="Candara"/>
                <w:b/>
                <w:sz w:val="18"/>
                <w:szCs w:val="18"/>
              </w:rPr>
              <w:t>SIA “Rāmkalni Nordeco”</w:t>
            </w:r>
            <w:r w:rsidRPr="007030FD">
              <w:rPr>
                <w:rFonts w:ascii="Candara" w:eastAsia="Candara" w:hAnsi="Candara" w:cs="Candara"/>
                <w:sz w:val="18"/>
                <w:szCs w:val="18"/>
              </w:rPr>
              <w:t xml:space="preserve"> programmas ietvaros ir  piedalījušies 3 nacionālajos stendos starptautiskās izstādēs ārvalstīs, 10 starptautautiskās izstādēs ar individuālo stendu, devusies LIAA organizētajā tirdzniecības misija uz Kīnu, kā arī  ieguvusi produktu atbilstības sertifikatus - FSSC 20200 sertifikāts, BRC sertifikāts, un veiksmīgi uzsākusi savas produkcijas eksportu uz Ķīnu.</w:t>
            </w:r>
          </w:p>
        </w:tc>
      </w:tr>
    </w:tbl>
    <w:p w:rsidR="009A650D" w:rsidP="009F2C2C" w14:paraId="37FA974C" w14:textId="77777777">
      <w:pPr>
        <w:spacing w:before="120" w:after="0" w:line="240" w:lineRule="auto"/>
        <w:ind w:firstLine="426"/>
        <w:jc w:val="both"/>
        <w:rPr>
          <w:rFonts w:ascii="Candara" w:eastAsia="Candara" w:hAnsi="Candara" w:cs="Candara"/>
        </w:rPr>
      </w:pPr>
      <w:r w:rsidRPr="00516C5D">
        <w:rPr>
          <w:rFonts w:ascii="Candara" w:eastAsia="Candara" w:hAnsi="Candara" w:cs="Candara"/>
          <w:b/>
        </w:rPr>
        <w:t>Atbalsts “zaļajai” inovācijai.</w:t>
      </w:r>
      <w:r w:rsidRPr="00516C5D">
        <w:rPr>
          <w:rFonts w:ascii="Candara" w:eastAsia="Candara" w:hAnsi="Candara" w:cs="Candara"/>
        </w:rPr>
        <w:t xml:space="preserve"> EM kopš 2014.gada turpinājusi īstenot Norvēģijas finanšu instrumenta programmu “Inovācijas “zaļās” ražošanas jomā”. Programmas ietvaros atbalsts sniegts pirmsinkubācijas un inkubācijas pakalpojumiem, nodrošināts atbalsts jaunu vai būtiski uzlabotu vides produktu tehnoloģiju izstrādei un komercializēšanai, kā arī jaunu ražošanas iekārtu iegādei. Līdz 2017.gada 30.aprīlim Zaļo tehnoloģiju inkubatorā 152 komandas saņēmušas vai turpina saņemt pirmsinkubācijas pakalpojumus, kā arī turpinājās inkubācijas pakalpojumu sniegša</w:t>
      </w:r>
      <w:r w:rsidR="006F24AE">
        <w:rPr>
          <w:rFonts w:ascii="Candara" w:eastAsia="Candara" w:hAnsi="Candara" w:cs="Candara"/>
        </w:rPr>
        <w:t xml:space="preserve">na. Papildus īstenotajā </w:t>
      </w:r>
      <w:r w:rsidRPr="00516C5D">
        <w:rPr>
          <w:rFonts w:ascii="Candara" w:eastAsia="Candara" w:hAnsi="Candara" w:cs="Candara"/>
        </w:rPr>
        <w:t>neliela apjoma grantu shēmā 23 projektu īstenotājiem piešķirts kopējais programmas līdzfinansējums 2,4 milj. euro apmērā. Atklātā konkursa ietvaros atbalstītajiem 13 uzņēmumi īsteno projektus par kopējo programm</w:t>
      </w:r>
      <w:r>
        <w:rPr>
          <w:rFonts w:ascii="Candara" w:eastAsia="Candara" w:hAnsi="Candara" w:cs="Candara"/>
        </w:rPr>
        <w:t>as līdzfinansējumu 5 milj. EUR.</w:t>
      </w:r>
    </w:p>
    <w:p w:rsidR="009F2C2C" w14:paraId="238B1C59" w14:textId="77777777">
      <w:pPr>
        <w:rPr>
          <w:rFonts w:ascii="Candara" w:eastAsia="Candara" w:hAnsi="Candara" w:cs="Candara"/>
        </w:rPr>
      </w:pPr>
      <w:r>
        <w:rPr>
          <w:rFonts w:ascii="Candara" w:eastAsia="Candara" w:hAnsi="Candara" w:cs="Candara"/>
        </w:rPr>
        <w:br w:type="page"/>
      </w:r>
    </w:p>
    <w:p w:rsidR="00A31C76" w:rsidRPr="00A31C76" w:rsidP="00A31C76" w14:paraId="2ACB3EBA" w14:textId="77777777">
      <w:pPr>
        <w:snapToGrid w:val="0"/>
        <w:spacing w:after="120" w:line="240" w:lineRule="auto"/>
        <w:jc w:val="both"/>
        <w:rPr>
          <w:rFonts w:ascii="Candara" w:eastAsia="Candara" w:hAnsi="Candara" w:cs="Candara"/>
          <w:b/>
        </w:rPr>
      </w:pPr>
      <w:r>
        <w:rPr>
          <w:rFonts w:ascii="Candara" w:eastAsia="Candara" w:hAnsi="Candara" w:cs="Candara"/>
          <w:b/>
        </w:rPr>
        <w:t>EKOSISTĒMAS</w:t>
      </w:r>
      <w:r w:rsidRPr="00A31C76">
        <w:rPr>
          <w:rFonts w:ascii="Candara" w:eastAsia="Candara" w:hAnsi="Candara" w:cs="Candara"/>
          <w:b/>
        </w:rPr>
        <w:t xml:space="preserve"> PILNVEIDE</w:t>
      </w:r>
    </w:p>
    <w:p w:rsidR="00A31C76" w:rsidRPr="00A31C76" w:rsidP="009F2C2C" w14:paraId="5232287B" w14:textId="77777777">
      <w:pPr>
        <w:snapToGrid w:val="0"/>
        <w:spacing w:after="120" w:line="240" w:lineRule="auto"/>
        <w:ind w:firstLine="426"/>
        <w:jc w:val="both"/>
        <w:rPr>
          <w:rFonts w:ascii="Candara" w:eastAsia="Candara" w:hAnsi="Candara" w:cs="Candara"/>
        </w:rPr>
      </w:pPr>
      <w:r>
        <w:rPr>
          <w:rFonts w:ascii="Candara" w:eastAsia="Candara" w:hAnsi="Candara" w:cs="Candara"/>
        </w:rPr>
        <w:t>Papildu</w:t>
      </w:r>
      <w:r w:rsidRPr="00516C5D">
        <w:rPr>
          <w:rFonts w:ascii="Candara" w:eastAsia="Candara" w:hAnsi="Candara" w:cs="Candara"/>
        </w:rPr>
        <w:t xml:space="preserve"> ES struktūrfondu atbalsta aktivitātēm, kopš 201</w:t>
      </w:r>
      <w:r>
        <w:rPr>
          <w:rFonts w:ascii="Candara" w:eastAsia="Candara" w:hAnsi="Candara" w:cs="Candara"/>
        </w:rPr>
        <w:t>4</w:t>
      </w:r>
      <w:r w:rsidRPr="00516C5D">
        <w:rPr>
          <w:rFonts w:ascii="Candara" w:eastAsia="Candara" w:hAnsi="Candara" w:cs="Candara"/>
        </w:rPr>
        <w:t>.gada īstenoti dažādi pasākumi, kas nodrošina RIS3 ekosistēmas pilnveidošanu un tautsaimniecības transformāciju virzībā uz konkurētspējīgu, zināšanām balstītu ekonomiku</w:t>
      </w:r>
      <w:r>
        <w:rPr>
          <w:rFonts w:ascii="Candara" w:eastAsia="Candara" w:hAnsi="Candara" w:cs="Candara"/>
        </w:rPr>
        <w:t>.</w:t>
      </w:r>
    </w:p>
    <w:p w:rsidR="00A31C76" w:rsidP="00A31C76" w14:paraId="6947D863" w14:textId="77777777">
      <w:pPr>
        <w:snapToGrid w:val="0"/>
        <w:spacing w:after="120" w:line="240" w:lineRule="auto"/>
        <w:jc w:val="center"/>
        <w:rPr>
          <w:rFonts w:ascii="Candara" w:eastAsia="SimSun" w:hAnsi="Candara" w:cs="Times New Roman"/>
          <w:b/>
          <w:iCs/>
          <w:lang w:eastAsia="zh-CN" w:bidi="lo-LA"/>
        </w:rPr>
      </w:pPr>
      <w:r>
        <w:rPr>
          <w:rFonts w:ascii="Arial Narrow" w:eastAsia="Times New Roman" w:hAnsi="Arial Narrow" w:cs="Times New Roman"/>
          <w:noProof/>
          <w:spacing w:val="-6"/>
          <w:lang w:eastAsia="lv-LV"/>
        </w:rPr>
        <mc:AlternateContent>
          <mc:Choice Requires="wpg">
            <w:drawing>
              <wp:anchor distT="0" distB="0" distL="114300" distR="114300" simplePos="0" relativeHeight="251864064" behindDoc="0" locked="0" layoutInCell="1" allowOverlap="1">
                <wp:simplePos x="0" y="0"/>
                <wp:positionH relativeFrom="column">
                  <wp:posOffset>215265</wp:posOffset>
                </wp:positionH>
                <wp:positionV relativeFrom="paragraph">
                  <wp:posOffset>360045</wp:posOffset>
                </wp:positionV>
                <wp:extent cx="5276850" cy="7943850"/>
                <wp:effectExtent l="0" t="19050" r="19050" b="19050"/>
                <wp:wrapNone/>
                <wp:docPr id="381" name="Group 381"/>
                <wp:cNvGraphicFramePr/>
                <a:graphic xmlns:a="http://schemas.openxmlformats.org/drawingml/2006/main">
                  <a:graphicData uri="http://schemas.microsoft.com/office/word/2010/wordprocessingGroup">
                    <wpg:wgp xmlns:wpg="http://schemas.microsoft.com/office/word/2010/wordprocessingGroup">
                      <wpg:cNvGrpSpPr/>
                      <wpg:grpSpPr>
                        <a:xfrm>
                          <a:off x="0" y="0"/>
                          <a:ext cx="5276850" cy="7943850"/>
                          <a:chOff x="0" y="0"/>
                          <a:chExt cx="5276850" cy="7943850"/>
                        </a:xfrm>
                      </wpg:grpSpPr>
                      <wps:wsp xmlns:wps="http://schemas.microsoft.com/office/word/2010/wordprocessingShape">
                        <wps:cNvPr id="34853" name="Rounded Rectangle 28"/>
                        <wps:cNvSpPr/>
                        <wps:spPr bwMode="auto">
                          <a:xfrm>
                            <a:off x="2247900" y="7305675"/>
                            <a:ext cx="2662555" cy="638175"/>
                          </a:xfrm>
                          <a:prstGeom prst="roundRect">
                            <a:avLst>
                              <a:gd name="adj" fmla="val 8567"/>
                            </a:avLst>
                          </a:prstGeom>
                          <a:solidFill>
                            <a:srgbClr val="92D050"/>
                          </a:solidFill>
                          <a:ln w="12700">
                            <a:solidFill>
                              <a:srgbClr val="A5A5A5">
                                <a:lumMod val="75000"/>
                              </a:srgbClr>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sidRPr="00B07C59">
                                <w:rPr>
                                  <w:rFonts w:ascii="Candara" w:eastAsia="Calibri" w:hAnsi="Candara" w:cs="Arial"/>
                                  <w:b/>
                                  <w:color w:val="000000" w:themeColor="text1"/>
                                  <w:kern w:val="24"/>
                                  <w:sz w:val="20"/>
                                  <w:szCs w:val="20"/>
                                </w:rPr>
                                <w:t xml:space="preserve">Jauni zinātnes bāzes MKN </w:t>
                              </w:r>
                              <w:r w:rsidRPr="00B07C59">
                                <w:rPr>
                                  <w:rFonts w:ascii="Candara" w:eastAsia="Calibri" w:hAnsi="Candara" w:cs="Arial"/>
                                  <w:color w:val="000000" w:themeColor="text1"/>
                                  <w:kern w:val="24"/>
                                  <w:sz w:val="20"/>
                                  <w:szCs w:val="20"/>
                                </w:rPr>
                                <w:t>(Nov 2013)</w:t>
                              </w:r>
                            </w:p>
                            <w:p w:rsidR="00B55C40" w:rsidRPr="000407A3" w:rsidP="00921BC7"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sidRPr="000407A3">
                                <w:rPr>
                                  <w:rFonts w:ascii="Candara" w:eastAsia="Calibri" w:hAnsi="Candara" w:cs="Arial"/>
                                  <w:color w:val="000000" w:themeColor="text1"/>
                                  <w:kern w:val="24"/>
                                  <w:sz w:val="18"/>
                                  <w:szCs w:val="20"/>
                                </w:rPr>
                                <w:t>Ņem vērā pies</w:t>
                              </w:r>
                              <w:r>
                                <w:rPr>
                                  <w:rFonts w:ascii="Candara" w:eastAsia="Calibri" w:hAnsi="Candara" w:cs="Arial"/>
                                  <w:color w:val="000000" w:themeColor="text1"/>
                                  <w:kern w:val="24"/>
                                  <w:sz w:val="18"/>
                                  <w:szCs w:val="20"/>
                                </w:rPr>
                                <w:t>aistīto pētniecības finansējumu</w:t>
                              </w:r>
                            </w:p>
                            <w:p w:rsidR="00B55C40" w:rsidRPr="000407A3" w:rsidP="00921BC7"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sidRPr="000407A3">
                                <w:rPr>
                                  <w:rFonts w:ascii="Candara" w:eastAsia="Calibri" w:hAnsi="Candara" w:cs="Arial"/>
                                  <w:color w:val="000000" w:themeColor="text1"/>
                                  <w:kern w:val="24"/>
                                  <w:sz w:val="18"/>
                                  <w:szCs w:val="20"/>
                                </w:rPr>
                                <w:t>Publikācijas augstākas kvalit.</w:t>
                              </w:r>
                              <w:r>
                                <w:rPr>
                                  <w:rFonts w:ascii="Candara" w:eastAsia="Calibri" w:hAnsi="Candara" w:cs="Arial"/>
                                  <w:color w:val="000000" w:themeColor="text1"/>
                                  <w:kern w:val="24"/>
                                  <w:sz w:val="18"/>
                                  <w:szCs w:val="20"/>
                                </w:rPr>
                                <w:t xml:space="preserve"> </w:t>
                              </w:r>
                              <w:r w:rsidRPr="000407A3">
                                <w:rPr>
                                  <w:rFonts w:ascii="Candara" w:eastAsia="Calibri" w:hAnsi="Candara" w:cs="Arial"/>
                                  <w:color w:val="000000" w:themeColor="text1"/>
                                  <w:kern w:val="24"/>
                                  <w:sz w:val="18"/>
                                  <w:szCs w:val="20"/>
                                </w:rPr>
                                <w:t>zinātniskajos izdevumos</w:t>
                              </w:r>
                            </w:p>
                          </w:txbxContent>
                        </wps:txbx>
                        <wps:bodyPr wrap="square" lIns="0" tIns="0" rIns="0" bIns="0" anchor="ctr"/>
                      </wps:wsp>
                      <wpg:grpSp>
                        <wpg:cNvPr id="380" name="Group 380"/>
                        <wpg:cNvGrpSpPr/>
                        <wpg:grpSpPr>
                          <a:xfrm>
                            <a:off x="0" y="0"/>
                            <a:ext cx="5276850" cy="7943850"/>
                            <a:chOff x="0" y="0"/>
                            <a:chExt cx="5276850" cy="7943850"/>
                          </a:xfrm>
                        </wpg:grpSpPr>
                        <wps:wsp xmlns:wps="http://schemas.microsoft.com/office/word/2010/wordprocessingShape">
                          <wps:cNvPr id="34867" name="Rounded Rectangle 28"/>
                          <wps:cNvSpPr/>
                          <wps:spPr bwMode="auto">
                            <a:xfrm>
                              <a:off x="2238375" y="6334125"/>
                              <a:ext cx="3038475" cy="623570"/>
                            </a:xfrm>
                            <a:prstGeom prst="roundRect">
                              <a:avLst>
                                <a:gd name="adj" fmla="val 8567"/>
                              </a:avLst>
                            </a:prstGeom>
                            <a:solidFill>
                              <a:srgbClr val="92D050"/>
                            </a:solidFill>
                            <a:ln w="12700">
                              <a:solidFill>
                                <a:srgbClr val="A5A5A5">
                                  <a:lumMod val="75000"/>
                                </a:srgbClr>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Pr>
                                    <w:rFonts w:ascii="Candara" w:eastAsia="Calibri" w:hAnsi="Candara" w:cs="Arial"/>
                                    <w:b/>
                                    <w:color w:val="000000" w:themeColor="text1"/>
                                    <w:kern w:val="24"/>
                                    <w:sz w:val="20"/>
                                    <w:szCs w:val="20"/>
                                  </w:rPr>
                                  <w:t>Grozījumi (2X)</w:t>
                                </w:r>
                                <w:r w:rsidRPr="00B07C59">
                                  <w:rPr>
                                    <w:rFonts w:ascii="Candara" w:eastAsia="Calibri" w:hAnsi="Candara" w:cs="Arial"/>
                                    <w:b/>
                                    <w:color w:val="000000" w:themeColor="text1"/>
                                    <w:kern w:val="24"/>
                                    <w:sz w:val="20"/>
                                    <w:szCs w:val="20"/>
                                  </w:rPr>
                                  <w:t xml:space="preserve"> zinātnes bāzes MKN </w:t>
                                </w:r>
                                <w:r w:rsidRPr="00B07C59">
                                  <w:rPr>
                                    <w:rFonts w:ascii="Candara" w:eastAsia="Calibri" w:hAnsi="Candara" w:cs="Arial"/>
                                    <w:color w:val="000000" w:themeColor="text1"/>
                                    <w:kern w:val="24"/>
                                    <w:sz w:val="20"/>
                                    <w:szCs w:val="20"/>
                                  </w:rPr>
                                  <w:t>(Nov 2014</w:t>
                                </w:r>
                                <w:r>
                                  <w:rPr>
                                    <w:rFonts w:ascii="Candara" w:eastAsia="Calibri" w:hAnsi="Candara" w:cs="Arial"/>
                                    <w:color w:val="000000" w:themeColor="text1"/>
                                    <w:kern w:val="24"/>
                                    <w:sz w:val="20"/>
                                    <w:szCs w:val="20"/>
                                  </w:rPr>
                                  <w:t>/Okt 2015</w:t>
                                </w:r>
                                <w:r w:rsidRPr="00B07C59">
                                  <w:rPr>
                                    <w:rFonts w:ascii="Candara" w:eastAsia="Calibri" w:hAnsi="Candara" w:cs="Arial"/>
                                    <w:color w:val="000000" w:themeColor="text1"/>
                                    <w:kern w:val="24"/>
                                    <w:sz w:val="20"/>
                                    <w:szCs w:val="20"/>
                                  </w:rPr>
                                  <w:t>)</w:t>
                                </w:r>
                              </w:p>
                              <w:p w:rsidR="00B55C40" w:rsidRPr="00B07C59" w:rsidP="00921BC7"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rPr>
                                  <w:t>Zi</w:t>
                                </w:r>
                                <w:r>
                                  <w:rPr>
                                    <w:rFonts w:ascii="Candara" w:eastAsia="Calibri" w:hAnsi="Candara" w:cs="Arial"/>
                                    <w:color w:val="000000" w:themeColor="text1"/>
                                    <w:kern w:val="24"/>
                                    <w:sz w:val="18"/>
                                    <w:szCs w:val="20"/>
                                  </w:rPr>
                                  <w:t>nātnisko datubāžu apmaksa no VB</w:t>
                                </w:r>
                              </w:p>
                              <w:p w:rsidR="00B55C40" w:rsidRPr="00B07C59" w:rsidP="00921BC7" w14:textId="77777777">
                                <w:pPr>
                                  <w:pStyle w:val="NormalWeb"/>
                                  <w:numPr>
                                    <w:ilvl w:val="0"/>
                                    <w:numId w:val="1"/>
                                  </w:numPr>
                                  <w:kinsoku w:val="0"/>
                                  <w:overflowPunct w:val="0"/>
                                  <w:spacing w:line="216" w:lineRule="auto"/>
                                  <w:ind w:left="567" w:hanging="283"/>
                                  <w:textAlignment w:val="baseline"/>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rPr>
                                  <w:t>Nefin</w:t>
                                </w:r>
                                <w:r>
                                  <w:rPr>
                                    <w:rFonts w:ascii="Candara" w:eastAsia="Calibri" w:hAnsi="Candara" w:cs="Arial"/>
                                    <w:color w:val="000000" w:themeColor="text1"/>
                                    <w:kern w:val="24"/>
                                    <w:sz w:val="18"/>
                                    <w:szCs w:val="20"/>
                                  </w:rPr>
                                  <w:t>ansē ZI ar vērtējumu “1” un “2”</w:t>
                                </w:r>
                              </w:p>
                              <w:p w:rsidR="00B55C40" w:rsidRPr="000407A3" w:rsidP="00921BC7" w14:textId="77777777">
                                <w:pPr>
                                  <w:pStyle w:val="BulletsF"/>
                                  <w:ind w:left="567" w:hanging="283"/>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lang w:eastAsia="lv-LV"/>
                                  </w:rPr>
                                  <w:t>Daļēji finansē akad.</w:t>
                                </w:r>
                                <w:r>
                                  <w:rPr>
                                    <w:rFonts w:ascii="Candara" w:eastAsia="Calibri" w:hAnsi="Candara" w:cs="Arial"/>
                                    <w:color w:val="000000" w:themeColor="text1"/>
                                    <w:kern w:val="24"/>
                                    <w:sz w:val="18"/>
                                    <w:szCs w:val="20"/>
                                    <w:lang w:eastAsia="lv-LV"/>
                                  </w:rPr>
                                  <w:t xml:space="preserve"> </w:t>
                                </w:r>
                                <w:r w:rsidRPr="00B07C59">
                                  <w:rPr>
                                    <w:rFonts w:ascii="Candara" w:eastAsia="Calibri" w:hAnsi="Candara" w:cs="Arial"/>
                                    <w:color w:val="000000" w:themeColor="text1"/>
                                    <w:kern w:val="24"/>
                                    <w:sz w:val="18"/>
                                    <w:szCs w:val="20"/>
                                    <w:lang w:eastAsia="lv-LV"/>
                                  </w:rPr>
                                  <w:t>personāla pētniecisko darbu</w:t>
                                </w:r>
                              </w:p>
                            </w:txbxContent>
                          </wps:txbx>
                          <wps:bodyPr wrap="square" lIns="0" tIns="0" rIns="0" bIns="0" anchor="ctr"/>
                        </wps:wsp>
                        <wps:wsp xmlns:wps="http://schemas.microsoft.com/office/word/2010/wordprocessingShape">
                          <wps:cNvPr id="34868" name="Rounded Rectangle 28"/>
                          <wps:cNvSpPr/>
                          <wps:spPr bwMode="auto">
                            <a:xfrm>
                              <a:off x="2276475" y="5667375"/>
                              <a:ext cx="1547495" cy="428625"/>
                            </a:xfrm>
                            <a:prstGeom prst="roundRect">
                              <a:avLst>
                                <a:gd name="adj" fmla="val 8567"/>
                              </a:avLst>
                            </a:prstGeom>
                            <a:solidFill>
                              <a:srgbClr val="A5A5A5">
                                <a:lumMod val="40000"/>
                                <a:lumOff val="60000"/>
                              </a:srgbClr>
                            </a:solidFill>
                            <a:ln w="12700">
                              <a:solidFill>
                                <a:srgbClr val="A5A5A5">
                                  <a:lumMod val="75000"/>
                                </a:srgbClr>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20"/>
                                    <w:szCs w:val="20"/>
                                  </w:rPr>
                                  <w:t>LR un Eiropas Kosmosa aģentūras sadarbības harta (Jan 2015)</w:t>
                                </w:r>
                              </w:p>
                            </w:txbxContent>
                          </wps:txbx>
                          <wps:bodyPr wrap="square" lIns="0" tIns="0" rIns="0" bIns="0" anchor="ctr"/>
                        </wps:wsp>
                        <wps:wsp xmlns:wps="http://schemas.microsoft.com/office/word/2010/wordprocessingShape">
                          <wps:cNvPr id="34869" name="Rounded Rectangle 28"/>
                          <wps:cNvSpPr/>
                          <wps:spPr bwMode="auto">
                            <a:xfrm>
                              <a:off x="2266950" y="5029200"/>
                              <a:ext cx="2933700" cy="561975"/>
                            </a:xfrm>
                            <a:prstGeom prst="roundRect">
                              <a:avLst>
                                <a:gd name="adj" fmla="val 8567"/>
                              </a:avLst>
                            </a:prstGeom>
                            <a:solidFill>
                              <a:srgbClr val="92D050"/>
                            </a:solidFill>
                            <a:ln w="12700">
                              <a:solidFill>
                                <a:srgbClr val="A5A5A5">
                                  <a:lumMod val="75000"/>
                                </a:srgbClr>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Pr>
                                    <w:rFonts w:ascii="Candara" w:eastAsia="Calibri" w:hAnsi="Candara" w:cs="Arial"/>
                                    <w:b/>
                                    <w:color w:val="000000" w:themeColor="text1"/>
                                    <w:kern w:val="24"/>
                                    <w:sz w:val="20"/>
                                    <w:szCs w:val="20"/>
                                  </w:rPr>
                                  <w:t>Jauni studiju virzienu akreditācijas MKN</w:t>
                                </w:r>
                                <w:r w:rsidRPr="00B07C59">
                                  <w:rPr>
                                    <w:rFonts w:ascii="Candara" w:eastAsia="Calibri" w:hAnsi="Candara" w:cs="Arial"/>
                                    <w:b/>
                                    <w:color w:val="000000" w:themeColor="text1"/>
                                    <w:kern w:val="24"/>
                                    <w:sz w:val="20"/>
                                    <w:szCs w:val="20"/>
                                  </w:rPr>
                                  <w:t xml:space="preserve"> </w:t>
                                </w:r>
                                <w:r w:rsidRPr="00B07C59">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Jul</w:t>
                                </w:r>
                                <w:r w:rsidRPr="00B07C59">
                                  <w:rPr>
                                    <w:rFonts w:ascii="Candara" w:eastAsia="Calibri" w:hAnsi="Candara" w:cs="Arial"/>
                                    <w:color w:val="000000" w:themeColor="text1"/>
                                    <w:kern w:val="24"/>
                                    <w:sz w:val="20"/>
                                    <w:szCs w:val="20"/>
                                  </w:rPr>
                                  <w:t xml:space="preserve"> 201</w:t>
                                </w:r>
                                <w:r>
                                  <w:rPr>
                                    <w:rFonts w:ascii="Candara" w:eastAsia="Calibri" w:hAnsi="Candara" w:cs="Arial"/>
                                    <w:color w:val="000000" w:themeColor="text1"/>
                                    <w:kern w:val="24"/>
                                    <w:sz w:val="20"/>
                                    <w:szCs w:val="20"/>
                                  </w:rPr>
                                  <w:t>5</w:t>
                                </w:r>
                                <w:r w:rsidRPr="00B07C59">
                                  <w:rPr>
                                    <w:rFonts w:ascii="Candara" w:eastAsia="Calibri" w:hAnsi="Candara" w:cs="Arial"/>
                                    <w:color w:val="000000" w:themeColor="text1"/>
                                    <w:kern w:val="24"/>
                                    <w:sz w:val="20"/>
                                    <w:szCs w:val="20"/>
                                  </w:rPr>
                                  <w:t>)</w:t>
                                </w:r>
                              </w:p>
                              <w:p w:rsidR="00B55C40" w:rsidRPr="00B07C59" w:rsidP="00921BC7"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Akreditācijas organizē AIC</w:t>
                                </w:r>
                              </w:p>
                              <w:p w:rsidR="00B55C40" w:rsidRPr="00B07C59" w:rsidP="00921BC7" w14:textId="77777777">
                                <w:pPr>
                                  <w:pStyle w:val="NormalWeb"/>
                                  <w:numPr>
                                    <w:ilvl w:val="0"/>
                                    <w:numId w:val="1"/>
                                  </w:numPr>
                                  <w:kinsoku w:val="0"/>
                                  <w:overflowPunct w:val="0"/>
                                  <w:spacing w:line="216" w:lineRule="auto"/>
                                  <w:ind w:left="567" w:hanging="283"/>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Ieviesti Eiropas Augstākās izglītības telpas kvalitātes nodrošināšanas standarti un vadlīnijas</w:t>
                                </w:r>
                              </w:p>
                              <w:p w:rsidR="00B55C40" w:rsidRPr="000407A3" w:rsidP="00921BC7" w14:textId="77777777">
                                <w:pPr>
                                  <w:ind w:left="567" w:hanging="283"/>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lang w:eastAsia="lv-LV"/>
                                  </w:rPr>
                                  <w:t>Daļēji finansē akad.personāla pētniecisko darbu</w:t>
                                </w:r>
                              </w:p>
                            </w:txbxContent>
                          </wps:txbx>
                          <wps:bodyPr wrap="square" lIns="0" tIns="0" rIns="0" bIns="0" anchor="ctr"/>
                        </wps:wsp>
                        <wpg:grpSp>
                          <wpg:cNvPr id="379" name="Group 379"/>
                          <wpg:cNvGrpSpPr/>
                          <wpg:grpSpPr>
                            <a:xfrm>
                              <a:off x="0" y="0"/>
                              <a:ext cx="4910635" cy="7943850"/>
                              <a:chOff x="0" y="0"/>
                              <a:chExt cx="4910635" cy="7943850"/>
                            </a:xfrm>
                          </wpg:grpSpPr>
                          <wps:wsp xmlns:wps="http://schemas.microsoft.com/office/word/2010/wordprocessingShape">
                            <wps:cNvPr id="34878" name="Rounded Rectangle 55"/>
                            <wps:cNvSpPr/>
                            <wps:spPr>
                              <a:xfrm>
                                <a:off x="2228850" y="3248025"/>
                                <a:ext cx="2681785" cy="504967"/>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sz w:val="20"/>
                                      <w:szCs w:val="20"/>
                                    </w:rPr>
                                  </w:pPr>
                                  <w:r w:rsidRPr="007255E0">
                                    <w:rPr>
                                      <w:rFonts w:ascii="Candara" w:eastAsia="Calibri" w:hAnsi="Candara" w:cs="Arial"/>
                                      <w:bCs/>
                                      <w:color w:val="FFFFFF" w:themeColor="background1"/>
                                      <w:kern w:val="24"/>
                                      <w:sz w:val="20"/>
                                      <w:szCs w:val="20"/>
                                    </w:rPr>
                                    <w:t>Konc. ziņojums par uzņēmējdarbības uzsākšanas  ekosistēmu MK</w:t>
                                  </w:r>
                                  <w:r w:rsidRPr="007255E0">
                                    <w:rPr>
                                      <w:rFonts w:ascii="Candara" w:eastAsia="Calibri" w:hAnsi="Candara" w:cs="Arial"/>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Sep 2016</w:t>
                                  </w:r>
                                  <w:r w:rsidRPr="00B07C59">
                                    <w:rPr>
                                      <w:rFonts w:ascii="Candara" w:eastAsia="Calibri" w:hAnsi="Candara" w:cs="Arial"/>
                                      <w:bCs/>
                                      <w:color w:val="FFFFFF" w:themeColor="background1"/>
                                      <w:kern w:val="24"/>
                                      <w:sz w:val="20"/>
                                      <w:szCs w:val="20"/>
                                    </w:rPr>
                                    <w:t>)</w:t>
                                  </w:r>
                                </w:p>
                              </w:txbxContent>
                            </wps:txbx>
                            <wps:bodyPr wrap="square" lIns="0" tIns="0" rIns="0" bIns="0" anchor="ctr"/>
                          </wps:wsp>
                          <wps:wsp xmlns:wps="http://schemas.microsoft.com/office/word/2010/wordprocessingShape">
                            <wps:cNvPr id="34879" name="Rounded Rectangle 28"/>
                            <wps:cNvSpPr/>
                            <wps:spPr bwMode="auto">
                              <a:xfrm>
                                <a:off x="2228850" y="2819400"/>
                                <a:ext cx="1576070" cy="364234"/>
                              </a:xfrm>
                              <a:prstGeom prst="roundRect">
                                <a:avLst>
                                  <a:gd name="adj" fmla="val 8567"/>
                                </a:avLst>
                              </a:prstGeom>
                              <a:solidFill>
                                <a:srgbClr val="A5A5A5">
                                  <a:lumMod val="40000"/>
                                  <a:lumOff val="60000"/>
                                </a:srgbClr>
                              </a:solidFill>
                              <a:ln w="12700">
                                <a:solidFill>
                                  <a:srgbClr val="A5A5A5">
                                    <a:lumMod val="75000"/>
                                  </a:srgbClr>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20"/>
                                      <w:szCs w:val="20"/>
                                    </w:rPr>
                                    <w:t>Sadarbības līgums ar CERN</w:t>
                                  </w:r>
                                  <w:r w:rsidRPr="00B07C59">
                                    <w:rPr>
                                      <w:rFonts w:ascii="Candara" w:eastAsia="Calibri" w:hAnsi="Candara" w:cs="Arial"/>
                                      <w:color w:val="000000" w:themeColor="text1"/>
                                      <w:kern w:val="24"/>
                                      <w:sz w:val="20"/>
                                      <w:szCs w:val="20"/>
                                    </w:rPr>
                                    <w:t xml:space="preserve"> (</w:t>
                                  </w:r>
                                  <w:r>
                                    <w:rPr>
                                      <w:rFonts w:ascii="Candara" w:eastAsia="Calibri" w:hAnsi="Candara" w:cs="Arial"/>
                                      <w:color w:val="000000" w:themeColor="text1"/>
                                      <w:kern w:val="24"/>
                                      <w:sz w:val="20"/>
                                      <w:szCs w:val="20"/>
                                    </w:rPr>
                                    <w:t>Okt 2016</w:t>
                                  </w:r>
                                  <w:r w:rsidRPr="00B07C59">
                                    <w:rPr>
                                      <w:rFonts w:ascii="Candara" w:eastAsia="Calibri" w:hAnsi="Candara" w:cs="Arial"/>
                                      <w:color w:val="000000" w:themeColor="text1"/>
                                      <w:kern w:val="24"/>
                                      <w:sz w:val="20"/>
                                      <w:szCs w:val="20"/>
                                    </w:rPr>
                                    <w:t>)</w:t>
                                  </w:r>
                                </w:p>
                              </w:txbxContent>
                            </wps:txbx>
                            <wps:bodyPr wrap="square" lIns="0" tIns="0" rIns="0" bIns="0" anchor="ctr"/>
                          </wps:wsp>
                          <wps:wsp xmlns:wps="http://schemas.microsoft.com/office/word/2010/wordprocessingShape">
                            <wps:cNvPr id="34881" name="Rounded Rectangle 28"/>
                            <wps:cNvSpPr/>
                            <wps:spPr bwMode="auto">
                              <a:xfrm>
                                <a:off x="2228850" y="2209800"/>
                                <a:ext cx="1835150" cy="525145"/>
                              </a:xfrm>
                              <a:prstGeom prst="roundRect">
                                <a:avLst>
                                  <a:gd name="adj" fmla="val 8567"/>
                                </a:avLst>
                              </a:prstGeom>
                              <a:solidFill>
                                <a:srgbClr val="4472C4">
                                  <a:lumMod val="40000"/>
                                  <a:lumOff val="60000"/>
                                </a:srgbClr>
                              </a:solidFill>
                              <a:ln w="12700">
                                <a:solidFill>
                                  <a:srgbClr val="A5A5A5">
                                    <a:lumMod val="75000"/>
                                  </a:srgbClr>
                                </a:solidFill>
                                <a:miter lim="800000"/>
                              </a:ln>
                              <a:effectLst/>
                            </wps:spPr>
                            <wps:txbx>
                              <w:txbxContent>
                                <w:p w:rsidR="00B55C40" w:rsidRPr="00B07C59" w:rsidP="00921BC7" w14:textId="77777777">
                                  <w:pPr>
                                    <w:kinsoku w:val="0"/>
                                    <w:overflowPunct w:val="0"/>
                                    <w:spacing w:after="0" w:line="216" w:lineRule="auto"/>
                                    <w:jc w:val="center"/>
                                    <w:textAlignment w:val="baseline"/>
                                    <w:rPr>
                                      <w:rFonts w:ascii="Candara" w:eastAsia="Calibri" w:hAnsi="Candara" w:cs="Arial"/>
                                      <w:b/>
                                      <w:color w:val="000000" w:themeColor="text1"/>
                                      <w:kern w:val="24"/>
                                      <w:sz w:val="20"/>
                                      <w:szCs w:val="20"/>
                                    </w:rPr>
                                  </w:pPr>
                                  <w:r w:rsidRPr="007255E0">
                                    <w:rPr>
                                      <w:rFonts w:ascii="Candara" w:eastAsia="Calibri" w:hAnsi="Candara" w:cs="Arial"/>
                                      <w:b/>
                                      <w:color w:val="000000" w:themeColor="text1"/>
                                      <w:kern w:val="24"/>
                                      <w:sz w:val="20"/>
                                      <w:szCs w:val="20"/>
                                    </w:rPr>
                                    <w:t xml:space="preserve">Grozījumi </w:t>
                                  </w:r>
                                  <w:r>
                                    <w:rPr>
                                      <w:rFonts w:ascii="Candara" w:eastAsia="Calibri" w:hAnsi="Candara" w:cs="Arial"/>
                                      <w:b/>
                                      <w:color w:val="000000" w:themeColor="text1"/>
                                      <w:kern w:val="24"/>
                                      <w:sz w:val="20"/>
                                      <w:szCs w:val="20"/>
                                    </w:rPr>
                                    <w:t>Augstskolu likumā</w:t>
                                  </w:r>
                                  <w:r w:rsidRPr="00B07C59">
                                    <w:rPr>
                                      <w:rFonts w:ascii="Candara" w:eastAsia="Calibri" w:hAnsi="Candara" w:cs="Arial"/>
                                      <w:color w:val="000000" w:themeColor="text1"/>
                                      <w:kern w:val="24"/>
                                      <w:sz w:val="20"/>
                                      <w:szCs w:val="20"/>
                                    </w:rPr>
                                    <w:t xml:space="preserve"> (</w:t>
                                  </w:r>
                                  <w:r>
                                    <w:rPr>
                                      <w:rFonts w:ascii="Candara" w:eastAsia="Calibri" w:hAnsi="Candara" w:cs="Arial"/>
                                      <w:color w:val="000000" w:themeColor="text1"/>
                                      <w:kern w:val="24"/>
                                      <w:sz w:val="20"/>
                                      <w:szCs w:val="20"/>
                                    </w:rPr>
                                    <w:t>Dec</w:t>
                                  </w:r>
                                  <w:r w:rsidRPr="00B07C59">
                                    <w:rPr>
                                      <w:rFonts w:ascii="Candara" w:eastAsia="Calibri" w:hAnsi="Candara" w:cs="Arial"/>
                                      <w:color w:val="000000" w:themeColor="text1"/>
                                      <w:kern w:val="24"/>
                                      <w:sz w:val="20"/>
                                      <w:szCs w:val="20"/>
                                    </w:rPr>
                                    <w:t xml:space="preserve"> 201</w:t>
                                  </w:r>
                                  <w:r>
                                    <w:rPr>
                                      <w:rFonts w:ascii="Candara" w:eastAsia="Calibri" w:hAnsi="Candara" w:cs="Arial"/>
                                      <w:color w:val="000000" w:themeColor="text1"/>
                                      <w:kern w:val="24"/>
                                      <w:sz w:val="20"/>
                                      <w:szCs w:val="20"/>
                                    </w:rPr>
                                    <w:t>6</w:t>
                                  </w:r>
                                  <w:r w:rsidRPr="00B07C59">
                                    <w:rPr>
                                      <w:rFonts w:ascii="Candara" w:eastAsia="Calibri" w:hAnsi="Candara" w:cs="Arial"/>
                                      <w:color w:val="000000" w:themeColor="text1"/>
                                      <w:kern w:val="24"/>
                                      <w:sz w:val="20"/>
                                      <w:szCs w:val="20"/>
                                    </w:rPr>
                                    <w:t>)</w:t>
                                  </w:r>
                                  <w:r w:rsidRPr="007255E0">
                                    <w:rPr>
                                      <w:rFonts w:ascii="Candara" w:eastAsia="Calibri" w:hAnsi="Candara" w:cs="Arial"/>
                                      <w:b/>
                                      <w:color w:val="000000" w:themeColor="text1"/>
                                      <w:kern w:val="24"/>
                                      <w:sz w:val="20"/>
                                      <w:szCs w:val="20"/>
                                    </w:rPr>
                                    <w:t xml:space="preserve"> </w:t>
                                  </w:r>
                                </w:p>
                                <w:p w:rsidR="00B55C40" w:rsidRPr="00753188" w:rsidP="00921BC7" w14:textId="77777777">
                                  <w:pPr>
                                    <w:numPr>
                                      <w:ilvl w:val="0"/>
                                      <w:numId w:val="1"/>
                                    </w:numPr>
                                    <w:kinsoku w:val="0"/>
                                    <w:overflowPunct w:val="0"/>
                                    <w:spacing w:after="0" w:line="216" w:lineRule="auto"/>
                                    <w:ind w:left="284" w:hanging="142"/>
                                    <w:jc w:val="center"/>
                                    <w:textAlignment w:val="baseline"/>
                                    <w:rPr>
                                      <w:rFonts w:ascii="Candara" w:eastAsia="Calibri" w:hAnsi="Candara" w:cs="Arial"/>
                                      <w:color w:val="000000" w:themeColor="text1"/>
                                      <w:kern w:val="24"/>
                                      <w:sz w:val="18"/>
                                      <w:szCs w:val="20"/>
                                    </w:rPr>
                                  </w:pPr>
                                  <w:r w:rsidRPr="00753188">
                                    <w:rPr>
                                      <w:rFonts w:ascii="Candara" w:eastAsia="Calibri" w:hAnsi="Candara" w:cs="Arial"/>
                                      <w:color w:val="000000" w:themeColor="text1"/>
                                      <w:kern w:val="24"/>
                                      <w:sz w:val="18"/>
                                      <w:szCs w:val="20"/>
                                    </w:rPr>
                                    <w:t>Studentu un absolventu reģistrs</w:t>
                                  </w:r>
                                </w:p>
                              </w:txbxContent>
                            </wps:txbx>
                            <wps:bodyPr wrap="square" lIns="0" tIns="0" rIns="0" bIns="0" anchor="ctr"/>
                          </wps:wsp>
                          <wps:wsp xmlns:wps="http://schemas.microsoft.com/office/word/2010/wordprocessingShape">
                            <wps:cNvPr id="34884" name="Rounded Rectangle 55"/>
                            <wps:cNvSpPr/>
                            <wps:spPr>
                              <a:xfrm>
                                <a:off x="2228850" y="1409700"/>
                                <a:ext cx="1844675" cy="466725"/>
                              </a:xfrm>
                              <a:prstGeom prst="roundRect">
                                <a:avLst>
                                  <a:gd name="adj" fmla="val 11332"/>
                                </a:avLst>
                              </a:prstGeom>
                              <a:solidFill>
                                <a:srgbClr val="4472C4">
                                  <a:lumMod val="40000"/>
                                  <a:lumOff val="60000"/>
                                </a:srgbClr>
                              </a:solidFill>
                              <a:ln w="6350">
                                <a:solidFill>
                                  <a:srgbClr val="4472C4"/>
                                </a:solidFill>
                                <a:miter lim="800000"/>
                              </a:ln>
                              <a:effectLst/>
                            </wps:spPr>
                            <wps:txbx>
                              <w:txbxContent>
                                <w:p w:rsidR="00B55C40" w:rsidRPr="00F74199" w:rsidP="00921BC7" w14:textId="77777777">
                                  <w:pPr>
                                    <w:pStyle w:val="NormalWeb"/>
                                    <w:kinsoku w:val="0"/>
                                    <w:overflowPunct w:val="0"/>
                                    <w:spacing w:before="0" w:beforeAutospacing="0" w:after="0" w:afterAutospacing="0" w:line="216" w:lineRule="auto"/>
                                    <w:jc w:val="center"/>
                                    <w:textAlignment w:val="baseline"/>
                                    <w:rPr>
                                      <w:sz w:val="20"/>
                                      <w:szCs w:val="20"/>
                                    </w:rPr>
                                  </w:pPr>
                                  <w:r w:rsidRPr="00F74199">
                                    <w:rPr>
                                      <w:rFonts w:ascii="Candara" w:eastAsia="Calibri" w:hAnsi="Candara" w:cs="Arial"/>
                                      <w:b/>
                                      <w:bCs/>
                                      <w:kern w:val="24"/>
                                      <w:sz w:val="20"/>
                                      <w:szCs w:val="20"/>
                                    </w:rPr>
                                    <w:t>Jaunuzņēmumu darbības atbalsta likums</w:t>
                                  </w:r>
                                  <w:r w:rsidRPr="00F74199">
                                    <w:rPr>
                                      <w:rFonts w:ascii="Candara" w:eastAsia="Calibri" w:hAnsi="Candara" w:cs="Arial"/>
                                      <w:b/>
                                      <w:bCs/>
                                      <w:kern w:val="24"/>
                                      <w:sz w:val="20"/>
                                      <w:szCs w:val="20"/>
                                    </w:rPr>
                                    <w:br/>
                                  </w:r>
                                  <w:r w:rsidRPr="00F74199">
                                    <w:rPr>
                                      <w:rFonts w:ascii="Candara" w:eastAsia="Calibri" w:hAnsi="Candara" w:cs="Arial"/>
                                      <w:bCs/>
                                      <w:kern w:val="24"/>
                                      <w:sz w:val="20"/>
                                      <w:szCs w:val="20"/>
                                    </w:rPr>
                                    <w:t>(spēkā ar Jan 2017)</w:t>
                                  </w:r>
                                </w:p>
                              </w:txbxContent>
                            </wps:txbx>
                            <wps:bodyPr wrap="square" lIns="0" tIns="0" rIns="0" bIns="0" anchor="ctr"/>
                          </wps:wsp>
                          <wps:wsp xmlns:wps="http://schemas.microsoft.com/office/word/2010/wordprocessingShape">
                            <wps:cNvPr id="34885" name="Rounded Rectangle 55"/>
                            <wps:cNvSpPr/>
                            <wps:spPr>
                              <a:xfrm>
                                <a:off x="2219325" y="933450"/>
                                <a:ext cx="1844675" cy="438150"/>
                              </a:xfrm>
                              <a:prstGeom prst="roundRect">
                                <a:avLst>
                                  <a:gd name="adj" fmla="val 11332"/>
                                </a:avLst>
                              </a:prstGeom>
                              <a:solidFill>
                                <a:srgbClr val="4472C4">
                                  <a:lumMod val="40000"/>
                                  <a:lumOff val="60000"/>
                                </a:srgbClr>
                              </a:solidFill>
                              <a:ln w="6350">
                                <a:solidFill>
                                  <a:srgbClr val="4472C4"/>
                                </a:solidFill>
                                <a:miter lim="800000"/>
                              </a:ln>
                              <a:effectLst/>
                            </wps:spPr>
                            <wps:txbx>
                              <w:txbxContent>
                                <w:p w:rsidR="00B55C40" w:rsidRPr="00F74199" w:rsidP="00921BC7" w14:textId="77777777">
                                  <w:pPr>
                                    <w:pStyle w:val="NormalWeb"/>
                                    <w:kinsoku w:val="0"/>
                                    <w:overflowPunct w:val="0"/>
                                    <w:spacing w:before="0" w:beforeAutospacing="0" w:after="0" w:afterAutospacing="0" w:line="216" w:lineRule="auto"/>
                                    <w:jc w:val="center"/>
                                    <w:textAlignment w:val="baseline"/>
                                    <w:rPr>
                                      <w:sz w:val="20"/>
                                      <w:szCs w:val="20"/>
                                    </w:rPr>
                                  </w:pPr>
                                  <w:r w:rsidRPr="00F74199">
                                    <w:rPr>
                                      <w:rFonts w:ascii="Candara" w:eastAsia="Calibri" w:hAnsi="Candara" w:cs="Arial"/>
                                      <w:b/>
                                      <w:bCs/>
                                      <w:kern w:val="24"/>
                                      <w:sz w:val="20"/>
                                      <w:szCs w:val="20"/>
                                    </w:rPr>
                                    <w:t>Jauns Publisko iepirkumu likums</w:t>
                                  </w:r>
                                  <w:r w:rsidRPr="00F74199">
                                    <w:rPr>
                                      <w:rFonts w:ascii="Candara" w:eastAsia="Calibri" w:hAnsi="Candara" w:cs="Arial"/>
                                      <w:b/>
                                      <w:bCs/>
                                      <w:kern w:val="24"/>
                                      <w:sz w:val="20"/>
                                      <w:szCs w:val="20"/>
                                    </w:rPr>
                                    <w:br/>
                                  </w:r>
                                  <w:r w:rsidRPr="00F74199">
                                    <w:rPr>
                                      <w:rFonts w:ascii="Candara" w:eastAsia="Calibri" w:hAnsi="Candara" w:cs="Arial"/>
                                      <w:bCs/>
                                      <w:kern w:val="24"/>
                                      <w:sz w:val="20"/>
                                      <w:szCs w:val="20"/>
                                    </w:rPr>
                                    <w:t>(spēkā ar Mar 2017)</w:t>
                                  </w:r>
                                </w:p>
                              </w:txbxContent>
                            </wps:txbx>
                            <wps:bodyPr wrap="square" lIns="0" tIns="0" rIns="0" bIns="0" anchor="ctr"/>
                          </wps:wsp>
                          <wps:wsp xmlns:wps="http://schemas.microsoft.com/office/word/2010/wordprocessingShape">
                            <wps:cNvPr id="34888" name="Rounded Rectangle 55"/>
                            <wps:cNvSpPr/>
                            <wps:spPr>
                              <a:xfrm>
                                <a:off x="2228850" y="390525"/>
                                <a:ext cx="1851660" cy="504825"/>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
                                      <w:bCs/>
                                      <w:color w:val="FFFFFF" w:themeColor="background1"/>
                                      <w:kern w:val="24"/>
                                      <w:sz w:val="20"/>
                                      <w:szCs w:val="20"/>
                                    </w:rPr>
                                    <w:t>LV zin. finansēšanas sistēmas izvērtējums</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 xml:space="preserve">EK, </w:t>
                                  </w:r>
                                  <w:r w:rsidRPr="00F74199">
                                    <w:rPr>
                                      <w:rFonts w:ascii="Wingdings" w:eastAsia="Calibri" w:hAnsi="Wingdings" w:cs="Arial"/>
                                      <w:bCs/>
                                      <w:color w:val="FFFFFF" w:themeColor="background1"/>
                                      <w:kern w:val="24"/>
                                      <w:sz w:val="16"/>
                                      <w:szCs w:val="20"/>
                                    </w:rPr>
                                    <w:sym w:font="Wingdings" w:char="F0E0"/>
                                  </w:r>
                                  <w:r>
                                    <w:rPr>
                                      <w:rFonts w:ascii="Candara" w:eastAsia="Calibri" w:hAnsi="Candara" w:cs="Arial"/>
                                      <w:bCs/>
                                      <w:color w:val="FFFFFF" w:themeColor="background1"/>
                                      <w:kern w:val="24"/>
                                      <w:sz w:val="20"/>
                                      <w:szCs w:val="20"/>
                                    </w:rPr>
                                    <w:t>Okt 2017</w:t>
                                  </w:r>
                                  <w:r w:rsidRPr="00B07C59">
                                    <w:rPr>
                                      <w:rFonts w:ascii="Candara" w:eastAsia="Calibri" w:hAnsi="Candara" w:cs="Arial"/>
                                      <w:bCs/>
                                      <w:color w:val="FFFFFF" w:themeColor="background1"/>
                                      <w:kern w:val="24"/>
                                      <w:sz w:val="20"/>
                                      <w:szCs w:val="20"/>
                                    </w:rPr>
                                    <w:t>)</w:t>
                                  </w:r>
                                </w:p>
                              </w:txbxContent>
                            </wps:txbx>
                            <wps:bodyPr wrap="square" lIns="0" tIns="0" rIns="0" bIns="0" anchor="ctr"/>
                          </wps:wsp>
                          <wps:wsp xmlns:wps="http://schemas.microsoft.com/office/word/2010/wordprocessingShape">
                            <wps:cNvPr id="45" name="Rounded Rectangle 28"/>
                            <wps:cNvSpPr/>
                            <wps:spPr bwMode="auto">
                              <a:xfrm>
                                <a:off x="2219325" y="3838575"/>
                                <a:ext cx="2381250" cy="619125"/>
                              </a:xfrm>
                              <a:prstGeom prst="roundRect">
                                <a:avLst>
                                  <a:gd name="adj" fmla="val 8567"/>
                                </a:avLst>
                              </a:prstGeom>
                              <a:solidFill>
                                <a:srgbClr val="4472C4">
                                  <a:lumMod val="40000"/>
                                  <a:lumOff val="60000"/>
                                </a:srgbClr>
                              </a:solidFill>
                              <a:ln w="12700">
                                <a:solidFill>
                                  <a:srgbClr val="A5A5A5">
                                    <a:lumMod val="75000"/>
                                  </a:srgbClr>
                                </a:solidFill>
                                <a:miter lim="800000"/>
                              </a:ln>
                              <a:effectLst/>
                            </wps:spPr>
                            <wps:txbx>
                              <w:txbxContent>
                                <w:p w:rsidR="00B55C40" w:rsidRPr="00B07C59" w:rsidP="00921BC7" w14:textId="77777777">
                                  <w:pPr>
                                    <w:kinsoku w:val="0"/>
                                    <w:overflowPunct w:val="0"/>
                                    <w:spacing w:after="0" w:line="216" w:lineRule="auto"/>
                                    <w:jc w:val="center"/>
                                    <w:textAlignment w:val="baseline"/>
                                    <w:rPr>
                                      <w:rFonts w:ascii="Candara" w:eastAsia="Calibri" w:hAnsi="Candara" w:cs="Arial"/>
                                      <w:b/>
                                      <w:color w:val="000000" w:themeColor="text1"/>
                                      <w:kern w:val="24"/>
                                      <w:sz w:val="20"/>
                                      <w:szCs w:val="20"/>
                                    </w:rPr>
                                  </w:pPr>
                                  <w:r w:rsidRPr="007255E0">
                                    <w:rPr>
                                      <w:rFonts w:ascii="Candara" w:eastAsia="Calibri" w:hAnsi="Candara" w:cs="Arial"/>
                                      <w:b/>
                                      <w:color w:val="000000" w:themeColor="text1"/>
                                      <w:kern w:val="24"/>
                                      <w:sz w:val="20"/>
                                      <w:szCs w:val="20"/>
                                    </w:rPr>
                                    <w:t xml:space="preserve">Grozījumi </w:t>
                                  </w:r>
                                  <w:r>
                                    <w:rPr>
                                      <w:rFonts w:ascii="Candara" w:eastAsia="Calibri" w:hAnsi="Candara" w:cs="Arial"/>
                                      <w:b/>
                                      <w:color w:val="000000" w:themeColor="text1"/>
                                      <w:kern w:val="24"/>
                                      <w:sz w:val="20"/>
                                      <w:szCs w:val="20"/>
                                    </w:rPr>
                                    <w:t>LIAA nolikumā</w:t>
                                  </w:r>
                                </w:p>
                                <w:p w:rsidR="00B55C40" w:rsidP="00921BC7" w14:textId="77777777">
                                  <w:pPr>
                                    <w:kinsoku w:val="0"/>
                                    <w:overflowPunct w:val="0"/>
                                    <w:spacing w:after="0" w:line="216" w:lineRule="auto"/>
                                    <w:jc w:val="center"/>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Paplašinātas LIAA funkcijas – inovācijas, tehnoloģiju pārnes un komercializācijas jomā</w:t>
                                  </w:r>
                                </w:p>
                                <w:p w:rsidR="00B55C40" w:rsidRPr="00753188" w:rsidP="00921BC7" w14:textId="77777777">
                                  <w:pPr>
                                    <w:kinsoku w:val="0"/>
                                    <w:overflowPunct w:val="0"/>
                                    <w:spacing w:after="0" w:line="216" w:lineRule="auto"/>
                                    <w:jc w:val="center"/>
                                    <w:textAlignment w:val="baseline"/>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Apr </w:t>
                                  </w:r>
                                  <w:r w:rsidRPr="00B07C59">
                                    <w:rPr>
                                      <w:rFonts w:ascii="Candara" w:eastAsia="Calibri" w:hAnsi="Candara" w:cs="Arial"/>
                                      <w:color w:val="000000" w:themeColor="text1"/>
                                      <w:kern w:val="24"/>
                                      <w:sz w:val="20"/>
                                      <w:szCs w:val="20"/>
                                    </w:rPr>
                                    <w:t>201</w:t>
                                  </w:r>
                                  <w:r>
                                    <w:rPr>
                                      <w:rFonts w:ascii="Candara" w:eastAsia="Calibri" w:hAnsi="Candara" w:cs="Arial"/>
                                      <w:color w:val="000000" w:themeColor="text1"/>
                                      <w:kern w:val="24"/>
                                      <w:sz w:val="20"/>
                                      <w:szCs w:val="20"/>
                                    </w:rPr>
                                    <w:t>6</w:t>
                                  </w:r>
                                  <w:r w:rsidRPr="00B07C59">
                                    <w:rPr>
                                      <w:rFonts w:ascii="Candara" w:eastAsia="Calibri" w:hAnsi="Candara" w:cs="Arial"/>
                                      <w:color w:val="000000" w:themeColor="text1"/>
                                      <w:kern w:val="24"/>
                                      <w:sz w:val="20"/>
                                      <w:szCs w:val="20"/>
                                    </w:rPr>
                                    <w:t>)</w:t>
                                  </w:r>
                                </w:p>
                              </w:txbxContent>
                            </wps:txbx>
                            <wps:bodyPr wrap="square" lIns="0" tIns="0" rIns="0" bIns="0" anchor="ctr"/>
                          </wps:wsp>
                          <wpg:grpSp>
                            <wpg:cNvPr id="378" name="Group 378"/>
                            <wpg:cNvGrpSpPr/>
                            <wpg:grpSpPr>
                              <a:xfrm>
                                <a:off x="0" y="0"/>
                                <a:ext cx="2271395" cy="7943850"/>
                                <a:chOff x="0" y="0"/>
                                <a:chExt cx="2271395" cy="7943850"/>
                              </a:xfrm>
                            </wpg:grpSpPr>
                            <wps:wsp xmlns:wps="http://schemas.microsoft.com/office/word/2010/wordprocessingShape">
                              <wps:cNvPr id="34861" name="Rounded Rectangle 55"/>
                              <wps:cNvSpPr/>
                              <wps:spPr>
                                <a:xfrm>
                                  <a:off x="47625" y="7315200"/>
                                  <a:ext cx="1823085" cy="409551"/>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
                                        <w:bCs/>
                                        <w:color w:val="FFFFFF" w:themeColor="background1"/>
                                        <w:kern w:val="24"/>
                                        <w:sz w:val="20"/>
                                        <w:szCs w:val="20"/>
                                      </w:rPr>
                                      <w:t>ZI ārējais izvērtējums</w:t>
                                    </w:r>
                                    <w:r w:rsidRPr="00A26433">
                                      <w:rPr>
                                        <w:rFonts w:ascii="Candara" w:eastAsia="Calibri" w:hAnsi="Candara" w:cs="Arial"/>
                                        <w:b/>
                                        <w:bCs/>
                                        <w:color w:val="FFFFFF" w:themeColor="background1"/>
                                        <w:kern w:val="24"/>
                                        <w:sz w:val="20"/>
                                        <w:szCs w:val="20"/>
                                      </w:rPr>
                                      <w:t xml:space="preserve"> </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(Ziemeļu Ministru padome, 2013)</w:t>
                                    </w:r>
                                  </w:p>
                                </w:txbxContent>
                              </wps:txbx>
                              <wps:bodyPr wrap="square" lIns="0" tIns="0" rIns="0" bIns="0" anchor="ctr"/>
                            </wps:wsp>
                            <wps:wsp xmlns:wps="http://schemas.microsoft.com/office/word/2010/wordprocessingShape">
                              <wps:cNvPr id="34865" name="Rounded Rectangle 28"/>
                              <wps:cNvSpPr/>
                              <wps:spPr bwMode="auto">
                                <a:xfrm>
                                  <a:off x="0" y="6553200"/>
                                  <a:ext cx="1855669" cy="452973"/>
                                </a:xfrm>
                                <a:prstGeom prst="roundRect">
                                  <a:avLst>
                                    <a:gd name="adj" fmla="val 8567"/>
                                  </a:avLst>
                                </a:prstGeom>
                                <a:solidFill>
                                  <a:srgbClr val="92D050"/>
                                </a:solidFill>
                                <a:ln w="12700">
                                  <a:solidFill>
                                    <a:srgbClr val="A5A5A5">
                                      <a:lumMod val="75000"/>
                                    </a:srgbClr>
                                  </a:solidFill>
                                  <a:miter lim="800000"/>
                                </a:ln>
                                <a:effectLst/>
                              </wps:spPr>
                              <wps:txbx>
                                <w:txbxContent>
                                  <w:p w:rsidR="00B55C40"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Pr>
                                        <w:rFonts w:ascii="Candara" w:eastAsia="Calibri" w:hAnsi="Candara" w:cs="Arial"/>
                                        <w:b/>
                                        <w:color w:val="000000" w:themeColor="text1"/>
                                        <w:kern w:val="24"/>
                                        <w:sz w:val="20"/>
                                        <w:szCs w:val="20"/>
                                      </w:rPr>
                                      <w:t xml:space="preserve">UIN atvieglojumi, t.sk. </w:t>
                                    </w:r>
                                    <w:r w:rsidRPr="00B07C59">
                                      <w:rPr>
                                        <w:rFonts w:ascii="Candara" w:eastAsia="Calibri" w:hAnsi="Candara" w:cs="Arial"/>
                                        <w:b/>
                                        <w:color w:val="000000" w:themeColor="text1"/>
                                        <w:kern w:val="24"/>
                                        <w:sz w:val="20"/>
                                        <w:szCs w:val="20"/>
                                      </w:rPr>
                                      <w:t>ieguldījumiem P&amp;A</w:t>
                                    </w:r>
                                  </w:p>
                                  <w:p w:rsidR="00B55C40" w:rsidRPr="000407A3"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20"/>
                                        <w:szCs w:val="20"/>
                                      </w:rPr>
                                      <w:t xml:space="preserve"> </w:t>
                                    </w: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sākot ar Jul 2014)</w:t>
                                    </w:r>
                                  </w:p>
                                </w:txbxContent>
                              </wps:txbx>
                              <wps:bodyPr wrap="square" lIns="0" tIns="0" rIns="0" bIns="0" anchor="ctr"/>
                            </wps:wsp>
                            <wps:wsp xmlns:wps="http://schemas.microsoft.com/office/word/2010/wordprocessingShape">
                              <wps:cNvPr id="34866" name="Rounded Rectangle 55"/>
                              <wps:cNvSpPr/>
                              <wps:spPr>
                                <a:xfrm>
                                  <a:off x="0" y="6096000"/>
                                  <a:ext cx="1852187" cy="409551"/>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
                                        <w:bCs/>
                                        <w:color w:val="FFFFFF" w:themeColor="background1"/>
                                        <w:kern w:val="24"/>
                                        <w:sz w:val="20"/>
                                        <w:szCs w:val="20"/>
                                      </w:rPr>
                                      <w:t>AI finansēšanas izvērtējums</w:t>
                                    </w:r>
                                    <w:r w:rsidRPr="00A26433">
                                      <w:rPr>
                                        <w:rFonts w:ascii="Candara" w:eastAsia="Calibri" w:hAnsi="Candara" w:cs="Arial"/>
                                        <w:b/>
                                        <w:bCs/>
                                        <w:color w:val="FFFFFF" w:themeColor="background1"/>
                                        <w:kern w:val="24"/>
                                        <w:sz w:val="20"/>
                                        <w:szCs w:val="20"/>
                                      </w:rPr>
                                      <w:t xml:space="preserve"> </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PB</w:t>
                                    </w:r>
                                    <w:r w:rsidRPr="00B07C59">
                                      <w:rPr>
                                        <w:rFonts w:ascii="Candara" w:eastAsia="Calibri" w:hAnsi="Candara" w:cs="Arial"/>
                                        <w:bCs/>
                                        <w:color w:val="FFFFFF" w:themeColor="background1"/>
                                        <w:kern w:val="24"/>
                                        <w:sz w:val="20"/>
                                        <w:szCs w:val="20"/>
                                      </w:rPr>
                                      <w:t xml:space="preserve">, </w:t>
                                    </w:r>
                                    <w:r>
                                      <w:rPr>
                                        <w:rFonts w:ascii="Candara" w:eastAsia="Calibri" w:hAnsi="Candara" w:cs="Arial"/>
                                        <w:bCs/>
                                        <w:color w:val="FFFFFF" w:themeColor="background1"/>
                                        <w:kern w:val="24"/>
                                        <w:sz w:val="20"/>
                                        <w:szCs w:val="20"/>
                                      </w:rPr>
                                      <w:t xml:space="preserve">Dec </w:t>
                                    </w:r>
                                    <w:r w:rsidRPr="00B07C59">
                                      <w:rPr>
                                        <w:rFonts w:ascii="Candara" w:eastAsia="Calibri" w:hAnsi="Candara" w:cs="Arial"/>
                                        <w:bCs/>
                                        <w:color w:val="FFFFFF" w:themeColor="background1"/>
                                        <w:kern w:val="24"/>
                                        <w:sz w:val="20"/>
                                        <w:szCs w:val="20"/>
                                      </w:rPr>
                                      <w:t>2013</w:t>
                                    </w:r>
                                    <w:r>
                                      <w:rPr>
                                        <w:rFonts w:ascii="Candara" w:eastAsia="Calibri" w:hAnsi="Candara" w:cs="Arial"/>
                                        <w:bCs/>
                                        <w:color w:val="FFFFFF" w:themeColor="background1"/>
                                        <w:kern w:val="24"/>
                                        <w:sz w:val="20"/>
                                        <w:szCs w:val="20"/>
                                      </w:rPr>
                                      <w:t xml:space="preserve"> – Sep 2014</w:t>
                                    </w:r>
                                    <w:r w:rsidRPr="00B07C59">
                                      <w:rPr>
                                        <w:rFonts w:ascii="Candara" w:eastAsia="Calibri" w:hAnsi="Candara" w:cs="Arial"/>
                                        <w:bCs/>
                                        <w:color w:val="FFFFFF" w:themeColor="background1"/>
                                        <w:kern w:val="24"/>
                                        <w:sz w:val="20"/>
                                        <w:szCs w:val="20"/>
                                      </w:rPr>
                                      <w:t>)</w:t>
                                    </w:r>
                                  </w:p>
                                </w:txbxContent>
                              </wps:txbx>
                              <wps:bodyPr wrap="square" lIns="0" tIns="0" rIns="0" bIns="0" anchor="ctr"/>
                            </wps:wsp>
                            <wps:wsp xmlns:wps="http://schemas.microsoft.com/office/word/2010/wordprocessingShape">
                              <wps:cNvPr id="34871" name="Rounded Rectangle 28"/>
                              <wps:cNvSpPr/>
                              <wps:spPr bwMode="auto">
                                <a:xfrm>
                                  <a:off x="9525" y="4676775"/>
                                  <a:ext cx="1835378" cy="607325"/>
                                </a:xfrm>
                                <a:prstGeom prst="roundRect">
                                  <a:avLst>
                                    <a:gd name="adj" fmla="val 8567"/>
                                  </a:avLst>
                                </a:prstGeom>
                                <a:solidFill>
                                  <a:srgbClr val="4472C4">
                                    <a:lumMod val="40000"/>
                                    <a:lumOff val="60000"/>
                                  </a:srgbClr>
                                </a:solidFill>
                                <a:ln w="12700">
                                  <a:solidFill>
                                    <a:srgbClr val="A5A5A5">
                                      <a:lumMod val="75000"/>
                                    </a:srgbClr>
                                  </a:solidFill>
                                  <a:miter lim="800000"/>
                                </a:ln>
                                <a:effectLst/>
                              </wps:spPr>
                              <wps:txbx>
                                <w:txbxContent>
                                  <w:p w:rsidR="00B55C40" w:rsidRPr="00B07C59" w:rsidP="00921BC7" w14:textId="77777777">
                                    <w:pPr>
                                      <w:kinsoku w:val="0"/>
                                      <w:overflowPunct w:val="0"/>
                                      <w:spacing w:after="0" w:line="216" w:lineRule="auto"/>
                                      <w:jc w:val="center"/>
                                      <w:textAlignment w:val="baseline"/>
                                      <w:rPr>
                                        <w:rFonts w:ascii="Candara" w:eastAsia="Calibri" w:hAnsi="Candara" w:cs="Arial"/>
                                        <w:b/>
                                        <w:color w:val="000000" w:themeColor="text1"/>
                                        <w:kern w:val="24"/>
                                        <w:sz w:val="20"/>
                                        <w:szCs w:val="20"/>
                                      </w:rPr>
                                    </w:pPr>
                                    <w:r w:rsidRPr="007255E0">
                                      <w:rPr>
                                        <w:rFonts w:ascii="Candara" w:eastAsia="Calibri" w:hAnsi="Candara" w:cs="Arial"/>
                                        <w:b/>
                                        <w:color w:val="000000" w:themeColor="text1"/>
                                        <w:kern w:val="24"/>
                                        <w:sz w:val="20"/>
                                        <w:szCs w:val="20"/>
                                      </w:rPr>
                                      <w:t>Grozījumi Publisko iepirkumu likumā</w:t>
                                    </w:r>
                                    <w:r w:rsidRPr="00B07C59">
                                      <w:rPr>
                                        <w:rFonts w:ascii="Candara" w:eastAsia="Calibri" w:hAnsi="Candara" w:cs="Arial"/>
                                        <w:color w:val="000000" w:themeColor="text1"/>
                                        <w:kern w:val="24"/>
                                        <w:sz w:val="20"/>
                                        <w:szCs w:val="20"/>
                                      </w:rPr>
                                      <w:t xml:space="preserve"> (</w:t>
                                    </w:r>
                                    <w:r>
                                      <w:rPr>
                                        <w:rFonts w:ascii="Candara" w:eastAsia="Calibri" w:hAnsi="Candara" w:cs="Arial"/>
                                        <w:color w:val="000000" w:themeColor="text1"/>
                                        <w:kern w:val="24"/>
                                        <w:sz w:val="20"/>
                                        <w:szCs w:val="20"/>
                                      </w:rPr>
                                      <w:t>Dec</w:t>
                                    </w:r>
                                    <w:r w:rsidRPr="00B07C59">
                                      <w:rPr>
                                        <w:rFonts w:ascii="Candara" w:eastAsia="Calibri" w:hAnsi="Candara" w:cs="Arial"/>
                                        <w:color w:val="000000" w:themeColor="text1"/>
                                        <w:kern w:val="24"/>
                                        <w:sz w:val="20"/>
                                        <w:szCs w:val="20"/>
                                      </w:rPr>
                                      <w:t xml:space="preserve"> 2015)</w:t>
                                    </w:r>
                                    <w:r w:rsidRPr="007255E0">
                                      <w:rPr>
                                        <w:rFonts w:ascii="Candara" w:eastAsia="Calibri" w:hAnsi="Candara" w:cs="Arial"/>
                                        <w:b/>
                                        <w:color w:val="000000" w:themeColor="text1"/>
                                        <w:kern w:val="24"/>
                                        <w:sz w:val="20"/>
                                        <w:szCs w:val="20"/>
                                      </w:rPr>
                                      <w:t xml:space="preserve"> </w:t>
                                    </w:r>
                                  </w:p>
                                  <w:p w:rsidR="00B55C40" w:rsidRPr="00B07C59" w:rsidP="00921BC7" w14:textId="77777777">
                                    <w:pPr>
                                      <w:numPr>
                                        <w:ilvl w:val="0"/>
                                        <w:numId w:val="1"/>
                                      </w:numPr>
                                      <w:kinsoku w:val="0"/>
                                      <w:overflowPunct w:val="0"/>
                                      <w:spacing w:line="216" w:lineRule="auto"/>
                                      <w:ind w:left="284" w:hanging="142"/>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Ārējo ekspertu piesaiste P&amp;A projektu izvērtējumam</w:t>
                                    </w:r>
                                  </w:p>
                                  <w:p w:rsidR="00B55C40" w:rsidRPr="00B07C59"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p>
                                </w:txbxContent>
                              </wps:txbx>
                              <wps:bodyPr wrap="square" lIns="0" tIns="0" rIns="0" bIns="0" anchor="ctr"/>
                            </wps:wsp>
                            <wps:wsp xmlns:wps="http://schemas.microsoft.com/office/word/2010/wordprocessingShape">
                              <wps:cNvPr id="34872" name="Rounded Rectangle 55"/>
                              <wps:cNvSpPr/>
                              <wps:spPr>
                                <a:xfrm>
                                  <a:off x="9525" y="5343525"/>
                                  <a:ext cx="1852187" cy="504967"/>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sz w:val="20"/>
                                        <w:szCs w:val="20"/>
                                      </w:rPr>
                                    </w:pPr>
                                    <w:r w:rsidRPr="007255E0">
                                      <w:rPr>
                                        <w:rFonts w:ascii="Candara" w:eastAsia="Calibri" w:hAnsi="Candara" w:cs="Arial"/>
                                        <w:bCs/>
                                        <w:color w:val="FFFFFF" w:themeColor="background1"/>
                                        <w:kern w:val="24"/>
                                        <w:sz w:val="20"/>
                                        <w:szCs w:val="20"/>
                                      </w:rPr>
                                      <w:t>Konc. ziņojums “Jauns AI finansēšanas modelis” MK</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Jun 2015</w:t>
                                    </w:r>
                                    <w:r w:rsidRPr="00B07C59">
                                      <w:rPr>
                                        <w:rFonts w:ascii="Candara" w:eastAsia="Calibri" w:hAnsi="Candara" w:cs="Arial"/>
                                        <w:bCs/>
                                        <w:color w:val="FFFFFF" w:themeColor="background1"/>
                                        <w:kern w:val="24"/>
                                        <w:sz w:val="20"/>
                                        <w:szCs w:val="20"/>
                                      </w:rPr>
                                      <w:t>)</w:t>
                                    </w:r>
                                  </w:p>
                                </w:txbxContent>
                              </wps:txbx>
                              <wps:bodyPr wrap="square" lIns="0" tIns="0" rIns="0" bIns="0" anchor="ctr"/>
                            </wps:wsp>
                            <wpg:grpSp>
                              <wpg:cNvPr id="377" name="Group 377"/>
                              <wpg:cNvGrpSpPr/>
                              <wpg:grpSpPr>
                                <a:xfrm>
                                  <a:off x="0" y="0"/>
                                  <a:ext cx="2271395" cy="7943850"/>
                                  <a:chOff x="0" y="0"/>
                                  <a:chExt cx="2271395" cy="7943850"/>
                                </a:xfrm>
                              </wpg:grpSpPr>
                              <wps:wsp xmlns:wps="http://schemas.microsoft.com/office/word/2010/wordprocessingShape">
                                <wps:cNvPr id="34873" name="Rounded Rectangle 55"/>
                                <wps:cNvSpPr/>
                                <wps:spPr>
                                  <a:xfrm>
                                    <a:off x="47625" y="4067175"/>
                                    <a:ext cx="1842135" cy="361950"/>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Cs/>
                                          <w:color w:val="FFFFFF" w:themeColor="background1"/>
                                          <w:kern w:val="24"/>
                                          <w:sz w:val="20"/>
                                          <w:szCs w:val="20"/>
                                        </w:rPr>
                                        <w:t>ESFRI informatīvais</w:t>
                                      </w:r>
                                      <w:r w:rsidRPr="007255E0">
                                        <w:rPr>
                                          <w:rFonts w:ascii="Candara" w:eastAsia="Calibri" w:hAnsi="Candara" w:cs="Arial"/>
                                          <w:bCs/>
                                          <w:color w:val="FFFFFF" w:themeColor="background1"/>
                                          <w:kern w:val="24"/>
                                          <w:sz w:val="20"/>
                                          <w:szCs w:val="20"/>
                                        </w:rPr>
                                        <w:t xml:space="preserve"> ziņojums MK</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Apr 2016</w:t>
                                      </w:r>
                                      <w:r w:rsidRPr="00B07C59">
                                        <w:rPr>
                                          <w:rFonts w:ascii="Candara" w:eastAsia="Calibri" w:hAnsi="Candara" w:cs="Arial"/>
                                          <w:bCs/>
                                          <w:color w:val="FFFFFF" w:themeColor="background1"/>
                                          <w:kern w:val="24"/>
                                          <w:sz w:val="20"/>
                                          <w:szCs w:val="20"/>
                                        </w:rPr>
                                        <w:t>)</w:t>
                                      </w:r>
                                    </w:p>
                                  </w:txbxContent>
                                </wps:txbx>
                                <wps:bodyPr wrap="square" lIns="0" tIns="0" rIns="0" bIns="0" anchor="ctr"/>
                              </wps:wsp>
                              <wps:wsp xmlns:wps="http://schemas.microsoft.com/office/word/2010/wordprocessingShape">
                                <wps:cNvPr id="34874" name="Rounded Rectangle 55"/>
                                <wps:cNvSpPr/>
                                <wps:spPr>
                                  <a:xfrm>
                                    <a:off x="28575" y="3495675"/>
                                    <a:ext cx="1852187" cy="504967"/>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sz w:val="20"/>
                                          <w:szCs w:val="20"/>
                                        </w:rPr>
                                      </w:pPr>
                                      <w:r w:rsidRPr="007255E0">
                                        <w:rPr>
                                          <w:rFonts w:ascii="Candara" w:eastAsia="Calibri" w:hAnsi="Candara" w:cs="Arial"/>
                                          <w:b/>
                                          <w:bCs/>
                                          <w:color w:val="FFFFFF" w:themeColor="background1"/>
                                          <w:kern w:val="24"/>
                                          <w:sz w:val="20"/>
                                          <w:szCs w:val="20"/>
                                        </w:rPr>
                                        <w:t>AII</w:t>
                                      </w:r>
                                      <w:r>
                                        <w:rPr>
                                          <w:rFonts w:ascii="Candara" w:eastAsia="Calibri" w:hAnsi="Candara" w:cs="Arial"/>
                                          <w:b/>
                                          <w:bCs/>
                                          <w:color w:val="FFFFFF" w:themeColor="background1"/>
                                          <w:kern w:val="24"/>
                                          <w:sz w:val="20"/>
                                          <w:szCs w:val="20"/>
                                        </w:rPr>
                                        <w:t xml:space="preserve"> pārvaldības izvērtējums</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PB, Maijs 2016 – Apr 2018</w:t>
                                      </w:r>
                                      <w:r w:rsidRPr="00B07C59">
                                        <w:rPr>
                                          <w:rFonts w:ascii="Candara" w:eastAsia="Calibri" w:hAnsi="Candara" w:cs="Arial"/>
                                          <w:bCs/>
                                          <w:color w:val="FFFFFF" w:themeColor="background1"/>
                                          <w:kern w:val="24"/>
                                          <w:sz w:val="20"/>
                                          <w:szCs w:val="20"/>
                                        </w:rPr>
                                        <w:t>)</w:t>
                                      </w:r>
                                    </w:p>
                                  </w:txbxContent>
                                </wps:txbx>
                                <wps:bodyPr wrap="square" lIns="0" tIns="0" rIns="0" bIns="0" anchor="ctr"/>
                              </wps:wsp>
                              <wps:wsp xmlns:wps="http://schemas.microsoft.com/office/word/2010/wordprocessingShape">
                                <wps:cNvPr id="34880" name="Rounded Rectangle 28"/>
                                <wps:cNvSpPr/>
                                <wps:spPr bwMode="auto">
                                  <a:xfrm>
                                    <a:off x="28575" y="2324100"/>
                                    <a:ext cx="1835150" cy="607060"/>
                                  </a:xfrm>
                                  <a:prstGeom prst="roundRect">
                                    <a:avLst>
                                      <a:gd name="adj" fmla="val 8567"/>
                                    </a:avLst>
                                  </a:prstGeom>
                                  <a:solidFill>
                                    <a:srgbClr val="4472C4">
                                      <a:lumMod val="40000"/>
                                      <a:lumOff val="60000"/>
                                    </a:srgbClr>
                                  </a:solidFill>
                                  <a:ln w="12700">
                                    <a:solidFill>
                                      <a:srgbClr val="A5A5A5">
                                        <a:lumMod val="75000"/>
                                      </a:srgbClr>
                                    </a:solidFill>
                                    <a:miter lim="800000"/>
                                  </a:ln>
                                  <a:effectLst/>
                                </wps:spPr>
                                <wps:txbx>
                                  <w:txbxContent>
                                    <w:p w:rsidR="00B55C40" w:rsidRPr="00B07C59" w:rsidP="00921BC7"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sidRPr="007255E0">
                                        <w:rPr>
                                          <w:rFonts w:ascii="Candara" w:eastAsia="Calibri" w:hAnsi="Candara" w:cs="Arial"/>
                                          <w:b/>
                                          <w:color w:val="000000" w:themeColor="text1"/>
                                          <w:kern w:val="24"/>
                                          <w:sz w:val="20"/>
                                          <w:szCs w:val="20"/>
                                        </w:rPr>
                                        <w:t xml:space="preserve">Grozījumi </w:t>
                                      </w:r>
                                      <w:r>
                                        <w:rPr>
                                          <w:rFonts w:ascii="Candara" w:eastAsia="Calibri" w:hAnsi="Candara" w:cs="Arial"/>
                                          <w:b/>
                                          <w:color w:val="000000" w:themeColor="text1"/>
                                          <w:kern w:val="24"/>
                                          <w:sz w:val="20"/>
                                          <w:szCs w:val="20"/>
                                        </w:rPr>
                                        <w:t>Zin. darbības likumā</w:t>
                                      </w:r>
                                      <w:r w:rsidRPr="00B07C59">
                                        <w:rPr>
                                          <w:rFonts w:ascii="Candara" w:eastAsia="Calibri" w:hAnsi="Candara" w:cs="Arial"/>
                                          <w:color w:val="000000" w:themeColor="text1"/>
                                          <w:kern w:val="24"/>
                                          <w:sz w:val="20"/>
                                          <w:szCs w:val="20"/>
                                        </w:rPr>
                                        <w:t xml:space="preserve"> (</w:t>
                                      </w:r>
                                      <w:r>
                                        <w:rPr>
                                          <w:rFonts w:ascii="Candara" w:eastAsia="Calibri" w:hAnsi="Candara" w:cs="Arial"/>
                                          <w:color w:val="000000" w:themeColor="text1"/>
                                          <w:kern w:val="24"/>
                                          <w:sz w:val="20"/>
                                          <w:szCs w:val="20"/>
                                        </w:rPr>
                                        <w:t>Dec</w:t>
                                      </w:r>
                                      <w:r w:rsidRPr="00B07C59">
                                        <w:rPr>
                                          <w:rFonts w:ascii="Candara" w:eastAsia="Calibri" w:hAnsi="Candara" w:cs="Arial"/>
                                          <w:color w:val="000000" w:themeColor="text1"/>
                                          <w:kern w:val="24"/>
                                          <w:sz w:val="20"/>
                                          <w:szCs w:val="20"/>
                                        </w:rPr>
                                        <w:t xml:space="preserve"> 201</w:t>
                                      </w:r>
                                      <w:r>
                                        <w:rPr>
                                          <w:rFonts w:ascii="Candara" w:eastAsia="Calibri" w:hAnsi="Candara" w:cs="Arial"/>
                                          <w:color w:val="000000" w:themeColor="text1"/>
                                          <w:kern w:val="24"/>
                                          <w:sz w:val="20"/>
                                          <w:szCs w:val="20"/>
                                        </w:rPr>
                                        <w:t>6</w:t>
                                      </w:r>
                                      <w:r w:rsidRPr="00B07C59">
                                        <w:rPr>
                                          <w:rFonts w:ascii="Candara" w:eastAsia="Calibri" w:hAnsi="Candara" w:cs="Arial"/>
                                          <w:color w:val="000000" w:themeColor="text1"/>
                                          <w:kern w:val="24"/>
                                          <w:sz w:val="20"/>
                                          <w:szCs w:val="20"/>
                                        </w:rPr>
                                        <w:t>)</w:t>
                                      </w:r>
                                      <w:r w:rsidRPr="007255E0">
                                        <w:rPr>
                                          <w:rFonts w:ascii="Candara" w:eastAsia="Calibri" w:hAnsi="Candara" w:cs="Arial"/>
                                          <w:b/>
                                          <w:color w:val="000000" w:themeColor="text1"/>
                                          <w:kern w:val="24"/>
                                          <w:sz w:val="20"/>
                                          <w:szCs w:val="20"/>
                                        </w:rPr>
                                        <w:t xml:space="preserve"> </w:t>
                                      </w:r>
                                    </w:p>
                                    <w:p w:rsidR="00B55C40" w:rsidP="00921BC7" w14:textId="77777777">
                                      <w:pPr>
                                        <w:pStyle w:val="NormalWeb"/>
                                        <w:numPr>
                                          <w:ilvl w:val="0"/>
                                          <w:numId w:val="1"/>
                                        </w:numPr>
                                        <w:kinsoku w:val="0"/>
                                        <w:overflowPunct w:val="0"/>
                                        <w:spacing w:before="0" w:beforeAutospacing="0" w:after="0" w:afterAutospacing="0"/>
                                        <w:ind w:left="284" w:hanging="142"/>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NZDIS izveide</w:t>
                                      </w:r>
                                    </w:p>
                                    <w:p w:rsidR="00B55C40" w:rsidRPr="00B07C59" w:rsidP="00921BC7" w14:textId="77777777">
                                      <w:pPr>
                                        <w:pStyle w:val="NormalWeb"/>
                                        <w:numPr>
                                          <w:ilvl w:val="0"/>
                                          <w:numId w:val="1"/>
                                        </w:numPr>
                                        <w:kinsoku w:val="0"/>
                                        <w:overflowPunct w:val="0"/>
                                        <w:spacing w:before="0" w:beforeAutospacing="0" w:after="0" w:afterAutospacing="0"/>
                                        <w:ind w:left="284" w:hanging="142"/>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ZI reorganizācija</w:t>
                                      </w:r>
                                    </w:p>
                                    <w:p w:rsidR="00B55C40" w:rsidRPr="00B07C59" w:rsidP="00921BC7" w14:textId="77777777">
                                      <w:pPr>
                                        <w:kinsoku w:val="0"/>
                                        <w:overflowPunct w:val="0"/>
                                        <w:spacing w:after="0" w:line="216" w:lineRule="auto"/>
                                        <w:jc w:val="center"/>
                                        <w:textAlignment w:val="baseline"/>
                                        <w:rPr>
                                          <w:rFonts w:ascii="Candara" w:eastAsia="Calibri" w:hAnsi="Candara" w:cs="Arial"/>
                                          <w:color w:val="000000" w:themeColor="text1"/>
                                          <w:kern w:val="24"/>
                                          <w:sz w:val="18"/>
                                          <w:szCs w:val="20"/>
                                        </w:rPr>
                                      </w:pPr>
                                    </w:p>
                                  </w:txbxContent>
                                </wps:txbx>
                                <wps:bodyPr wrap="square" lIns="0" tIns="0" rIns="0" bIns="0" anchor="ctr"/>
                              </wps:wsp>
                              <wps:wsp xmlns:wps="http://schemas.microsoft.com/office/word/2010/wordprocessingShape">
                                <wps:cNvPr id="44" name="Rounded Rectangle 28"/>
                                <wps:cNvSpPr/>
                                <wps:spPr bwMode="auto">
                                  <a:xfrm>
                                    <a:off x="28575" y="2981325"/>
                                    <a:ext cx="1838298" cy="460872"/>
                                  </a:xfrm>
                                  <a:prstGeom prst="roundRect">
                                    <a:avLst>
                                      <a:gd name="adj" fmla="val 8567"/>
                                    </a:avLst>
                                  </a:prstGeom>
                                  <a:solidFill>
                                    <a:srgbClr val="A5A5A5">
                                      <a:lumMod val="40000"/>
                                      <a:lumOff val="60000"/>
                                    </a:srgbClr>
                                  </a:solidFill>
                                  <a:ln w="12700">
                                    <a:solidFill>
                                      <a:srgbClr val="A5A5A5">
                                        <a:lumMod val="75000"/>
                                      </a:srgbClr>
                                    </a:solidFill>
                                    <a:miter lim="800000"/>
                                  </a:ln>
                                  <a:effectLst/>
                                </wps:spPr>
                                <wps:txbx>
                                  <w:txbxContent>
                                    <w:p w:rsidR="00B55C40" w:rsidRPr="002B1CE3" w:rsidP="00921BC7" w14:textId="77777777">
                                      <w:pPr>
                                        <w:pStyle w:val="NormalWeb"/>
                                        <w:kinsoku w:val="0"/>
                                        <w:overflowPunct w:val="0"/>
                                        <w:spacing w:before="0" w:beforeAutospacing="0" w:after="0" w:afterAutospacing="0"/>
                                        <w:jc w:val="center"/>
                                        <w:textAlignment w:val="baseline"/>
                                        <w:rPr>
                                          <w:rFonts w:ascii="Candara" w:eastAsia="Calibri" w:hAnsi="Candara" w:cs="Arial"/>
                                          <w:color w:val="000000" w:themeColor="text1"/>
                                          <w:kern w:val="24"/>
                                          <w:sz w:val="18"/>
                                          <w:szCs w:val="18"/>
                                        </w:rPr>
                                      </w:pPr>
                                      <w:r w:rsidRPr="009A650D">
                                        <w:rPr>
                                          <w:rFonts w:ascii="Candara" w:eastAsia="Calibri" w:hAnsi="Candara" w:cs="Arial"/>
                                          <w:color w:val="000000" w:themeColor="text1"/>
                                          <w:kern w:val="24"/>
                                          <w:sz w:val="18"/>
                                          <w:szCs w:val="18"/>
                                        </w:rPr>
                                        <w:t>Saprašanās memorands starp EM un kopbraukšanas nozares uzņēmumu pārstāvjiem</w:t>
                                      </w:r>
                                      <w:r w:rsidRPr="002B1CE3">
                                        <w:rPr>
                                          <w:rFonts w:ascii="Candara" w:eastAsia="Calibri" w:hAnsi="Candara" w:cs="Arial"/>
                                          <w:color w:val="000000" w:themeColor="text1"/>
                                          <w:kern w:val="24"/>
                                          <w:sz w:val="18"/>
                                          <w:szCs w:val="18"/>
                                        </w:rPr>
                                        <w:t xml:space="preserve">  (</w:t>
                                      </w:r>
                                      <w:r>
                                        <w:rPr>
                                          <w:rFonts w:ascii="Candara" w:eastAsia="Calibri" w:hAnsi="Candara" w:cs="Arial"/>
                                          <w:color w:val="000000" w:themeColor="text1"/>
                                          <w:kern w:val="24"/>
                                          <w:sz w:val="18"/>
                                          <w:szCs w:val="18"/>
                                        </w:rPr>
                                        <w:t>Jun</w:t>
                                      </w:r>
                                      <w:r w:rsidRPr="002B1CE3">
                                        <w:rPr>
                                          <w:rFonts w:ascii="Candara" w:eastAsia="Calibri" w:hAnsi="Candara" w:cs="Arial"/>
                                          <w:color w:val="000000" w:themeColor="text1"/>
                                          <w:kern w:val="24"/>
                                          <w:sz w:val="18"/>
                                          <w:szCs w:val="18"/>
                                        </w:rPr>
                                        <w:t xml:space="preserve"> 2016)</w:t>
                                      </w:r>
                                    </w:p>
                                  </w:txbxContent>
                                </wps:txbx>
                                <wps:bodyPr wrap="square" lIns="0" tIns="0" rIns="0" bIns="0" anchor="ctr"/>
                              </wps:wsp>
                              <wpg:grpSp>
                                <wpg:cNvPr id="376" name="Group 376"/>
                                <wpg:cNvGrpSpPr/>
                                <wpg:grpSpPr>
                                  <a:xfrm>
                                    <a:off x="0" y="0"/>
                                    <a:ext cx="2271395" cy="7943850"/>
                                    <a:chOff x="0" y="0"/>
                                    <a:chExt cx="2271395" cy="7943850"/>
                                  </a:xfrm>
                                </wpg:grpSpPr>
                                <wps:wsp xmlns:wps="http://schemas.microsoft.com/office/word/2010/wordprocessingShape">
                                  <wps:cNvPr id="17421" name="Arrow: Down 17421"/>
                                  <wps:cNvSpPr/>
                                  <wps:spPr>
                                    <a:xfrm rot="10800000">
                                      <a:off x="1809750" y="0"/>
                                      <a:ext cx="461645" cy="7943850"/>
                                    </a:xfrm>
                                    <a:prstGeom prst="downArrow">
                                      <a:avLst/>
                                    </a:prstGeom>
                                    <a:solidFill>
                                      <a:srgbClr val="4472C4">
                                        <a:lumMod val="75000"/>
                                      </a:srgbClr>
                                    </a:solidFill>
                                    <a:ln w="6350">
                                      <a:solidFill>
                                        <a:srgbClr val="4472C4">
                                          <a:shade val="5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g:grpSp>
                                  <wpg:cNvPr id="34862" name="Group 15"/>
                                  <wpg:cNvGrpSpPr/>
                                  <wpg:grpSpPr>
                                    <a:xfrm rot="16200000">
                                      <a:off x="1795462" y="6977063"/>
                                      <a:ext cx="180975" cy="476250"/>
                                      <a:chOff x="0" y="0"/>
                                      <a:chExt cx="180975" cy="476638"/>
                                    </a:xfrm>
                                  </wpg:grpSpPr>
                                  <wps:wsp xmlns:wps="http://schemas.microsoft.com/office/word/2010/wordprocessingShape">
                                    <wps:cNvPr id="34863" name="Straight Arrow Connector 34863"/>
                                    <wps:cNvCnPr/>
                                    <wps:spPr>
                                      <a:xfrm>
                                        <a:off x="84401" y="0"/>
                                        <a:ext cx="646" cy="245282"/>
                                      </a:xfrm>
                                      <a:prstGeom prst="straightConnector1">
                                        <a:avLst/>
                                      </a:prstGeom>
                                      <a:noFill/>
                                      <a:ln w="6350">
                                        <a:solidFill>
                                          <a:srgbClr val="00B0F0"/>
                                        </a:solidFill>
                                        <a:miter lim="800000"/>
                                        <a:tailEnd type="triangle"/>
                                      </a:ln>
                                      <a:effectLst/>
                                    </wps:spPr>
                                    <wps:bodyPr/>
                                  </wps:wsp>
                                  <wps:wsp xmlns:wps="http://schemas.microsoft.com/office/word/2010/wordprocessingShape">
                                    <wps:cNvPr id="34864" name="Oval 34864"/>
                                    <wps:cNvSpPr/>
                                    <wps:spPr>
                                      <a:xfrm>
                                        <a:off x="0" y="297250"/>
                                        <a:ext cx="180975" cy="179388"/>
                                      </a:xfrm>
                                      <a:prstGeom prst="ellipse">
                                        <a:avLst/>
                                      </a:prstGeom>
                                      <a:solidFill>
                                        <a:srgbClr val="00B0F0"/>
                                      </a:solidFill>
                                      <a:ln w="12700">
                                        <a:solidFill>
                                          <a:sysClr val="window" lastClr="FFFFFF">
                                            <a:hueOff val="0"/>
                                            <a:satOff val="0"/>
                                            <a:lumOff val="0"/>
                                            <a:alphaOff val="0"/>
                                          </a:sysClr>
                                        </a:solidFill>
                                        <a:miter lim="800000"/>
                                      </a:ln>
                                      <a:effectLst/>
                                    </wps:spPr>
                                    <wps:bodyPr/>
                                  </wps:wsp>
                                </wpg:grpSp>
                                <wpg:grpSp>
                                  <wpg:cNvPr id="34854" name="Group 15"/>
                                  <wpg:cNvGrpSpPr/>
                                  <wpg:grpSpPr>
                                    <a:xfrm rot="16200000">
                                      <a:off x="1795462" y="5719763"/>
                                      <a:ext cx="180975" cy="476250"/>
                                      <a:chOff x="0" y="0"/>
                                      <a:chExt cx="180975" cy="476638"/>
                                    </a:xfrm>
                                  </wpg:grpSpPr>
                                  <wps:wsp xmlns:wps="http://schemas.microsoft.com/office/word/2010/wordprocessingShape">
                                    <wps:cNvPr id="34855" name="Straight Arrow Connector 34855"/>
                                    <wps:cNvCnPr/>
                                    <wps:spPr>
                                      <a:xfrm>
                                        <a:off x="84401" y="0"/>
                                        <a:ext cx="646" cy="245282"/>
                                      </a:xfrm>
                                      <a:prstGeom prst="straightConnector1">
                                        <a:avLst/>
                                      </a:prstGeom>
                                      <a:noFill/>
                                      <a:ln w="6350">
                                        <a:solidFill>
                                          <a:srgbClr val="00B0F0"/>
                                        </a:solidFill>
                                        <a:miter lim="800000"/>
                                        <a:tailEnd type="triangle"/>
                                      </a:ln>
                                      <a:effectLst/>
                                    </wps:spPr>
                                    <wps:bodyPr/>
                                  </wps:wsp>
                                  <wps:wsp xmlns:wps="http://schemas.microsoft.com/office/word/2010/wordprocessingShape">
                                    <wps:cNvPr id="34856" name="Oval 34856"/>
                                    <wps:cNvSpPr/>
                                    <wps:spPr>
                                      <a:xfrm>
                                        <a:off x="0" y="297250"/>
                                        <a:ext cx="180975" cy="179388"/>
                                      </a:xfrm>
                                      <a:prstGeom prst="ellipse">
                                        <a:avLst/>
                                      </a:prstGeom>
                                      <a:solidFill>
                                        <a:srgbClr val="00B0F0"/>
                                      </a:solidFill>
                                      <a:ln w="12700">
                                        <a:solidFill>
                                          <a:sysClr val="window" lastClr="FFFFFF">
                                            <a:hueOff val="0"/>
                                            <a:satOff val="0"/>
                                            <a:lumOff val="0"/>
                                            <a:alphaOff val="0"/>
                                          </a:sysClr>
                                        </a:solidFill>
                                        <a:miter lim="800000"/>
                                      </a:ln>
                                      <a:effectLst/>
                                    </wps:spPr>
                                    <wps:bodyPr/>
                                  </wps:wsp>
                                </wpg:grpSp>
                                <wpg:grpSp>
                                  <wpg:cNvPr id="218" name="Group 15"/>
                                  <wpg:cNvGrpSpPr/>
                                  <wpg:grpSpPr>
                                    <a:xfrm rot="16200000">
                                      <a:off x="1795462" y="4310063"/>
                                      <a:ext cx="180975" cy="476250"/>
                                      <a:chOff x="0" y="0"/>
                                      <a:chExt cx="180975" cy="476638"/>
                                    </a:xfrm>
                                  </wpg:grpSpPr>
                                  <wps:wsp xmlns:wps="http://schemas.microsoft.com/office/word/2010/wordprocessingShape">
                                    <wps:cNvPr id="219" name="Straight Arrow Connector 219"/>
                                    <wps:cNvCnPr/>
                                    <wps:spPr>
                                      <a:xfrm>
                                        <a:off x="84401" y="0"/>
                                        <a:ext cx="646" cy="245282"/>
                                      </a:xfrm>
                                      <a:prstGeom prst="straightConnector1">
                                        <a:avLst/>
                                      </a:prstGeom>
                                      <a:noFill/>
                                      <a:ln w="6350">
                                        <a:solidFill>
                                          <a:srgbClr val="00B0F0"/>
                                        </a:solidFill>
                                        <a:miter lim="800000"/>
                                        <a:tailEnd type="triangle"/>
                                      </a:ln>
                                      <a:effectLst/>
                                    </wps:spPr>
                                    <wps:bodyPr/>
                                  </wps:wsp>
                                  <wps:wsp xmlns:wps="http://schemas.microsoft.com/office/word/2010/wordprocessingShape">
                                    <wps:cNvPr id="220" name="Oval 220"/>
                                    <wps:cNvSpPr/>
                                    <wps:spPr>
                                      <a:xfrm>
                                        <a:off x="0" y="297250"/>
                                        <a:ext cx="180975" cy="179388"/>
                                      </a:xfrm>
                                      <a:prstGeom prst="ellipse">
                                        <a:avLst/>
                                      </a:prstGeom>
                                      <a:solidFill>
                                        <a:srgbClr val="00B0F0"/>
                                      </a:solidFill>
                                      <a:ln w="12700">
                                        <a:solidFill>
                                          <a:sysClr val="window" lastClr="FFFFFF">
                                            <a:hueOff val="0"/>
                                            <a:satOff val="0"/>
                                            <a:lumOff val="0"/>
                                            <a:alphaOff val="0"/>
                                          </a:sysClr>
                                        </a:solidFill>
                                        <a:miter lim="800000"/>
                                      </a:ln>
                                      <a:effectLst/>
                                    </wps:spPr>
                                    <wps:bodyPr/>
                                  </wps:wsp>
                                </wpg:grpSp>
                                <wpg:grpSp>
                                  <wpg:cNvPr id="17422" name="Group 15"/>
                                  <wpg:cNvGrpSpPr/>
                                  <wpg:grpSpPr>
                                    <a:xfrm rot="16200000">
                                      <a:off x="1795462" y="1881188"/>
                                      <a:ext cx="180975" cy="476250"/>
                                      <a:chOff x="0" y="0"/>
                                      <a:chExt cx="180975" cy="476638"/>
                                    </a:xfrm>
                                  </wpg:grpSpPr>
                                  <wps:wsp xmlns:wps="http://schemas.microsoft.com/office/word/2010/wordprocessingShape">
                                    <wps:cNvPr id="17423" name="Straight Arrow Connector 17423"/>
                                    <wps:cNvCnPr/>
                                    <wps:spPr>
                                      <a:xfrm>
                                        <a:off x="84401" y="0"/>
                                        <a:ext cx="646" cy="245282"/>
                                      </a:xfrm>
                                      <a:prstGeom prst="straightConnector1">
                                        <a:avLst/>
                                      </a:prstGeom>
                                      <a:noFill/>
                                      <a:ln w="6350">
                                        <a:solidFill>
                                          <a:srgbClr val="00B0F0"/>
                                        </a:solidFill>
                                        <a:miter lim="800000"/>
                                        <a:tailEnd type="triangle"/>
                                      </a:ln>
                                      <a:effectLst/>
                                    </wps:spPr>
                                    <wps:bodyPr/>
                                  </wps:wsp>
                                  <wps:wsp xmlns:wps="http://schemas.microsoft.com/office/word/2010/wordprocessingShape">
                                    <wps:cNvPr id="17424" name="Oval 17424"/>
                                    <wps:cNvSpPr/>
                                    <wps:spPr>
                                      <a:xfrm>
                                        <a:off x="0" y="297250"/>
                                        <a:ext cx="180975" cy="179388"/>
                                      </a:xfrm>
                                      <a:prstGeom prst="ellipse">
                                        <a:avLst/>
                                      </a:prstGeom>
                                      <a:solidFill>
                                        <a:srgbClr val="00B0F0"/>
                                      </a:solidFill>
                                      <a:ln w="12700">
                                        <a:solidFill>
                                          <a:sysClr val="window" lastClr="FFFFFF">
                                            <a:hueOff val="0"/>
                                            <a:satOff val="0"/>
                                            <a:lumOff val="0"/>
                                            <a:alphaOff val="0"/>
                                          </a:sysClr>
                                        </a:solidFill>
                                        <a:miter lim="800000"/>
                                      </a:ln>
                                      <a:effectLst/>
                                    </wps:spPr>
                                    <wps:bodyPr/>
                                  </wps:wsp>
                                </wpg:grpSp>
                                <wpg:grpSp>
                                  <wpg:cNvPr id="375" name="Group 375"/>
                                  <wpg:cNvGrpSpPr/>
                                  <wpg:grpSpPr>
                                    <a:xfrm>
                                      <a:off x="0" y="381000"/>
                                      <a:ext cx="1885950" cy="1572260"/>
                                      <a:chOff x="0" y="0"/>
                                      <a:chExt cx="1885950" cy="1572260"/>
                                    </a:xfrm>
                                  </wpg:grpSpPr>
                                  <wps:wsp xmlns:wps="http://schemas.microsoft.com/office/word/2010/wordprocessingShape">
                                    <wps:cNvPr id="34883" name="Rounded Rectangle 55"/>
                                    <wps:cNvSpPr/>
                                    <wps:spPr>
                                      <a:xfrm>
                                        <a:off x="38100" y="447675"/>
                                        <a:ext cx="1832610" cy="504825"/>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0705B019">
                                          <w:pPr>
                                            <w:pStyle w:val="NormalWeb"/>
                                            <w:kinsoku w:val="0"/>
                                            <w:overflowPunct w:val="0"/>
                                            <w:spacing w:before="0" w:beforeAutospacing="0" w:after="0" w:afterAutospacing="0" w:line="216" w:lineRule="auto"/>
                                            <w:jc w:val="center"/>
                                            <w:textAlignment w:val="baseline"/>
                                            <w:rPr>
                                              <w:sz w:val="20"/>
                                              <w:szCs w:val="20"/>
                                            </w:rPr>
                                          </w:pPr>
                                          <w:r w:rsidRPr="00042324">
                                            <w:rPr>
                                              <w:rFonts w:ascii="Candara" w:eastAsia="Calibri" w:hAnsi="Candara" w:cs="Arial"/>
                                              <w:bCs/>
                                              <w:color w:val="FFFFFF" w:themeColor="background1"/>
                                              <w:kern w:val="24"/>
                                              <w:sz w:val="20"/>
                                              <w:szCs w:val="20"/>
                                            </w:rPr>
                                            <w:t>ES valodu un kopīgo dokt. programmu izvērtējums</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Jūl 2017</w:t>
                                          </w:r>
                                          <w:r w:rsidRPr="00B07C59">
                                            <w:rPr>
                                              <w:rFonts w:ascii="Candara" w:eastAsia="Calibri" w:hAnsi="Candara" w:cs="Arial"/>
                                              <w:bCs/>
                                              <w:color w:val="FFFFFF" w:themeColor="background1"/>
                                              <w:kern w:val="24"/>
                                              <w:sz w:val="20"/>
                                              <w:szCs w:val="20"/>
                                            </w:rPr>
                                            <w:t>)</w:t>
                                          </w:r>
                                        </w:p>
                                      </w:txbxContent>
                                    </wps:txbx>
                                    <wps:bodyPr wrap="square" lIns="0" tIns="0" rIns="0" bIns="0" anchor="ctr"/>
                                  </wps:wsp>
                                  <wps:wsp xmlns:wps="http://schemas.microsoft.com/office/word/2010/wordprocessingShape">
                                    <wps:cNvPr id="34887" name="Rounded Rectangle 55"/>
                                    <wps:cNvSpPr/>
                                    <wps:spPr>
                                      <a:xfrm>
                                        <a:off x="28575" y="0"/>
                                        <a:ext cx="1832610" cy="390525"/>
                                      </a:xfrm>
                                      <a:prstGeom prst="roundRect">
                                        <a:avLst>
                                          <a:gd name="adj" fmla="val 11332"/>
                                        </a:avLst>
                                      </a:prstGeom>
                                      <a:solidFill>
                                        <a:srgbClr val="FFC000">
                                          <a:lumMod val="75000"/>
                                        </a:srgbClr>
                                      </a:solidFill>
                                      <a:ln w="6350">
                                        <a:solidFill>
                                          <a:srgbClr val="4472C4"/>
                                        </a:solidFill>
                                        <a:miter lim="800000"/>
                                      </a:ln>
                                      <a:effectLst/>
                                    </wps:spPr>
                                    <wps:txbx>
                                      <w:txbxContent>
                                        <w:p w:rsidR="00B55C40" w:rsidRPr="00B07C59" w:rsidP="00921BC7" w14:textId="00415094">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
                                              <w:bCs/>
                                              <w:color w:val="FFFFFF" w:themeColor="background1"/>
                                              <w:kern w:val="24"/>
                                              <w:sz w:val="20"/>
                                              <w:szCs w:val="20"/>
                                            </w:rPr>
                                            <w:t>P&amp;A ex-post izvērtējums</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Jan-dec 2017</w:t>
                                          </w:r>
                                          <w:r w:rsidRPr="00B07C59">
                                            <w:rPr>
                                              <w:rFonts w:ascii="Candara" w:eastAsia="Calibri" w:hAnsi="Candara" w:cs="Arial"/>
                                              <w:bCs/>
                                              <w:color w:val="FFFFFF" w:themeColor="background1"/>
                                              <w:kern w:val="24"/>
                                              <w:sz w:val="20"/>
                                              <w:szCs w:val="20"/>
                                            </w:rPr>
                                            <w:t>)</w:t>
                                          </w:r>
                                        </w:p>
                                      </w:txbxContent>
                                    </wps:txbx>
                                    <wps:bodyPr wrap="square" lIns="0" tIns="0" rIns="0" bIns="0" anchor="ctr"/>
                                  </wps:wsp>
                                  <wps:wsp xmlns:wps="http://schemas.microsoft.com/office/word/2010/wordprocessingShape">
                                    <wps:cNvPr id="34870" name="Rounded Rectangle 28"/>
                                    <wps:cNvSpPr/>
                                    <wps:spPr bwMode="auto">
                                      <a:xfrm>
                                        <a:off x="0" y="990600"/>
                                        <a:ext cx="1885950" cy="581660"/>
                                      </a:xfrm>
                                      <a:prstGeom prst="roundRect">
                                        <a:avLst>
                                          <a:gd name="adj" fmla="val 8567"/>
                                        </a:avLst>
                                      </a:prstGeom>
                                      <a:solidFill>
                                        <a:srgbClr val="92D050"/>
                                      </a:solidFill>
                                      <a:ln w="12700">
                                        <a:solidFill>
                                          <a:srgbClr val="A5A5A5">
                                            <a:lumMod val="75000"/>
                                          </a:srgbClr>
                                        </a:solidFill>
                                        <a:miter lim="800000"/>
                                      </a:ln>
                                      <a:effectLst/>
                                    </wps:spPr>
                                    <wps:txbx>
                                      <w:txbxContent>
                                        <w:p w:rsidR="00B55C40" w:rsidP="00746067" w14:textId="77777777">
                                          <w:pPr>
                                            <w:kinsoku w:val="0"/>
                                            <w:overflowPunct w:val="0"/>
                                            <w:spacing w:after="0" w:line="216" w:lineRule="auto"/>
                                            <w:jc w:val="center"/>
                                            <w:textAlignment w:val="baseline"/>
                                            <w:rPr>
                                              <w:rFonts w:ascii="Candara" w:eastAsia="Calibri" w:hAnsi="Candara" w:cs="Arial"/>
                                              <w:color w:val="000000" w:themeColor="text1"/>
                                              <w:kern w:val="24"/>
                                              <w:sz w:val="20"/>
                                              <w:szCs w:val="20"/>
                                            </w:rPr>
                                          </w:pPr>
                                          <w:r>
                                            <w:rPr>
                                              <w:rFonts w:ascii="Candara" w:eastAsia="Calibri" w:hAnsi="Candara" w:cs="Arial"/>
                                              <w:b/>
                                              <w:color w:val="000000" w:themeColor="text1"/>
                                              <w:kern w:val="24"/>
                                              <w:sz w:val="20"/>
                                              <w:szCs w:val="20"/>
                                            </w:rPr>
                                            <w:t>Jaunuzņēmumus regulējošie MKN</w:t>
                                          </w:r>
                                          <w:r w:rsidRPr="00B07C59">
                                            <w:rPr>
                                              <w:rFonts w:ascii="Candara" w:eastAsia="Calibri" w:hAnsi="Candara" w:cs="Arial"/>
                                              <w:b/>
                                              <w:color w:val="000000" w:themeColor="text1"/>
                                              <w:kern w:val="24"/>
                                              <w:sz w:val="20"/>
                                              <w:szCs w:val="20"/>
                                            </w:rPr>
                                            <w:t xml:space="preserve"> </w:t>
                                          </w:r>
                                          <w:r>
                                            <w:rPr>
                                              <w:rFonts w:ascii="Candara" w:eastAsia="Calibri" w:hAnsi="Candara" w:cs="Arial"/>
                                              <w:b/>
                                              <w:color w:val="000000" w:themeColor="text1"/>
                                              <w:kern w:val="24"/>
                                              <w:sz w:val="20"/>
                                              <w:szCs w:val="20"/>
                                            </w:rPr>
                                            <w:br/>
                                          </w:r>
                                          <w:r w:rsidRPr="00B07C59">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Jan-Febr 2017</w:t>
                                          </w:r>
                                          <w:r w:rsidRPr="00B07C59">
                                            <w:rPr>
                                              <w:rFonts w:ascii="Candara" w:eastAsia="Calibri" w:hAnsi="Candara" w:cs="Arial"/>
                                              <w:color w:val="000000" w:themeColor="text1"/>
                                              <w:kern w:val="24"/>
                                              <w:sz w:val="20"/>
                                              <w:szCs w:val="20"/>
                                            </w:rPr>
                                            <w:t>)</w:t>
                                          </w:r>
                                        </w:p>
                                        <w:p w:rsidR="00B55C40" w:rsidP="00042324"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Vērtēšanas komisijas nolikums</w:t>
                                          </w:r>
                                        </w:p>
                                        <w:p w:rsidR="00B55C40" w:rsidRPr="000407A3" w:rsidP="00042324"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Atbalsta programmu kārtība</w:t>
                                          </w:r>
                                        </w:p>
                                        <w:p w:rsidR="00B55C40" w:rsidRPr="000407A3" w:rsidP="00746067" w14:textId="77777777">
                                          <w:pPr>
                                            <w:pStyle w:val="NormalWeb"/>
                                            <w:ind w:left="567" w:hanging="283"/>
                                            <w:rPr>
                                              <w:rFonts w:ascii="Candara" w:eastAsia="Calibri" w:hAnsi="Candara" w:cs="Arial"/>
                                              <w:color w:val="000000" w:themeColor="text1"/>
                                              <w:kern w:val="24"/>
                                              <w:sz w:val="18"/>
                                              <w:szCs w:val="20"/>
                                            </w:rPr>
                                          </w:pPr>
                                        </w:p>
                                      </w:txbxContent>
                                    </wps:txbx>
                                    <wps:bodyPr wrap="square" lIns="0" tIns="0" rIns="0" bIns="0" anchor="ctr"/>
                                  </wps:wsp>
                                </wpg:grpSp>
                              </wpg:grpSp>
                            </wpg:grpSp>
                          </wpg:grpSp>
                        </wpg:grpSp>
                        <wps:wsp xmlns:wps="http://schemas.microsoft.com/office/word/2010/wordprocessingShape">
                          <wps:cNvPr id="365" name="Rounded Rectangle 28"/>
                          <wps:cNvSpPr/>
                          <wps:spPr bwMode="auto">
                            <a:xfrm>
                              <a:off x="2266950" y="4552950"/>
                              <a:ext cx="2977515" cy="409575"/>
                            </a:xfrm>
                            <a:prstGeom prst="roundRect">
                              <a:avLst>
                                <a:gd name="adj" fmla="val 8567"/>
                              </a:avLst>
                            </a:prstGeom>
                            <a:solidFill>
                              <a:srgbClr val="92D050"/>
                            </a:solidFill>
                            <a:ln w="12700">
                              <a:solidFill>
                                <a:srgbClr val="A5A5A5">
                                  <a:lumMod val="75000"/>
                                </a:srgbClr>
                              </a:solidFill>
                              <a:miter lim="800000"/>
                            </a:ln>
                            <a:effectLst/>
                          </wps:spPr>
                          <wps:txbx>
                            <w:txbxContent>
                              <w:p w:rsidR="00B55C40" w:rsidRPr="00563C8B" w:rsidP="00F21492" w14:textId="77777777">
                                <w:pPr>
                                  <w:kinsoku w:val="0"/>
                                  <w:overflowPunct w:val="0"/>
                                  <w:spacing w:after="0" w:line="216" w:lineRule="auto"/>
                                  <w:jc w:val="center"/>
                                  <w:textAlignment w:val="baseline"/>
                                  <w:rPr>
                                    <w:rFonts w:ascii="Candara" w:hAnsi="Candara" w:cs="Arial"/>
                                    <w:b/>
                                    <w:color w:val="000000"/>
                                    <w:kern w:val="24"/>
                                    <w:sz w:val="20"/>
                                    <w:szCs w:val="20"/>
                                  </w:rPr>
                                </w:pPr>
                                <w:r w:rsidRPr="00563C8B">
                                  <w:rPr>
                                    <w:rFonts w:ascii="Candara" w:hAnsi="Candara" w:cs="Arial"/>
                                    <w:b/>
                                    <w:color w:val="000000"/>
                                    <w:kern w:val="24"/>
                                    <w:sz w:val="20"/>
                                    <w:szCs w:val="20"/>
                                  </w:rPr>
                                  <w:t xml:space="preserve">Grozījumi augstskolu un koledžu finansēšanas MKN </w:t>
                                </w:r>
                                <w:r w:rsidRPr="00563C8B">
                                  <w:rPr>
                                    <w:rFonts w:ascii="Candara" w:hAnsi="Candara" w:cs="Arial"/>
                                    <w:b/>
                                    <w:color w:val="000000"/>
                                    <w:kern w:val="24"/>
                                    <w:sz w:val="20"/>
                                    <w:szCs w:val="20"/>
                                  </w:rPr>
                                  <w:br/>
                                </w:r>
                                <w:r w:rsidRPr="00563C8B">
                                  <w:rPr>
                                    <w:rFonts w:ascii="Candara" w:hAnsi="Candara" w:cs="Arial"/>
                                    <w:color w:val="000000"/>
                                    <w:kern w:val="24"/>
                                    <w:sz w:val="20"/>
                                    <w:szCs w:val="20"/>
                                  </w:rPr>
                                  <w:t>(Jul 2015)</w:t>
                                </w:r>
                              </w:p>
                              <w:p w:rsidR="00B55C40" w:rsidRPr="00563C8B" w:rsidP="00F21492" w14:textId="77777777">
                                <w:pPr>
                                  <w:numPr>
                                    <w:ilvl w:val="0"/>
                                    <w:numId w:val="1"/>
                                  </w:numPr>
                                  <w:kinsoku w:val="0"/>
                                  <w:overflowPunct w:val="0"/>
                                  <w:spacing w:line="216" w:lineRule="auto"/>
                                  <w:ind w:left="567" w:hanging="283"/>
                                  <w:textAlignment w:val="baseline"/>
                                  <w:rPr>
                                    <w:rFonts w:ascii="Candara" w:hAnsi="Candara" w:cs="Arial"/>
                                    <w:color w:val="000000"/>
                                    <w:kern w:val="24"/>
                                    <w:sz w:val="18"/>
                                    <w:szCs w:val="20"/>
                                  </w:rPr>
                                </w:pPr>
                                <w:r w:rsidRPr="00563C8B">
                                  <w:rPr>
                                    <w:rFonts w:ascii="Candara" w:hAnsi="Candara" w:cs="Arial"/>
                                    <w:color w:val="000000"/>
                                    <w:kern w:val="24"/>
                                    <w:sz w:val="18"/>
                                    <w:szCs w:val="20"/>
                                  </w:rPr>
                                  <w:t>2.pīlāra ieviešana</w:t>
                                </w:r>
                              </w:p>
                              <w:p w:rsidR="00B55C40" w:rsidRPr="000407A3" w:rsidP="00F21492" w14:textId="77777777">
                                <w:pPr>
                                  <w:ind w:left="567" w:hanging="283"/>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lang w:eastAsia="lv-LV"/>
                                  </w:rPr>
                                  <w:t>Daļēji finansē akad.personāla pētniecisko darbu</w:t>
                                </w:r>
                              </w:p>
                            </w:txbxContent>
                          </wps:txbx>
                          <wps:bodyPr wrap="square" lIns="0" tIns="0" rIns="0" bIns="0" anchor="ctr"/>
                        </wps:wsp>
                      </wpg:grpSp>
                    </wpg:wgp>
                  </a:graphicData>
                </a:graphic>
              </wp:anchor>
            </w:drawing>
          </mc:Choice>
          <mc:Fallback>
            <w:pict>
              <v:group id="Group 381" o:spid="_x0000_s1260" style="width:417pt;height:628.5pt;margin-top:28.35pt;margin-left:16.95pt;mso-wrap-distance-bottom:0;mso-wrap-distance-left:9pt;mso-wrap-distance-right:9pt;mso-wrap-distance-top:0;position:absolute;z-index:251863040" coordorigin="0,0" coordsize="21600,21600">
                <v:roundrect id="_x0000_s1261" style="width:10899;height:1735;left:9201;position:absolute;top:19865;v-text-anchor:middle" arcsize="10923f" fillcolor="#92d050" stroked="t" strokecolor="#7b7b7b" strokeweight="1pt">
                  <v:textbox inset="0,0,0,0">
                    <w:txbxContent>
                      <w:p w:rsidR="00B55C40" w:rsidRPr="00B07C59" w:rsidP="00921BC7" w14:paraId="66D9147D"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sidRPr="00B07C59">
                          <w:rPr>
                            <w:rFonts w:ascii="Candara" w:eastAsia="Calibri" w:hAnsi="Candara" w:cs="Arial"/>
                            <w:b/>
                            <w:color w:val="000000" w:themeColor="text1"/>
                            <w:kern w:val="24"/>
                            <w:sz w:val="20"/>
                            <w:szCs w:val="20"/>
                          </w:rPr>
                          <w:t xml:space="preserve">Jauni zinātnes bāzes MKN </w:t>
                        </w:r>
                        <w:r w:rsidRPr="00B07C59">
                          <w:rPr>
                            <w:rFonts w:ascii="Candara" w:eastAsia="Calibri" w:hAnsi="Candara" w:cs="Arial"/>
                            <w:color w:val="000000" w:themeColor="text1"/>
                            <w:kern w:val="24"/>
                            <w:sz w:val="20"/>
                            <w:szCs w:val="20"/>
                          </w:rPr>
                          <w:t>(Nov 2013)</w:t>
                        </w:r>
                      </w:p>
                      <w:p w:rsidR="00B55C40" w:rsidRPr="000407A3" w:rsidP="00921BC7" w14:paraId="30F3E1DE"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sidRPr="000407A3">
                          <w:rPr>
                            <w:rFonts w:ascii="Candara" w:eastAsia="Calibri" w:hAnsi="Candara" w:cs="Arial"/>
                            <w:color w:val="000000" w:themeColor="text1"/>
                            <w:kern w:val="24"/>
                            <w:sz w:val="18"/>
                            <w:szCs w:val="20"/>
                          </w:rPr>
                          <w:t>Ņem vērā pies</w:t>
                        </w:r>
                        <w:r>
                          <w:rPr>
                            <w:rFonts w:ascii="Candara" w:eastAsia="Calibri" w:hAnsi="Candara" w:cs="Arial"/>
                            <w:color w:val="000000" w:themeColor="text1"/>
                            <w:kern w:val="24"/>
                            <w:sz w:val="18"/>
                            <w:szCs w:val="20"/>
                          </w:rPr>
                          <w:t>aistīto pētniecības finansējumu</w:t>
                        </w:r>
                      </w:p>
                      <w:p w:rsidR="00B55C40" w:rsidRPr="000407A3" w:rsidP="00921BC7" w14:paraId="172CCF0D"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sidRPr="000407A3">
                          <w:rPr>
                            <w:rFonts w:ascii="Candara" w:eastAsia="Calibri" w:hAnsi="Candara" w:cs="Arial"/>
                            <w:color w:val="000000" w:themeColor="text1"/>
                            <w:kern w:val="24"/>
                            <w:sz w:val="18"/>
                            <w:szCs w:val="20"/>
                          </w:rPr>
                          <w:t>Publikācijas augstākas kvalit.</w:t>
                        </w:r>
                        <w:r>
                          <w:rPr>
                            <w:rFonts w:ascii="Candara" w:eastAsia="Calibri" w:hAnsi="Candara" w:cs="Arial"/>
                            <w:color w:val="000000" w:themeColor="text1"/>
                            <w:kern w:val="24"/>
                            <w:sz w:val="18"/>
                            <w:szCs w:val="20"/>
                          </w:rPr>
                          <w:t xml:space="preserve"> </w:t>
                        </w:r>
                        <w:r w:rsidRPr="000407A3">
                          <w:rPr>
                            <w:rFonts w:ascii="Candara" w:eastAsia="Calibri" w:hAnsi="Candara" w:cs="Arial"/>
                            <w:color w:val="000000" w:themeColor="text1"/>
                            <w:kern w:val="24"/>
                            <w:sz w:val="18"/>
                            <w:szCs w:val="20"/>
                          </w:rPr>
                          <w:t>zinātniskajos izdevumos</w:t>
                        </w:r>
                      </w:p>
                    </w:txbxContent>
                  </v:textbox>
                </v:roundrect>
                <v:group id="_x0000_s1262" style="width:21600;height:21600;position:absolute" coordorigin="0,0" coordsize="21600,21600">
                  <v:roundrect id="_x0000_s1263" style="width:12438;height:1696;left:9162;position:absolute;top:17223;v-text-anchor:middle" arcsize="10923f" fillcolor="#92d050" stroked="t" strokecolor="#7b7b7b" strokeweight="1pt">
                    <v:textbox inset="0,0,0,0">
                      <w:txbxContent>
                        <w:p w:rsidR="00B55C40" w:rsidRPr="00B07C59" w:rsidP="00921BC7" w14:paraId="57B2812B"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Pr>
                              <w:rFonts w:ascii="Candara" w:eastAsia="Calibri" w:hAnsi="Candara" w:cs="Arial"/>
                              <w:b/>
                              <w:color w:val="000000" w:themeColor="text1"/>
                              <w:kern w:val="24"/>
                              <w:sz w:val="20"/>
                              <w:szCs w:val="20"/>
                            </w:rPr>
                            <w:t>Grozījumi (2X)</w:t>
                          </w:r>
                          <w:r w:rsidRPr="00B07C59">
                            <w:rPr>
                              <w:rFonts w:ascii="Candara" w:eastAsia="Calibri" w:hAnsi="Candara" w:cs="Arial"/>
                              <w:b/>
                              <w:color w:val="000000" w:themeColor="text1"/>
                              <w:kern w:val="24"/>
                              <w:sz w:val="20"/>
                              <w:szCs w:val="20"/>
                            </w:rPr>
                            <w:t xml:space="preserve"> zinātnes bāzes MKN </w:t>
                          </w:r>
                          <w:r w:rsidRPr="00B07C59">
                            <w:rPr>
                              <w:rFonts w:ascii="Candara" w:eastAsia="Calibri" w:hAnsi="Candara" w:cs="Arial"/>
                              <w:color w:val="000000" w:themeColor="text1"/>
                              <w:kern w:val="24"/>
                              <w:sz w:val="20"/>
                              <w:szCs w:val="20"/>
                            </w:rPr>
                            <w:t>(Nov 2014</w:t>
                          </w:r>
                          <w:r>
                            <w:rPr>
                              <w:rFonts w:ascii="Candara" w:eastAsia="Calibri" w:hAnsi="Candara" w:cs="Arial"/>
                              <w:color w:val="000000" w:themeColor="text1"/>
                              <w:kern w:val="24"/>
                              <w:sz w:val="20"/>
                              <w:szCs w:val="20"/>
                            </w:rPr>
                            <w:t>/Okt 2015</w:t>
                          </w:r>
                          <w:r w:rsidRPr="00B07C59">
                            <w:rPr>
                              <w:rFonts w:ascii="Candara" w:eastAsia="Calibri" w:hAnsi="Candara" w:cs="Arial"/>
                              <w:color w:val="000000" w:themeColor="text1"/>
                              <w:kern w:val="24"/>
                              <w:sz w:val="20"/>
                              <w:szCs w:val="20"/>
                            </w:rPr>
                            <w:t>)</w:t>
                          </w:r>
                        </w:p>
                        <w:p w:rsidR="00B55C40" w:rsidRPr="00B07C59" w:rsidP="00921BC7" w14:paraId="76122B61"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rPr>
                            <w:t>Zi</w:t>
                          </w:r>
                          <w:r>
                            <w:rPr>
                              <w:rFonts w:ascii="Candara" w:eastAsia="Calibri" w:hAnsi="Candara" w:cs="Arial"/>
                              <w:color w:val="000000" w:themeColor="text1"/>
                              <w:kern w:val="24"/>
                              <w:sz w:val="18"/>
                              <w:szCs w:val="20"/>
                            </w:rPr>
                            <w:t>nātnisko datubāžu apmaksa no VB</w:t>
                          </w:r>
                        </w:p>
                        <w:p w:rsidR="00B55C40" w:rsidRPr="00B07C59" w:rsidP="00921BC7" w14:paraId="3217237F" w14:textId="77777777">
                          <w:pPr>
                            <w:pStyle w:val="NormalWeb"/>
                            <w:numPr>
                              <w:ilvl w:val="0"/>
                              <w:numId w:val="1"/>
                            </w:numPr>
                            <w:kinsoku w:val="0"/>
                            <w:overflowPunct w:val="0"/>
                            <w:spacing w:line="216" w:lineRule="auto"/>
                            <w:ind w:left="567" w:hanging="283"/>
                            <w:textAlignment w:val="baseline"/>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rPr>
                            <w:t>Nefin</w:t>
                          </w:r>
                          <w:r>
                            <w:rPr>
                              <w:rFonts w:ascii="Candara" w:eastAsia="Calibri" w:hAnsi="Candara" w:cs="Arial"/>
                              <w:color w:val="000000" w:themeColor="text1"/>
                              <w:kern w:val="24"/>
                              <w:sz w:val="18"/>
                              <w:szCs w:val="20"/>
                            </w:rPr>
                            <w:t>ansē ZI ar vērtējumu “1” un “2”</w:t>
                          </w:r>
                        </w:p>
                        <w:p w:rsidR="00B55C40" w:rsidRPr="000407A3" w:rsidP="00921BC7" w14:paraId="3CB99155" w14:textId="77777777">
                          <w:pPr>
                            <w:pStyle w:val="BulletsF"/>
                            <w:ind w:left="567" w:hanging="283"/>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lang w:eastAsia="lv-LV"/>
                            </w:rPr>
                            <w:t>Daļēji finansē akad.</w:t>
                          </w:r>
                          <w:r>
                            <w:rPr>
                              <w:rFonts w:ascii="Candara" w:eastAsia="Calibri" w:hAnsi="Candara" w:cs="Arial"/>
                              <w:color w:val="000000" w:themeColor="text1"/>
                              <w:kern w:val="24"/>
                              <w:sz w:val="18"/>
                              <w:szCs w:val="20"/>
                              <w:lang w:eastAsia="lv-LV"/>
                            </w:rPr>
                            <w:t xml:space="preserve"> </w:t>
                          </w:r>
                          <w:r w:rsidRPr="00B07C59">
                            <w:rPr>
                              <w:rFonts w:ascii="Candara" w:eastAsia="Calibri" w:hAnsi="Candara" w:cs="Arial"/>
                              <w:color w:val="000000" w:themeColor="text1"/>
                              <w:kern w:val="24"/>
                              <w:sz w:val="18"/>
                              <w:szCs w:val="20"/>
                              <w:lang w:eastAsia="lv-LV"/>
                            </w:rPr>
                            <w:t>personāla pētniecisko darbu</w:t>
                          </w:r>
                        </w:p>
                      </w:txbxContent>
                    </v:textbox>
                  </v:roundrect>
                  <v:roundrect id="_x0000_s1264" style="width:6334;height:1165;left:9318;position:absolute;top:15410;v-text-anchor:middle" arcsize="10923f" fillcolor="#dbdbdb" stroked="t" strokecolor="#7b7b7b" strokeweight="1pt">
                    <v:textbox inset="0,0,0,0">
                      <w:txbxContent>
                        <w:p w:rsidR="00B55C40" w:rsidRPr="00B07C59" w:rsidP="00921BC7" w14:paraId="1DF60A51"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20"/>
                              <w:szCs w:val="20"/>
                            </w:rPr>
                            <w:t>LR un Eiropas Kosmosa aģentūras sadarbības harta (Jan 2015)</w:t>
                          </w:r>
                        </w:p>
                      </w:txbxContent>
                    </v:textbox>
                  </v:roundrect>
                  <v:roundrect id="_x0000_s1265" style="width:12009;height:1528;left:9279;position:absolute;top:13675;v-text-anchor:middle" arcsize="10923f" fillcolor="#92d050" stroked="t" strokecolor="#7b7b7b" strokeweight="1pt">
                    <v:textbox inset="0,0,0,0">
                      <w:txbxContent>
                        <w:p w:rsidR="00B55C40" w:rsidRPr="00B07C59" w:rsidP="00921BC7" w14:paraId="4890F929"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Pr>
                              <w:rFonts w:ascii="Candara" w:eastAsia="Calibri" w:hAnsi="Candara" w:cs="Arial"/>
                              <w:b/>
                              <w:color w:val="000000" w:themeColor="text1"/>
                              <w:kern w:val="24"/>
                              <w:sz w:val="20"/>
                              <w:szCs w:val="20"/>
                            </w:rPr>
                            <w:t>Jauni studiju virzienu akreditācijas MKN</w:t>
                          </w:r>
                          <w:r w:rsidRPr="00B07C59">
                            <w:rPr>
                              <w:rFonts w:ascii="Candara" w:eastAsia="Calibri" w:hAnsi="Candara" w:cs="Arial"/>
                              <w:b/>
                              <w:color w:val="000000" w:themeColor="text1"/>
                              <w:kern w:val="24"/>
                              <w:sz w:val="20"/>
                              <w:szCs w:val="20"/>
                            </w:rPr>
                            <w:t xml:space="preserve"> </w:t>
                          </w:r>
                          <w:r w:rsidRPr="00B07C59">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Jul</w:t>
                          </w:r>
                          <w:r w:rsidRPr="00B07C59">
                            <w:rPr>
                              <w:rFonts w:ascii="Candara" w:eastAsia="Calibri" w:hAnsi="Candara" w:cs="Arial"/>
                              <w:color w:val="000000" w:themeColor="text1"/>
                              <w:kern w:val="24"/>
                              <w:sz w:val="20"/>
                              <w:szCs w:val="20"/>
                            </w:rPr>
                            <w:t xml:space="preserve"> 201</w:t>
                          </w:r>
                          <w:r>
                            <w:rPr>
                              <w:rFonts w:ascii="Candara" w:eastAsia="Calibri" w:hAnsi="Candara" w:cs="Arial"/>
                              <w:color w:val="000000" w:themeColor="text1"/>
                              <w:kern w:val="24"/>
                              <w:sz w:val="20"/>
                              <w:szCs w:val="20"/>
                            </w:rPr>
                            <w:t>5</w:t>
                          </w:r>
                          <w:r w:rsidRPr="00B07C59">
                            <w:rPr>
                              <w:rFonts w:ascii="Candara" w:eastAsia="Calibri" w:hAnsi="Candara" w:cs="Arial"/>
                              <w:color w:val="000000" w:themeColor="text1"/>
                              <w:kern w:val="24"/>
                              <w:sz w:val="20"/>
                              <w:szCs w:val="20"/>
                            </w:rPr>
                            <w:t>)</w:t>
                          </w:r>
                        </w:p>
                        <w:p w:rsidR="00B55C40" w:rsidRPr="00B07C59" w:rsidP="00921BC7" w14:paraId="7CB383FE"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Akreditācijas organizē AIC</w:t>
                          </w:r>
                        </w:p>
                        <w:p w:rsidR="00B55C40" w:rsidRPr="00B07C59" w:rsidP="00921BC7" w14:paraId="0DDB9FE9" w14:textId="77777777">
                          <w:pPr>
                            <w:pStyle w:val="NormalWeb"/>
                            <w:numPr>
                              <w:ilvl w:val="0"/>
                              <w:numId w:val="1"/>
                            </w:numPr>
                            <w:kinsoku w:val="0"/>
                            <w:overflowPunct w:val="0"/>
                            <w:spacing w:line="216" w:lineRule="auto"/>
                            <w:ind w:left="567" w:hanging="283"/>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Ieviesti Eiropas Augstākās izglītības telpas kvalitātes nodrošināšanas standarti un vadlīnijas</w:t>
                          </w:r>
                        </w:p>
                        <w:p w:rsidR="00B55C40" w:rsidRPr="000407A3" w:rsidP="00921BC7" w14:paraId="3D927234" w14:textId="77777777">
                          <w:pPr>
                            <w:ind w:left="567" w:hanging="283"/>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lang w:eastAsia="lv-LV"/>
                            </w:rPr>
                            <w:t>Daļēji finansē akad.personāla pētniecisko darbu</w:t>
                          </w:r>
                        </w:p>
                      </w:txbxContent>
                    </v:textbox>
                  </v:roundrect>
                  <v:group id="_x0000_s1266" style="width:20101;height:21600;position:absolute" coordorigin="0,0" coordsize="21600,21600">
                    <v:roundrect id="_x0000_s1267" style="width:11796;height:1373;left:9804;position:absolute;top:8832;v-text-anchor:middle" arcsize="10923f" fillcolor="#bf9000" stroked="t" strokecolor="#4472c4" strokeweight="0.5pt">
                      <v:textbox inset="0,0,0,0">
                        <w:txbxContent>
                          <w:p w:rsidR="00B55C40" w:rsidRPr="00B07C59" w:rsidP="00921BC7" w14:paraId="074E004A" w14:textId="77777777">
                            <w:pPr>
                              <w:pStyle w:val="NormalWeb"/>
                              <w:kinsoku w:val="0"/>
                              <w:overflowPunct w:val="0"/>
                              <w:spacing w:before="0" w:beforeAutospacing="0" w:after="0" w:afterAutospacing="0" w:line="216" w:lineRule="auto"/>
                              <w:jc w:val="center"/>
                              <w:textAlignment w:val="baseline"/>
                              <w:rPr>
                                <w:sz w:val="20"/>
                                <w:szCs w:val="20"/>
                              </w:rPr>
                            </w:pPr>
                            <w:r w:rsidRPr="007255E0">
                              <w:rPr>
                                <w:rFonts w:ascii="Candara" w:eastAsia="Calibri" w:hAnsi="Candara" w:cs="Arial"/>
                                <w:bCs/>
                                <w:color w:val="FFFFFF" w:themeColor="background1"/>
                                <w:kern w:val="24"/>
                                <w:sz w:val="20"/>
                                <w:szCs w:val="20"/>
                              </w:rPr>
                              <w:t>Konc. ziņojums par uzņēmējdarbības uzsākšanas  ekosistēmu MK</w:t>
                            </w:r>
                            <w:r w:rsidRPr="007255E0">
                              <w:rPr>
                                <w:rFonts w:ascii="Candara" w:eastAsia="Calibri" w:hAnsi="Candara" w:cs="Arial"/>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Sep 2016</w:t>
                            </w:r>
                            <w:r w:rsidRPr="00B07C59">
                              <w:rPr>
                                <w:rFonts w:ascii="Candara" w:eastAsia="Calibri" w:hAnsi="Candara" w:cs="Arial"/>
                                <w:bCs/>
                                <w:color w:val="FFFFFF" w:themeColor="background1"/>
                                <w:kern w:val="24"/>
                                <w:sz w:val="20"/>
                                <w:szCs w:val="20"/>
                              </w:rPr>
                              <w:t>)</w:t>
                            </w:r>
                          </w:p>
                        </w:txbxContent>
                      </v:textbox>
                    </v:roundrect>
                    <v:roundrect id="_x0000_s1268" style="width:6933;height:990;left:9804;position:absolute;top:7666;v-text-anchor:middle" arcsize="10923f" fillcolor="#dbdbdb" stroked="t" strokecolor="#7b7b7b" strokeweight="1pt">
                      <v:textbox inset="0,0,0,0">
                        <w:txbxContent>
                          <w:p w:rsidR="00B55C40" w:rsidRPr="00B07C59" w:rsidP="00921BC7" w14:paraId="4C88E223"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20"/>
                                <w:szCs w:val="20"/>
                              </w:rPr>
                              <w:t>Sadarbības līgums ar CERN</w:t>
                            </w:r>
                            <w:r w:rsidRPr="00B07C59">
                              <w:rPr>
                                <w:rFonts w:ascii="Candara" w:eastAsia="Calibri" w:hAnsi="Candara" w:cs="Arial"/>
                                <w:color w:val="000000" w:themeColor="text1"/>
                                <w:kern w:val="24"/>
                                <w:sz w:val="20"/>
                                <w:szCs w:val="20"/>
                              </w:rPr>
                              <w:t xml:space="preserve"> (</w:t>
                            </w:r>
                            <w:r>
                              <w:rPr>
                                <w:rFonts w:ascii="Candara" w:eastAsia="Calibri" w:hAnsi="Candara" w:cs="Arial"/>
                                <w:color w:val="000000" w:themeColor="text1"/>
                                <w:kern w:val="24"/>
                                <w:sz w:val="20"/>
                                <w:szCs w:val="20"/>
                              </w:rPr>
                              <w:t>Okt 2016</w:t>
                            </w:r>
                            <w:r w:rsidRPr="00B07C59">
                              <w:rPr>
                                <w:rFonts w:ascii="Candara" w:eastAsia="Calibri" w:hAnsi="Candara" w:cs="Arial"/>
                                <w:color w:val="000000" w:themeColor="text1"/>
                                <w:kern w:val="24"/>
                                <w:sz w:val="20"/>
                                <w:szCs w:val="20"/>
                              </w:rPr>
                              <w:t>)</w:t>
                            </w:r>
                          </w:p>
                        </w:txbxContent>
                      </v:textbox>
                    </v:roundrect>
                    <v:roundrect id="_x0000_s1269" style="width:8072;height:1428;left:9804;position:absolute;top:6009;v-text-anchor:middle" arcsize="10923f" fillcolor="#b3c6e7" stroked="t" strokecolor="#7b7b7b" strokeweight="1pt">
                      <v:textbox inset="0,0,0,0">
                        <w:txbxContent>
                          <w:p w:rsidR="00B55C40" w:rsidRPr="00B07C59" w:rsidP="00921BC7" w14:paraId="659DD77D" w14:textId="77777777">
                            <w:pPr>
                              <w:kinsoku w:val="0"/>
                              <w:overflowPunct w:val="0"/>
                              <w:spacing w:after="0" w:line="216" w:lineRule="auto"/>
                              <w:jc w:val="center"/>
                              <w:textAlignment w:val="baseline"/>
                              <w:rPr>
                                <w:rFonts w:ascii="Candara" w:eastAsia="Calibri" w:hAnsi="Candara" w:cs="Arial"/>
                                <w:b/>
                                <w:color w:val="000000" w:themeColor="text1"/>
                                <w:kern w:val="24"/>
                                <w:sz w:val="20"/>
                                <w:szCs w:val="20"/>
                              </w:rPr>
                            </w:pPr>
                            <w:r w:rsidRPr="007255E0">
                              <w:rPr>
                                <w:rFonts w:ascii="Candara" w:eastAsia="Calibri" w:hAnsi="Candara" w:cs="Arial"/>
                                <w:b/>
                                <w:color w:val="000000" w:themeColor="text1"/>
                                <w:kern w:val="24"/>
                                <w:sz w:val="20"/>
                                <w:szCs w:val="20"/>
                              </w:rPr>
                              <w:t xml:space="preserve">Grozījumi </w:t>
                            </w:r>
                            <w:r>
                              <w:rPr>
                                <w:rFonts w:ascii="Candara" w:eastAsia="Calibri" w:hAnsi="Candara" w:cs="Arial"/>
                                <w:b/>
                                <w:color w:val="000000" w:themeColor="text1"/>
                                <w:kern w:val="24"/>
                                <w:sz w:val="20"/>
                                <w:szCs w:val="20"/>
                              </w:rPr>
                              <w:t>Augstskolu likumā</w:t>
                            </w:r>
                            <w:r w:rsidRPr="00B07C59">
                              <w:rPr>
                                <w:rFonts w:ascii="Candara" w:eastAsia="Calibri" w:hAnsi="Candara" w:cs="Arial"/>
                                <w:color w:val="000000" w:themeColor="text1"/>
                                <w:kern w:val="24"/>
                                <w:sz w:val="20"/>
                                <w:szCs w:val="20"/>
                              </w:rPr>
                              <w:t xml:space="preserve"> (</w:t>
                            </w:r>
                            <w:r>
                              <w:rPr>
                                <w:rFonts w:ascii="Candara" w:eastAsia="Calibri" w:hAnsi="Candara" w:cs="Arial"/>
                                <w:color w:val="000000" w:themeColor="text1"/>
                                <w:kern w:val="24"/>
                                <w:sz w:val="20"/>
                                <w:szCs w:val="20"/>
                              </w:rPr>
                              <w:t>Dec</w:t>
                            </w:r>
                            <w:r w:rsidRPr="00B07C59">
                              <w:rPr>
                                <w:rFonts w:ascii="Candara" w:eastAsia="Calibri" w:hAnsi="Candara" w:cs="Arial"/>
                                <w:color w:val="000000" w:themeColor="text1"/>
                                <w:kern w:val="24"/>
                                <w:sz w:val="20"/>
                                <w:szCs w:val="20"/>
                              </w:rPr>
                              <w:t xml:space="preserve"> 201</w:t>
                            </w:r>
                            <w:r>
                              <w:rPr>
                                <w:rFonts w:ascii="Candara" w:eastAsia="Calibri" w:hAnsi="Candara" w:cs="Arial"/>
                                <w:color w:val="000000" w:themeColor="text1"/>
                                <w:kern w:val="24"/>
                                <w:sz w:val="20"/>
                                <w:szCs w:val="20"/>
                              </w:rPr>
                              <w:t>6</w:t>
                            </w:r>
                            <w:r w:rsidRPr="00B07C59">
                              <w:rPr>
                                <w:rFonts w:ascii="Candara" w:eastAsia="Calibri" w:hAnsi="Candara" w:cs="Arial"/>
                                <w:color w:val="000000" w:themeColor="text1"/>
                                <w:kern w:val="24"/>
                                <w:sz w:val="20"/>
                                <w:szCs w:val="20"/>
                              </w:rPr>
                              <w:t>)</w:t>
                            </w:r>
                            <w:r w:rsidRPr="007255E0">
                              <w:rPr>
                                <w:rFonts w:ascii="Candara" w:eastAsia="Calibri" w:hAnsi="Candara" w:cs="Arial"/>
                                <w:b/>
                                <w:color w:val="000000" w:themeColor="text1"/>
                                <w:kern w:val="24"/>
                                <w:sz w:val="20"/>
                                <w:szCs w:val="20"/>
                              </w:rPr>
                              <w:t xml:space="preserve"> </w:t>
                            </w:r>
                          </w:p>
                          <w:p w:rsidR="00B55C40" w:rsidRPr="00753188" w:rsidP="00921BC7" w14:paraId="7360B86A" w14:textId="77777777">
                            <w:pPr>
                              <w:numPr>
                                <w:ilvl w:val="0"/>
                                <w:numId w:val="1"/>
                              </w:numPr>
                              <w:kinsoku w:val="0"/>
                              <w:overflowPunct w:val="0"/>
                              <w:spacing w:after="0" w:line="216" w:lineRule="auto"/>
                              <w:ind w:left="284" w:hanging="142"/>
                              <w:jc w:val="center"/>
                              <w:textAlignment w:val="baseline"/>
                              <w:rPr>
                                <w:rFonts w:ascii="Candara" w:eastAsia="Calibri" w:hAnsi="Candara" w:cs="Arial"/>
                                <w:color w:val="000000" w:themeColor="text1"/>
                                <w:kern w:val="24"/>
                                <w:sz w:val="18"/>
                                <w:szCs w:val="20"/>
                              </w:rPr>
                            </w:pPr>
                            <w:r w:rsidRPr="00753188">
                              <w:rPr>
                                <w:rFonts w:ascii="Candara" w:eastAsia="Calibri" w:hAnsi="Candara" w:cs="Arial"/>
                                <w:color w:val="000000" w:themeColor="text1"/>
                                <w:kern w:val="24"/>
                                <w:sz w:val="18"/>
                                <w:szCs w:val="20"/>
                              </w:rPr>
                              <w:t>Studentu un absolventu reģistrs</w:t>
                            </w:r>
                          </w:p>
                        </w:txbxContent>
                      </v:textbox>
                    </v:roundrect>
                    <v:roundrect id="_x0000_s1270" style="width:8114;height:1269;left:9804;position:absolute;top:3833;v-text-anchor:middle" arcsize="10923f" fillcolor="#b3c6e7" stroked="t" strokecolor="#4472c4" strokeweight="0.5pt">
                      <v:textbox inset="0,0,0,0">
                        <w:txbxContent>
                          <w:p w:rsidR="00B55C40" w:rsidRPr="00F74199" w:rsidP="00921BC7" w14:paraId="02994549" w14:textId="77777777">
                            <w:pPr>
                              <w:pStyle w:val="NormalWeb"/>
                              <w:kinsoku w:val="0"/>
                              <w:overflowPunct w:val="0"/>
                              <w:spacing w:before="0" w:beforeAutospacing="0" w:after="0" w:afterAutospacing="0" w:line="216" w:lineRule="auto"/>
                              <w:jc w:val="center"/>
                              <w:textAlignment w:val="baseline"/>
                              <w:rPr>
                                <w:sz w:val="20"/>
                                <w:szCs w:val="20"/>
                              </w:rPr>
                            </w:pPr>
                            <w:r w:rsidRPr="00F74199">
                              <w:rPr>
                                <w:rFonts w:ascii="Candara" w:eastAsia="Calibri" w:hAnsi="Candara" w:cs="Arial"/>
                                <w:b/>
                                <w:bCs/>
                                <w:kern w:val="24"/>
                                <w:sz w:val="20"/>
                                <w:szCs w:val="20"/>
                              </w:rPr>
                              <w:t>Jaunuzņēmumu darbības atbalsta likums</w:t>
                            </w:r>
                            <w:r w:rsidRPr="00F74199">
                              <w:rPr>
                                <w:rFonts w:ascii="Candara" w:eastAsia="Calibri" w:hAnsi="Candara" w:cs="Arial"/>
                                <w:b/>
                                <w:bCs/>
                                <w:kern w:val="24"/>
                                <w:sz w:val="20"/>
                                <w:szCs w:val="20"/>
                              </w:rPr>
                              <w:br/>
                            </w:r>
                            <w:r w:rsidRPr="00F74199">
                              <w:rPr>
                                <w:rFonts w:ascii="Candara" w:eastAsia="Calibri" w:hAnsi="Candara" w:cs="Arial"/>
                                <w:bCs/>
                                <w:kern w:val="24"/>
                                <w:sz w:val="20"/>
                                <w:szCs w:val="20"/>
                              </w:rPr>
                              <w:t>(spēkā ar Jan 2017)</w:t>
                            </w:r>
                          </w:p>
                        </w:txbxContent>
                      </v:textbox>
                    </v:roundrect>
                    <v:roundrect id="_x0000_s1271" style="width:8114;height:1191;left:9762;position:absolute;top:2538;v-text-anchor:middle" arcsize="10923f" fillcolor="#b3c6e7" stroked="t" strokecolor="#4472c4" strokeweight="0.5pt">
                      <v:textbox inset="0,0,0,0">
                        <w:txbxContent>
                          <w:p w:rsidR="00B55C40" w:rsidRPr="00F74199" w:rsidP="00921BC7" w14:paraId="21F01010" w14:textId="77777777">
                            <w:pPr>
                              <w:pStyle w:val="NormalWeb"/>
                              <w:kinsoku w:val="0"/>
                              <w:overflowPunct w:val="0"/>
                              <w:spacing w:before="0" w:beforeAutospacing="0" w:after="0" w:afterAutospacing="0" w:line="216" w:lineRule="auto"/>
                              <w:jc w:val="center"/>
                              <w:textAlignment w:val="baseline"/>
                              <w:rPr>
                                <w:sz w:val="20"/>
                                <w:szCs w:val="20"/>
                              </w:rPr>
                            </w:pPr>
                            <w:r w:rsidRPr="00F74199">
                              <w:rPr>
                                <w:rFonts w:ascii="Candara" w:eastAsia="Calibri" w:hAnsi="Candara" w:cs="Arial"/>
                                <w:b/>
                                <w:bCs/>
                                <w:kern w:val="24"/>
                                <w:sz w:val="20"/>
                                <w:szCs w:val="20"/>
                              </w:rPr>
                              <w:t>Jauns Publisko iepirkumu likums</w:t>
                            </w:r>
                            <w:r w:rsidRPr="00F74199">
                              <w:rPr>
                                <w:rFonts w:ascii="Candara" w:eastAsia="Calibri" w:hAnsi="Candara" w:cs="Arial"/>
                                <w:b/>
                                <w:bCs/>
                                <w:kern w:val="24"/>
                                <w:sz w:val="20"/>
                                <w:szCs w:val="20"/>
                              </w:rPr>
                              <w:br/>
                            </w:r>
                            <w:r w:rsidRPr="00F74199">
                              <w:rPr>
                                <w:rFonts w:ascii="Candara" w:eastAsia="Calibri" w:hAnsi="Candara" w:cs="Arial"/>
                                <w:bCs/>
                                <w:kern w:val="24"/>
                                <w:sz w:val="20"/>
                                <w:szCs w:val="20"/>
                              </w:rPr>
                              <w:t>(spēkā ar Mar 2017)</w:t>
                            </w:r>
                          </w:p>
                        </w:txbxContent>
                      </v:textbox>
                    </v:roundrect>
                    <v:roundrect id="_x0000_s1272" style="width:8145;height:1373;left:9804;position:absolute;top:1062;v-text-anchor:middle" arcsize="10923f" fillcolor="#bf9000" stroked="t" strokecolor="#4472c4" strokeweight="0.5pt">
                      <v:textbox inset="0,0,0,0">
                        <w:txbxContent>
                          <w:p w:rsidR="00B55C40" w:rsidRPr="00B07C59" w:rsidP="00921BC7" w14:paraId="02A15F00"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
                                <w:bCs/>
                                <w:color w:val="FFFFFF" w:themeColor="background1"/>
                                <w:kern w:val="24"/>
                                <w:sz w:val="20"/>
                                <w:szCs w:val="20"/>
                              </w:rPr>
                              <w:t>LV zin. finansēšanas sistēmas izvērtējums</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 xml:space="preserve">EK, </w:t>
                            </w:r>
                            <w:r w:rsidRPr="00F74199">
                              <w:rPr>
                                <w:rFonts w:ascii="Wingdings" w:eastAsia="Calibri" w:hAnsi="Wingdings" w:cs="Arial"/>
                                <w:bCs/>
                                <w:color w:val="FFFFFF" w:themeColor="background1"/>
                                <w:kern w:val="24"/>
                                <w:sz w:val="16"/>
                                <w:szCs w:val="20"/>
                              </w:rPr>
                              <w:sym w:font="Wingdings" w:char="F0E0"/>
                            </w:r>
                            <w:r>
                              <w:rPr>
                                <w:rFonts w:ascii="Candara" w:eastAsia="Calibri" w:hAnsi="Candara" w:cs="Arial"/>
                                <w:bCs/>
                                <w:color w:val="FFFFFF" w:themeColor="background1"/>
                                <w:kern w:val="24"/>
                                <w:sz w:val="20"/>
                                <w:szCs w:val="20"/>
                              </w:rPr>
                              <w:t>Okt 2017</w:t>
                            </w:r>
                            <w:r w:rsidRPr="00B07C59">
                              <w:rPr>
                                <w:rFonts w:ascii="Candara" w:eastAsia="Calibri" w:hAnsi="Candara" w:cs="Arial"/>
                                <w:bCs/>
                                <w:color w:val="FFFFFF" w:themeColor="background1"/>
                                <w:kern w:val="24"/>
                                <w:sz w:val="20"/>
                                <w:szCs w:val="20"/>
                              </w:rPr>
                              <w:t>)</w:t>
                            </w:r>
                          </w:p>
                        </w:txbxContent>
                      </v:textbox>
                    </v:roundrect>
                    <v:roundrect id="_x0000_s1273" style="width:10474;height:1683;left:9762;position:absolute;top:10437;v-text-anchor:middle" arcsize="10923f" fillcolor="#b3c6e7" stroked="t" strokecolor="#7b7b7b" strokeweight="1pt">
                      <v:textbox inset="0,0,0,0">
                        <w:txbxContent>
                          <w:p w:rsidR="00B55C40" w:rsidRPr="00B07C59" w:rsidP="00921BC7" w14:paraId="67F6630B" w14:textId="77777777">
                            <w:pPr>
                              <w:kinsoku w:val="0"/>
                              <w:overflowPunct w:val="0"/>
                              <w:spacing w:after="0" w:line="216" w:lineRule="auto"/>
                              <w:jc w:val="center"/>
                              <w:textAlignment w:val="baseline"/>
                              <w:rPr>
                                <w:rFonts w:ascii="Candara" w:eastAsia="Calibri" w:hAnsi="Candara" w:cs="Arial"/>
                                <w:b/>
                                <w:color w:val="000000" w:themeColor="text1"/>
                                <w:kern w:val="24"/>
                                <w:sz w:val="20"/>
                                <w:szCs w:val="20"/>
                              </w:rPr>
                            </w:pPr>
                            <w:r w:rsidRPr="007255E0">
                              <w:rPr>
                                <w:rFonts w:ascii="Candara" w:eastAsia="Calibri" w:hAnsi="Candara" w:cs="Arial"/>
                                <w:b/>
                                <w:color w:val="000000" w:themeColor="text1"/>
                                <w:kern w:val="24"/>
                                <w:sz w:val="20"/>
                                <w:szCs w:val="20"/>
                              </w:rPr>
                              <w:t xml:space="preserve">Grozījumi </w:t>
                            </w:r>
                            <w:r>
                              <w:rPr>
                                <w:rFonts w:ascii="Candara" w:eastAsia="Calibri" w:hAnsi="Candara" w:cs="Arial"/>
                                <w:b/>
                                <w:color w:val="000000" w:themeColor="text1"/>
                                <w:kern w:val="24"/>
                                <w:sz w:val="20"/>
                                <w:szCs w:val="20"/>
                              </w:rPr>
                              <w:t>LIAA nolikumā</w:t>
                            </w:r>
                          </w:p>
                          <w:p w:rsidR="00B55C40" w:rsidP="00921BC7" w14:paraId="72427DF1" w14:textId="77777777">
                            <w:pPr>
                              <w:kinsoku w:val="0"/>
                              <w:overflowPunct w:val="0"/>
                              <w:spacing w:after="0" w:line="216" w:lineRule="auto"/>
                              <w:jc w:val="center"/>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Paplašinātas LIAA funkcijas – inovācijas, tehnoloģiju pārnes un komercializācijas jomā</w:t>
                            </w:r>
                          </w:p>
                          <w:p w:rsidR="00B55C40" w:rsidRPr="00753188" w:rsidP="00921BC7" w14:paraId="7BE6791D" w14:textId="77777777">
                            <w:pPr>
                              <w:kinsoku w:val="0"/>
                              <w:overflowPunct w:val="0"/>
                              <w:spacing w:after="0" w:line="216" w:lineRule="auto"/>
                              <w:jc w:val="center"/>
                              <w:textAlignment w:val="baseline"/>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 xml:space="preserve">Apr </w:t>
                            </w:r>
                            <w:r w:rsidRPr="00B07C59">
                              <w:rPr>
                                <w:rFonts w:ascii="Candara" w:eastAsia="Calibri" w:hAnsi="Candara" w:cs="Arial"/>
                                <w:color w:val="000000" w:themeColor="text1"/>
                                <w:kern w:val="24"/>
                                <w:sz w:val="20"/>
                                <w:szCs w:val="20"/>
                              </w:rPr>
                              <w:t>201</w:t>
                            </w:r>
                            <w:r>
                              <w:rPr>
                                <w:rFonts w:ascii="Candara" w:eastAsia="Calibri" w:hAnsi="Candara" w:cs="Arial"/>
                                <w:color w:val="000000" w:themeColor="text1"/>
                                <w:kern w:val="24"/>
                                <w:sz w:val="20"/>
                                <w:szCs w:val="20"/>
                              </w:rPr>
                              <w:t>6</w:t>
                            </w:r>
                            <w:r w:rsidRPr="00B07C59">
                              <w:rPr>
                                <w:rFonts w:ascii="Candara" w:eastAsia="Calibri" w:hAnsi="Candara" w:cs="Arial"/>
                                <w:color w:val="000000" w:themeColor="text1"/>
                                <w:kern w:val="24"/>
                                <w:sz w:val="20"/>
                                <w:szCs w:val="20"/>
                              </w:rPr>
                              <w:t>)</w:t>
                            </w:r>
                          </w:p>
                        </w:txbxContent>
                      </v:textbox>
                    </v:roundrect>
                    <v:group id="_x0000_s1274" style="width:9991;height:21600;position:absolute" coordorigin="0,0" coordsize="21600,21600">
                      <v:roundrect id="_x0000_s1275" style="width:17337;height:1114;left:453;position:absolute;top:19891;v-text-anchor:middle" arcsize="10923f" fillcolor="#bf9000" stroked="t" strokecolor="#4472c4" strokeweight="0.5pt">
                        <v:textbox inset="0,0,0,0">
                          <w:txbxContent>
                            <w:p w:rsidR="00B55C40" w:rsidRPr="00B07C59" w:rsidP="00921BC7" w14:paraId="38436F41"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
                                  <w:bCs/>
                                  <w:color w:val="FFFFFF" w:themeColor="background1"/>
                                  <w:kern w:val="24"/>
                                  <w:sz w:val="20"/>
                                  <w:szCs w:val="20"/>
                                </w:rPr>
                                <w:t>ZI ārējais izvērtējums</w:t>
                              </w:r>
                              <w:r w:rsidRPr="00A26433">
                                <w:rPr>
                                  <w:rFonts w:ascii="Candara" w:eastAsia="Calibri" w:hAnsi="Candara" w:cs="Arial"/>
                                  <w:b/>
                                  <w:bCs/>
                                  <w:color w:val="FFFFFF" w:themeColor="background1"/>
                                  <w:kern w:val="24"/>
                                  <w:sz w:val="20"/>
                                  <w:szCs w:val="20"/>
                                </w:rPr>
                                <w:t xml:space="preserve"> </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(Ziemeļu Ministru padome, 2013)</w:t>
                              </w:r>
                            </w:p>
                          </w:txbxContent>
                        </v:textbox>
                      </v:roundrect>
                      <v:roundrect id="_x0000_s1276" style="width:17647;height:1232;position:absolute;top:17819;v-text-anchor:middle" arcsize="10923f" fillcolor="#92d050" stroked="t" strokecolor="#7b7b7b" strokeweight="1pt">
                        <v:textbox inset="0,0,0,0">
                          <w:txbxContent>
                            <w:p w:rsidR="00B55C40" w:rsidP="00921BC7" w14:paraId="13999634"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Pr>
                                  <w:rFonts w:ascii="Candara" w:eastAsia="Calibri" w:hAnsi="Candara" w:cs="Arial"/>
                                  <w:b/>
                                  <w:color w:val="000000" w:themeColor="text1"/>
                                  <w:kern w:val="24"/>
                                  <w:sz w:val="20"/>
                                  <w:szCs w:val="20"/>
                                </w:rPr>
                                <w:t xml:space="preserve">UIN atvieglojumi, t.sk. </w:t>
                              </w:r>
                              <w:r w:rsidRPr="00B07C59">
                                <w:rPr>
                                  <w:rFonts w:ascii="Candara" w:eastAsia="Calibri" w:hAnsi="Candara" w:cs="Arial"/>
                                  <w:b/>
                                  <w:color w:val="000000" w:themeColor="text1"/>
                                  <w:kern w:val="24"/>
                                  <w:sz w:val="20"/>
                                  <w:szCs w:val="20"/>
                                </w:rPr>
                                <w:t>ieguldījumiem P&amp;A</w:t>
                              </w:r>
                            </w:p>
                            <w:p w:rsidR="00B55C40" w:rsidRPr="000407A3" w:rsidP="00921BC7" w14:paraId="06240849"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20"/>
                                  <w:szCs w:val="20"/>
                                </w:rPr>
                                <w:t xml:space="preserve"> </w:t>
                              </w:r>
                              <w:r w:rsidRPr="004C7E5C">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sākot ar Jul 2014)</w:t>
                              </w:r>
                            </w:p>
                          </w:txbxContent>
                        </v:textbox>
                      </v:roundrect>
                      <v:roundrect id="_x0000_s1277" style="width:17614;height:1114;position:absolute;top:16576;v-text-anchor:middle" arcsize="10923f" fillcolor="#bf9000" stroked="t" strokecolor="#4472c4" strokeweight="0.5pt">
                        <v:textbox inset="0,0,0,0">
                          <w:txbxContent>
                            <w:p w:rsidR="00B55C40" w:rsidRPr="00B07C59" w:rsidP="00921BC7" w14:paraId="5744DD4B"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
                                  <w:bCs/>
                                  <w:color w:val="FFFFFF" w:themeColor="background1"/>
                                  <w:kern w:val="24"/>
                                  <w:sz w:val="20"/>
                                  <w:szCs w:val="20"/>
                                </w:rPr>
                                <w:t>AI finansēšanas izvērtējums</w:t>
                              </w:r>
                              <w:r w:rsidRPr="00A26433">
                                <w:rPr>
                                  <w:rFonts w:ascii="Candara" w:eastAsia="Calibri" w:hAnsi="Candara" w:cs="Arial"/>
                                  <w:b/>
                                  <w:bCs/>
                                  <w:color w:val="FFFFFF" w:themeColor="background1"/>
                                  <w:kern w:val="24"/>
                                  <w:sz w:val="20"/>
                                  <w:szCs w:val="20"/>
                                </w:rPr>
                                <w:t xml:space="preserve"> </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PB</w:t>
                              </w:r>
                              <w:r w:rsidRPr="00B07C59">
                                <w:rPr>
                                  <w:rFonts w:ascii="Candara" w:eastAsia="Calibri" w:hAnsi="Candara" w:cs="Arial"/>
                                  <w:bCs/>
                                  <w:color w:val="FFFFFF" w:themeColor="background1"/>
                                  <w:kern w:val="24"/>
                                  <w:sz w:val="20"/>
                                  <w:szCs w:val="20"/>
                                </w:rPr>
                                <w:t xml:space="preserve">, </w:t>
                              </w:r>
                              <w:r>
                                <w:rPr>
                                  <w:rFonts w:ascii="Candara" w:eastAsia="Calibri" w:hAnsi="Candara" w:cs="Arial"/>
                                  <w:bCs/>
                                  <w:color w:val="FFFFFF" w:themeColor="background1"/>
                                  <w:kern w:val="24"/>
                                  <w:sz w:val="20"/>
                                  <w:szCs w:val="20"/>
                                </w:rPr>
                                <w:t xml:space="preserve">Dec </w:t>
                              </w:r>
                              <w:r w:rsidRPr="00B07C59">
                                <w:rPr>
                                  <w:rFonts w:ascii="Candara" w:eastAsia="Calibri" w:hAnsi="Candara" w:cs="Arial"/>
                                  <w:bCs/>
                                  <w:color w:val="FFFFFF" w:themeColor="background1"/>
                                  <w:kern w:val="24"/>
                                  <w:sz w:val="20"/>
                                  <w:szCs w:val="20"/>
                                </w:rPr>
                                <w:t>2013</w:t>
                              </w:r>
                              <w:r>
                                <w:rPr>
                                  <w:rFonts w:ascii="Candara" w:eastAsia="Calibri" w:hAnsi="Candara" w:cs="Arial"/>
                                  <w:bCs/>
                                  <w:color w:val="FFFFFF" w:themeColor="background1"/>
                                  <w:kern w:val="24"/>
                                  <w:sz w:val="20"/>
                                  <w:szCs w:val="20"/>
                                </w:rPr>
                                <w:t xml:space="preserve"> – Sep 2014</w:t>
                              </w:r>
                              <w:r w:rsidRPr="00B07C59">
                                <w:rPr>
                                  <w:rFonts w:ascii="Candara" w:eastAsia="Calibri" w:hAnsi="Candara" w:cs="Arial"/>
                                  <w:bCs/>
                                  <w:color w:val="FFFFFF" w:themeColor="background1"/>
                                  <w:kern w:val="24"/>
                                  <w:sz w:val="20"/>
                                  <w:szCs w:val="20"/>
                                </w:rPr>
                                <w:t>)</w:t>
                              </w:r>
                            </w:p>
                          </w:txbxContent>
                        </v:textbox>
                      </v:roundrect>
                      <v:roundrect id="_x0000_s1278" style="width:17454;height:1651;left:91;position:absolute;top:12717;v-text-anchor:middle" arcsize="10923f" fillcolor="#b3c6e7" stroked="t" strokecolor="#7b7b7b" strokeweight="1pt">
                        <v:textbox inset="0,0,0,0">
                          <w:txbxContent>
                            <w:p w:rsidR="00B55C40" w:rsidRPr="00B07C59" w:rsidP="00921BC7" w14:paraId="46E4ED1C" w14:textId="77777777">
                              <w:pPr>
                                <w:kinsoku w:val="0"/>
                                <w:overflowPunct w:val="0"/>
                                <w:spacing w:after="0" w:line="216" w:lineRule="auto"/>
                                <w:jc w:val="center"/>
                                <w:textAlignment w:val="baseline"/>
                                <w:rPr>
                                  <w:rFonts w:ascii="Candara" w:eastAsia="Calibri" w:hAnsi="Candara" w:cs="Arial"/>
                                  <w:b/>
                                  <w:color w:val="000000" w:themeColor="text1"/>
                                  <w:kern w:val="24"/>
                                  <w:sz w:val="20"/>
                                  <w:szCs w:val="20"/>
                                </w:rPr>
                              </w:pPr>
                              <w:r w:rsidRPr="007255E0">
                                <w:rPr>
                                  <w:rFonts w:ascii="Candara" w:eastAsia="Calibri" w:hAnsi="Candara" w:cs="Arial"/>
                                  <w:b/>
                                  <w:color w:val="000000" w:themeColor="text1"/>
                                  <w:kern w:val="24"/>
                                  <w:sz w:val="20"/>
                                  <w:szCs w:val="20"/>
                                </w:rPr>
                                <w:t>Grozījumi Publisko iepirkumu likumā</w:t>
                              </w:r>
                              <w:r w:rsidRPr="00B07C59">
                                <w:rPr>
                                  <w:rFonts w:ascii="Candara" w:eastAsia="Calibri" w:hAnsi="Candara" w:cs="Arial"/>
                                  <w:color w:val="000000" w:themeColor="text1"/>
                                  <w:kern w:val="24"/>
                                  <w:sz w:val="20"/>
                                  <w:szCs w:val="20"/>
                                </w:rPr>
                                <w:t xml:space="preserve"> (</w:t>
                              </w:r>
                              <w:r>
                                <w:rPr>
                                  <w:rFonts w:ascii="Candara" w:eastAsia="Calibri" w:hAnsi="Candara" w:cs="Arial"/>
                                  <w:color w:val="000000" w:themeColor="text1"/>
                                  <w:kern w:val="24"/>
                                  <w:sz w:val="20"/>
                                  <w:szCs w:val="20"/>
                                </w:rPr>
                                <w:t>Dec</w:t>
                              </w:r>
                              <w:r w:rsidRPr="00B07C59">
                                <w:rPr>
                                  <w:rFonts w:ascii="Candara" w:eastAsia="Calibri" w:hAnsi="Candara" w:cs="Arial"/>
                                  <w:color w:val="000000" w:themeColor="text1"/>
                                  <w:kern w:val="24"/>
                                  <w:sz w:val="20"/>
                                  <w:szCs w:val="20"/>
                                </w:rPr>
                                <w:t xml:space="preserve"> 2015)</w:t>
                              </w:r>
                              <w:r w:rsidRPr="007255E0">
                                <w:rPr>
                                  <w:rFonts w:ascii="Candara" w:eastAsia="Calibri" w:hAnsi="Candara" w:cs="Arial"/>
                                  <w:b/>
                                  <w:color w:val="000000" w:themeColor="text1"/>
                                  <w:kern w:val="24"/>
                                  <w:sz w:val="20"/>
                                  <w:szCs w:val="20"/>
                                </w:rPr>
                                <w:t xml:space="preserve"> </w:t>
                              </w:r>
                            </w:p>
                            <w:p w:rsidR="00B55C40" w:rsidRPr="00B07C59" w:rsidP="00921BC7" w14:paraId="57692E27" w14:textId="77777777">
                              <w:pPr>
                                <w:numPr>
                                  <w:ilvl w:val="0"/>
                                  <w:numId w:val="1"/>
                                </w:numPr>
                                <w:kinsoku w:val="0"/>
                                <w:overflowPunct w:val="0"/>
                                <w:spacing w:line="216" w:lineRule="auto"/>
                                <w:ind w:left="284" w:hanging="142"/>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Ārējo ekspertu piesaiste P&amp;A projektu izvērtējumam</w:t>
                              </w:r>
                            </w:p>
                            <w:p w:rsidR="00B55C40" w:rsidRPr="00B07C59" w:rsidP="00921BC7" w14:paraId="791C65FB"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color w:val="000000" w:themeColor="text1"/>
                                  <w:kern w:val="24"/>
                                  <w:sz w:val="18"/>
                                  <w:szCs w:val="20"/>
                                </w:rPr>
                              </w:pPr>
                            </w:p>
                          </w:txbxContent>
                        </v:textbox>
                      </v:roundrect>
                      <v:roundrect id="_x0000_s1279" style="width:17614;height:1373;left:91;position:absolute;top:14529;v-text-anchor:middle" arcsize="10923f" fillcolor="#bf9000" stroked="t" strokecolor="#4472c4" strokeweight="0.5pt">
                        <v:textbox inset="0,0,0,0">
                          <w:txbxContent>
                            <w:p w:rsidR="00B55C40" w:rsidRPr="00B07C59" w:rsidP="00921BC7" w14:paraId="67FC8578" w14:textId="77777777">
                              <w:pPr>
                                <w:pStyle w:val="NormalWeb"/>
                                <w:kinsoku w:val="0"/>
                                <w:overflowPunct w:val="0"/>
                                <w:spacing w:before="0" w:beforeAutospacing="0" w:after="0" w:afterAutospacing="0" w:line="216" w:lineRule="auto"/>
                                <w:jc w:val="center"/>
                                <w:textAlignment w:val="baseline"/>
                                <w:rPr>
                                  <w:sz w:val="20"/>
                                  <w:szCs w:val="20"/>
                                </w:rPr>
                              </w:pPr>
                              <w:r w:rsidRPr="007255E0">
                                <w:rPr>
                                  <w:rFonts w:ascii="Candara" w:eastAsia="Calibri" w:hAnsi="Candara" w:cs="Arial"/>
                                  <w:bCs/>
                                  <w:color w:val="FFFFFF" w:themeColor="background1"/>
                                  <w:kern w:val="24"/>
                                  <w:sz w:val="20"/>
                                  <w:szCs w:val="20"/>
                                </w:rPr>
                                <w:t>Konc. ziņojums “Jauns AI finansēšanas modelis” MK</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Jun 2015</w:t>
                              </w:r>
                              <w:r w:rsidRPr="00B07C59">
                                <w:rPr>
                                  <w:rFonts w:ascii="Candara" w:eastAsia="Calibri" w:hAnsi="Candara" w:cs="Arial"/>
                                  <w:bCs/>
                                  <w:color w:val="FFFFFF" w:themeColor="background1"/>
                                  <w:kern w:val="24"/>
                                  <w:sz w:val="20"/>
                                  <w:szCs w:val="20"/>
                                </w:rPr>
                                <w:t>)</w:t>
                              </w:r>
                            </w:p>
                          </w:txbxContent>
                        </v:textbox>
                      </v:roundrect>
                      <v:group id="_x0000_s1280" style="width:21600;height:21600;position:absolute" coordorigin="0,0" coordsize="21600,21600">
                        <v:roundrect id="_x0000_s1281" style="width:17518;height:984;left:453;position:absolute;top:11059;v-text-anchor:middle" arcsize="10923f" fillcolor="#bf9000" stroked="t" strokecolor="#4472c4" strokeweight="0.5pt">
                          <v:textbox inset="0,0,0,0">
                            <w:txbxContent>
                              <w:p w:rsidR="00B55C40" w:rsidRPr="00B07C59" w:rsidP="00921BC7" w14:paraId="5AEDB942" w14:textId="77777777">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Cs/>
                                    <w:color w:val="FFFFFF" w:themeColor="background1"/>
                                    <w:kern w:val="24"/>
                                    <w:sz w:val="20"/>
                                    <w:szCs w:val="20"/>
                                  </w:rPr>
                                  <w:t>ESFRI informatīvais</w:t>
                                </w:r>
                                <w:r w:rsidRPr="007255E0">
                                  <w:rPr>
                                    <w:rFonts w:ascii="Candara" w:eastAsia="Calibri" w:hAnsi="Candara" w:cs="Arial"/>
                                    <w:bCs/>
                                    <w:color w:val="FFFFFF" w:themeColor="background1"/>
                                    <w:kern w:val="24"/>
                                    <w:sz w:val="20"/>
                                    <w:szCs w:val="20"/>
                                  </w:rPr>
                                  <w:t xml:space="preserve"> ziņojums MK</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Apr 2016</w:t>
                                </w:r>
                                <w:r w:rsidRPr="00B07C59">
                                  <w:rPr>
                                    <w:rFonts w:ascii="Candara" w:eastAsia="Calibri" w:hAnsi="Candara" w:cs="Arial"/>
                                    <w:bCs/>
                                    <w:color w:val="FFFFFF" w:themeColor="background1"/>
                                    <w:kern w:val="24"/>
                                    <w:sz w:val="20"/>
                                    <w:szCs w:val="20"/>
                                  </w:rPr>
                                  <w:t>)</w:t>
                                </w:r>
                              </w:p>
                            </w:txbxContent>
                          </v:textbox>
                        </v:roundrect>
                        <v:roundrect id="_x0000_s1282" style="width:17614;height:1373;left:272;position:absolute;top:9505;v-text-anchor:middle" arcsize="10923f" fillcolor="#bf9000" stroked="t" strokecolor="#4472c4" strokeweight="0.5pt">
                          <v:textbox inset="0,0,0,0">
                            <w:txbxContent>
                              <w:p w:rsidR="00B55C40" w:rsidRPr="00B07C59" w:rsidP="00921BC7" w14:paraId="409563A4" w14:textId="77777777">
                                <w:pPr>
                                  <w:pStyle w:val="NormalWeb"/>
                                  <w:kinsoku w:val="0"/>
                                  <w:overflowPunct w:val="0"/>
                                  <w:spacing w:before="0" w:beforeAutospacing="0" w:after="0" w:afterAutospacing="0" w:line="216" w:lineRule="auto"/>
                                  <w:jc w:val="center"/>
                                  <w:textAlignment w:val="baseline"/>
                                  <w:rPr>
                                    <w:sz w:val="20"/>
                                    <w:szCs w:val="20"/>
                                  </w:rPr>
                                </w:pPr>
                                <w:r w:rsidRPr="007255E0">
                                  <w:rPr>
                                    <w:rFonts w:ascii="Candara" w:eastAsia="Calibri" w:hAnsi="Candara" w:cs="Arial"/>
                                    <w:b/>
                                    <w:bCs/>
                                    <w:color w:val="FFFFFF" w:themeColor="background1"/>
                                    <w:kern w:val="24"/>
                                    <w:sz w:val="20"/>
                                    <w:szCs w:val="20"/>
                                  </w:rPr>
                                  <w:t>AII</w:t>
                                </w:r>
                                <w:r>
                                  <w:rPr>
                                    <w:rFonts w:ascii="Candara" w:eastAsia="Calibri" w:hAnsi="Candara" w:cs="Arial"/>
                                    <w:b/>
                                    <w:bCs/>
                                    <w:color w:val="FFFFFF" w:themeColor="background1"/>
                                    <w:kern w:val="24"/>
                                    <w:sz w:val="20"/>
                                    <w:szCs w:val="20"/>
                                  </w:rPr>
                                  <w:t xml:space="preserve"> pārvaldības izvērtējums</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PB, Maijs 2016 – Apr 2018</w:t>
                                </w:r>
                                <w:r w:rsidRPr="00B07C59">
                                  <w:rPr>
                                    <w:rFonts w:ascii="Candara" w:eastAsia="Calibri" w:hAnsi="Candara" w:cs="Arial"/>
                                    <w:bCs/>
                                    <w:color w:val="FFFFFF" w:themeColor="background1"/>
                                    <w:kern w:val="24"/>
                                    <w:sz w:val="20"/>
                                    <w:szCs w:val="20"/>
                                  </w:rPr>
                                  <w:t>)</w:t>
                                </w:r>
                              </w:p>
                            </w:txbxContent>
                          </v:textbox>
                        </v:roundrect>
                        <v:roundrect id="_x0000_s1283" style="width:17451;height:1651;left:272;position:absolute;top:6319;v-text-anchor:middle" arcsize="10923f" fillcolor="#b3c6e7" stroked="t" strokecolor="#7b7b7b" strokeweight="1pt">
                          <v:textbox inset="0,0,0,0">
                            <w:txbxContent>
                              <w:p w:rsidR="00B55C40" w:rsidRPr="00B07C59" w:rsidP="00921BC7" w14:paraId="60A7412A" w14:textId="77777777">
                                <w:pPr>
                                  <w:pStyle w:val="NormalWeb"/>
                                  <w:kinsoku w:val="0"/>
                                  <w:overflowPunct w:val="0"/>
                                  <w:spacing w:before="0" w:beforeAutospacing="0" w:after="0" w:afterAutospacing="0" w:line="216" w:lineRule="auto"/>
                                  <w:jc w:val="center"/>
                                  <w:textAlignment w:val="baseline"/>
                                  <w:rPr>
                                    <w:rFonts w:ascii="Candara" w:eastAsia="Calibri" w:hAnsi="Candara" w:cs="Arial"/>
                                    <w:b/>
                                    <w:color w:val="000000" w:themeColor="text1"/>
                                    <w:kern w:val="24"/>
                                    <w:sz w:val="20"/>
                                    <w:szCs w:val="20"/>
                                  </w:rPr>
                                </w:pPr>
                                <w:r w:rsidRPr="007255E0">
                                  <w:rPr>
                                    <w:rFonts w:ascii="Candara" w:eastAsia="Calibri" w:hAnsi="Candara" w:cs="Arial"/>
                                    <w:b/>
                                    <w:color w:val="000000" w:themeColor="text1"/>
                                    <w:kern w:val="24"/>
                                    <w:sz w:val="20"/>
                                    <w:szCs w:val="20"/>
                                  </w:rPr>
                                  <w:t xml:space="preserve">Grozījumi </w:t>
                                </w:r>
                                <w:r>
                                  <w:rPr>
                                    <w:rFonts w:ascii="Candara" w:eastAsia="Calibri" w:hAnsi="Candara" w:cs="Arial"/>
                                    <w:b/>
                                    <w:color w:val="000000" w:themeColor="text1"/>
                                    <w:kern w:val="24"/>
                                    <w:sz w:val="20"/>
                                    <w:szCs w:val="20"/>
                                  </w:rPr>
                                  <w:t>Zin. darbības likumā</w:t>
                                </w:r>
                                <w:r w:rsidRPr="00B07C59">
                                  <w:rPr>
                                    <w:rFonts w:ascii="Candara" w:eastAsia="Calibri" w:hAnsi="Candara" w:cs="Arial"/>
                                    <w:color w:val="000000" w:themeColor="text1"/>
                                    <w:kern w:val="24"/>
                                    <w:sz w:val="20"/>
                                    <w:szCs w:val="20"/>
                                  </w:rPr>
                                  <w:t xml:space="preserve"> (</w:t>
                                </w:r>
                                <w:r>
                                  <w:rPr>
                                    <w:rFonts w:ascii="Candara" w:eastAsia="Calibri" w:hAnsi="Candara" w:cs="Arial"/>
                                    <w:color w:val="000000" w:themeColor="text1"/>
                                    <w:kern w:val="24"/>
                                    <w:sz w:val="20"/>
                                    <w:szCs w:val="20"/>
                                  </w:rPr>
                                  <w:t>Dec</w:t>
                                </w:r>
                                <w:r w:rsidRPr="00B07C59">
                                  <w:rPr>
                                    <w:rFonts w:ascii="Candara" w:eastAsia="Calibri" w:hAnsi="Candara" w:cs="Arial"/>
                                    <w:color w:val="000000" w:themeColor="text1"/>
                                    <w:kern w:val="24"/>
                                    <w:sz w:val="20"/>
                                    <w:szCs w:val="20"/>
                                  </w:rPr>
                                  <w:t xml:space="preserve"> 201</w:t>
                                </w:r>
                                <w:r>
                                  <w:rPr>
                                    <w:rFonts w:ascii="Candara" w:eastAsia="Calibri" w:hAnsi="Candara" w:cs="Arial"/>
                                    <w:color w:val="000000" w:themeColor="text1"/>
                                    <w:kern w:val="24"/>
                                    <w:sz w:val="20"/>
                                    <w:szCs w:val="20"/>
                                  </w:rPr>
                                  <w:t>6</w:t>
                                </w:r>
                                <w:r w:rsidRPr="00B07C59">
                                  <w:rPr>
                                    <w:rFonts w:ascii="Candara" w:eastAsia="Calibri" w:hAnsi="Candara" w:cs="Arial"/>
                                    <w:color w:val="000000" w:themeColor="text1"/>
                                    <w:kern w:val="24"/>
                                    <w:sz w:val="20"/>
                                    <w:szCs w:val="20"/>
                                  </w:rPr>
                                  <w:t>)</w:t>
                                </w:r>
                                <w:r w:rsidRPr="007255E0">
                                  <w:rPr>
                                    <w:rFonts w:ascii="Candara" w:eastAsia="Calibri" w:hAnsi="Candara" w:cs="Arial"/>
                                    <w:b/>
                                    <w:color w:val="000000" w:themeColor="text1"/>
                                    <w:kern w:val="24"/>
                                    <w:sz w:val="20"/>
                                    <w:szCs w:val="20"/>
                                  </w:rPr>
                                  <w:t xml:space="preserve"> </w:t>
                                </w:r>
                              </w:p>
                              <w:p w:rsidR="00B55C40" w:rsidP="00921BC7" w14:paraId="0B7BD3A2" w14:textId="77777777">
                                <w:pPr>
                                  <w:pStyle w:val="NormalWeb"/>
                                  <w:numPr>
                                    <w:ilvl w:val="0"/>
                                    <w:numId w:val="1"/>
                                  </w:numPr>
                                  <w:kinsoku w:val="0"/>
                                  <w:overflowPunct w:val="0"/>
                                  <w:spacing w:before="0" w:beforeAutospacing="0" w:after="0" w:afterAutospacing="0"/>
                                  <w:ind w:left="284" w:hanging="142"/>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NZDIS izveide</w:t>
                                </w:r>
                              </w:p>
                              <w:p w:rsidR="00B55C40" w:rsidRPr="00B07C59" w:rsidP="00921BC7" w14:paraId="2872AC7E" w14:textId="77777777">
                                <w:pPr>
                                  <w:pStyle w:val="NormalWeb"/>
                                  <w:numPr>
                                    <w:ilvl w:val="0"/>
                                    <w:numId w:val="1"/>
                                  </w:numPr>
                                  <w:kinsoku w:val="0"/>
                                  <w:overflowPunct w:val="0"/>
                                  <w:spacing w:before="0" w:beforeAutospacing="0" w:after="0" w:afterAutospacing="0"/>
                                  <w:ind w:left="284" w:hanging="142"/>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ZI reorganizācija</w:t>
                                </w:r>
                              </w:p>
                              <w:p w:rsidR="00B55C40" w:rsidRPr="00B07C59" w:rsidP="00921BC7" w14:paraId="525031EB" w14:textId="77777777">
                                <w:pPr>
                                  <w:kinsoku w:val="0"/>
                                  <w:overflowPunct w:val="0"/>
                                  <w:spacing w:after="0" w:line="216" w:lineRule="auto"/>
                                  <w:jc w:val="center"/>
                                  <w:textAlignment w:val="baseline"/>
                                  <w:rPr>
                                    <w:rFonts w:ascii="Candara" w:eastAsia="Calibri" w:hAnsi="Candara" w:cs="Arial"/>
                                    <w:color w:val="000000" w:themeColor="text1"/>
                                    <w:kern w:val="24"/>
                                    <w:sz w:val="18"/>
                                    <w:szCs w:val="20"/>
                                  </w:rPr>
                                </w:pPr>
                              </w:p>
                            </w:txbxContent>
                          </v:textbox>
                        </v:roundrect>
                        <v:roundrect id="_x0000_s1284" style="width:17481;height:1253;left:272;position:absolute;top:8106;v-text-anchor:middle" arcsize="10923f" fillcolor="#dbdbdb" stroked="t" strokecolor="#7b7b7b" strokeweight="1pt">
                          <v:textbox inset="0,0,0,0">
                            <w:txbxContent>
                              <w:p w:rsidR="00B55C40" w:rsidRPr="002B1CE3" w:rsidP="00921BC7" w14:paraId="021AB075" w14:textId="77777777">
                                <w:pPr>
                                  <w:pStyle w:val="NormalWeb"/>
                                  <w:kinsoku w:val="0"/>
                                  <w:overflowPunct w:val="0"/>
                                  <w:spacing w:before="0" w:beforeAutospacing="0" w:after="0" w:afterAutospacing="0"/>
                                  <w:jc w:val="center"/>
                                  <w:textAlignment w:val="baseline"/>
                                  <w:rPr>
                                    <w:rFonts w:ascii="Candara" w:eastAsia="Calibri" w:hAnsi="Candara" w:cs="Arial"/>
                                    <w:color w:val="000000" w:themeColor="text1"/>
                                    <w:kern w:val="24"/>
                                    <w:sz w:val="18"/>
                                    <w:szCs w:val="18"/>
                                  </w:rPr>
                                </w:pPr>
                                <w:r w:rsidRPr="009A650D">
                                  <w:rPr>
                                    <w:rFonts w:ascii="Candara" w:eastAsia="Calibri" w:hAnsi="Candara" w:cs="Arial"/>
                                    <w:color w:val="000000" w:themeColor="text1"/>
                                    <w:kern w:val="24"/>
                                    <w:sz w:val="18"/>
                                    <w:szCs w:val="18"/>
                                  </w:rPr>
                                  <w:t>Saprašanās memorands starp EM un kopbraukšanas nozares uzņēmumu pārstāvjiem</w:t>
                                </w:r>
                                <w:r w:rsidRPr="002B1CE3">
                                  <w:rPr>
                                    <w:rFonts w:ascii="Candara" w:eastAsia="Calibri" w:hAnsi="Candara" w:cs="Arial"/>
                                    <w:color w:val="000000" w:themeColor="text1"/>
                                    <w:kern w:val="24"/>
                                    <w:sz w:val="18"/>
                                    <w:szCs w:val="18"/>
                                  </w:rPr>
                                  <w:t xml:space="preserve">  (</w:t>
                                </w:r>
                                <w:r>
                                  <w:rPr>
                                    <w:rFonts w:ascii="Candara" w:eastAsia="Calibri" w:hAnsi="Candara" w:cs="Arial"/>
                                    <w:color w:val="000000" w:themeColor="text1"/>
                                    <w:kern w:val="24"/>
                                    <w:sz w:val="18"/>
                                    <w:szCs w:val="18"/>
                                  </w:rPr>
                                  <w:t>Jun</w:t>
                                </w:r>
                                <w:r w:rsidRPr="002B1CE3">
                                  <w:rPr>
                                    <w:rFonts w:ascii="Candara" w:eastAsia="Calibri" w:hAnsi="Candara" w:cs="Arial"/>
                                    <w:color w:val="000000" w:themeColor="text1"/>
                                    <w:kern w:val="24"/>
                                    <w:sz w:val="18"/>
                                    <w:szCs w:val="18"/>
                                  </w:rPr>
                                  <w:t xml:space="preserve"> 2016)</w:t>
                                </w:r>
                              </w:p>
                            </w:txbxContent>
                          </v:textbox>
                        </v:roundrect>
                        <v:group id="_x0000_s1285" style="width:21600;height:21600;position:absolute" coordorigin="0,0" coordsize="21600,21600">
                          <v:shape id="_x0000_s1286" type="#_x0000_t67" style="width:4390;height:21600;left:17210;position:absolute;rotation:180;v-text-anchor:middle" adj="-164243" fillcolor="#2f5496" stroked="t" strokecolor="#2f528f" strokeweight="0.5pt"/>
                          <v:group id="_x0000_s1287" style="width:1721;height:1295;left:17074;position:absolute;top:18971" coordorigin="0,0" coordsize="21600,21600">
                            <v:shape id="_x0000_s1288" type="#_x0000_t32" style="width:77;height:11116;left:10074;position:absolute;v-text-anchor:top" filled="f" fillcolor="this" stroked="t" strokecolor="#00b0f0" strokeweight="0.5pt">
                              <v:stroke endarrow="block"/>
                            </v:shape>
                            <v:oval id="_x0000_s1289" style="width:21600;height:8129;position:absolute;top:13471;v-text-anchor:top" fillcolor="#00b0f0" stroked="t" strokecolor="white" strokeweight="1pt"/>
                          </v:group>
                          <v:group id="_x0000_s1290" style="width:1721;height:1295;left:17074;position:absolute;top:15553" coordorigin="0,0" coordsize="21600,21600">
                            <v:shape id="_x0000_s1291" type="#_x0000_t32" style="width:77;height:11116;left:10074;position:absolute;v-text-anchor:top" filled="f" fillcolor="this" stroked="t" strokecolor="#00b0f0" strokeweight="0.5pt">
                              <v:stroke endarrow="block"/>
                            </v:shape>
                            <v:oval id="_x0000_s1292" style="width:21600;height:8129;position:absolute;top:13471;v-text-anchor:top" fillcolor="#00b0f0" stroked="t" strokecolor="white" strokeweight="1pt"/>
                          </v:group>
                          <v:group id="_x0000_s1293" style="width:1721;height:1295;left:17074;position:absolute;top:11719" coordorigin="0,0" coordsize="21600,21600">
                            <v:shape id="_x0000_s1294" type="#_x0000_t32" style="width:77;height:11116;left:10074;position:absolute;v-text-anchor:top" filled="f" fillcolor="this" stroked="t" strokecolor="#00b0f0" strokeweight="0.5pt">
                              <v:stroke endarrow="block"/>
                            </v:shape>
                            <v:oval id="_x0000_s1295" style="width:21600;height:8129;position:absolute;top:13471;v-text-anchor:top" fillcolor="#00b0f0" stroked="t" strokecolor="white" strokeweight="1pt"/>
                          </v:group>
                          <v:group id="_x0000_s1296" style="width:1721;height:1295;left:17074;position:absolute;top:5115" coordorigin="0,0" coordsize="21600,21600">
                            <v:shape id="_x0000_s1297" type="#_x0000_t32" style="width:77;height:11116;left:10074;position:absolute;v-text-anchor:top" filled="f" fillcolor="this" stroked="t" strokecolor="#00b0f0" strokeweight="0.5pt">
                              <v:stroke endarrow="block"/>
                            </v:shape>
                            <v:oval id="_x0000_s1298" style="width:21600;height:8129;position:absolute;top:13471;v-text-anchor:top" fillcolor="#00b0f0" stroked="t" strokecolor="white" strokeweight="1pt"/>
                          </v:group>
                          <v:group id="_x0000_s1299" style="width:17935;height:4275;position:absolute;top:1036" coordorigin="0,0" coordsize="21600,21600">
                            <v:roundrect id="_x0000_s1300" style="width:20989;height:6935;left:436;position:absolute;top:6150;v-text-anchor:middle" arcsize="10923f" fillcolor="#bf9000" stroked="t" strokecolor="#4472c4" strokeweight="0.5pt">
                              <v:textbox inset="0,0,0,0">
                                <w:txbxContent>
                                  <w:p w:rsidR="00B55C40" w:rsidRPr="00B07C59" w:rsidP="00921BC7" w14:paraId="1C91F0D6" w14:textId="0705B019">
                                    <w:pPr>
                                      <w:pStyle w:val="NormalWeb"/>
                                      <w:kinsoku w:val="0"/>
                                      <w:overflowPunct w:val="0"/>
                                      <w:spacing w:before="0" w:beforeAutospacing="0" w:after="0" w:afterAutospacing="0" w:line="216" w:lineRule="auto"/>
                                      <w:jc w:val="center"/>
                                      <w:textAlignment w:val="baseline"/>
                                      <w:rPr>
                                        <w:sz w:val="20"/>
                                        <w:szCs w:val="20"/>
                                      </w:rPr>
                                    </w:pPr>
                                    <w:r w:rsidRPr="00042324">
                                      <w:rPr>
                                        <w:rFonts w:ascii="Candara" w:eastAsia="Calibri" w:hAnsi="Candara" w:cs="Arial"/>
                                        <w:bCs/>
                                        <w:color w:val="FFFFFF" w:themeColor="background1"/>
                                        <w:kern w:val="24"/>
                                        <w:sz w:val="20"/>
                                        <w:szCs w:val="20"/>
                                      </w:rPr>
                                      <w:t>ES valodu un kopīgo dokt. programmu izvērtējums</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Jūl 2017</w:t>
                                    </w:r>
                                    <w:r w:rsidRPr="00B07C59">
                                      <w:rPr>
                                        <w:rFonts w:ascii="Candara" w:eastAsia="Calibri" w:hAnsi="Candara" w:cs="Arial"/>
                                        <w:bCs/>
                                        <w:color w:val="FFFFFF" w:themeColor="background1"/>
                                        <w:kern w:val="24"/>
                                        <w:sz w:val="20"/>
                                        <w:szCs w:val="20"/>
                                      </w:rPr>
                                      <w:t>)</w:t>
                                    </w:r>
                                  </w:p>
                                </w:txbxContent>
                              </v:textbox>
                            </v:roundrect>
                            <v:roundrect id="_x0000_s1301" style="width:20989;height:5365;left:327;position:absolute;v-text-anchor:middle" arcsize="10923f" fillcolor="#bf9000" stroked="t" strokecolor="#4472c4" strokeweight="0.5pt">
                              <v:textbox inset="0,0,0,0">
                                <w:txbxContent>
                                  <w:p w:rsidR="00B55C40" w:rsidRPr="00B07C59" w:rsidP="00921BC7" w14:paraId="5CB27322" w14:textId="00415094">
                                    <w:pPr>
                                      <w:pStyle w:val="NormalWeb"/>
                                      <w:kinsoku w:val="0"/>
                                      <w:overflowPunct w:val="0"/>
                                      <w:spacing w:before="0" w:beforeAutospacing="0" w:after="0" w:afterAutospacing="0" w:line="216" w:lineRule="auto"/>
                                      <w:jc w:val="center"/>
                                      <w:textAlignment w:val="baseline"/>
                                      <w:rPr>
                                        <w:sz w:val="20"/>
                                        <w:szCs w:val="20"/>
                                      </w:rPr>
                                    </w:pPr>
                                    <w:r>
                                      <w:rPr>
                                        <w:rFonts w:ascii="Candara" w:eastAsia="Calibri" w:hAnsi="Candara" w:cs="Arial"/>
                                        <w:b/>
                                        <w:bCs/>
                                        <w:color w:val="FFFFFF" w:themeColor="background1"/>
                                        <w:kern w:val="24"/>
                                        <w:sz w:val="20"/>
                                        <w:szCs w:val="20"/>
                                      </w:rPr>
                                      <w:t>P&amp;A ex-post izvērtējums</w:t>
                                    </w:r>
                                    <w:r>
                                      <w:rPr>
                                        <w:rFonts w:ascii="Candara" w:eastAsia="Calibri" w:hAnsi="Candara" w:cs="Arial"/>
                                        <w:b/>
                                        <w:bCs/>
                                        <w:color w:val="FFFFFF" w:themeColor="background1"/>
                                        <w:kern w:val="24"/>
                                        <w:sz w:val="20"/>
                                        <w:szCs w:val="20"/>
                                      </w:rPr>
                                      <w:br/>
                                    </w:r>
                                    <w:r w:rsidRPr="00B07C59">
                                      <w:rPr>
                                        <w:rFonts w:ascii="Candara" w:eastAsia="Calibri" w:hAnsi="Candara" w:cs="Arial"/>
                                        <w:bCs/>
                                        <w:color w:val="FFFFFF" w:themeColor="background1"/>
                                        <w:kern w:val="24"/>
                                        <w:sz w:val="20"/>
                                        <w:szCs w:val="20"/>
                                      </w:rPr>
                                      <w:t>(</w:t>
                                    </w:r>
                                    <w:r>
                                      <w:rPr>
                                        <w:rFonts w:ascii="Candara" w:eastAsia="Calibri" w:hAnsi="Candara" w:cs="Arial"/>
                                        <w:bCs/>
                                        <w:color w:val="FFFFFF" w:themeColor="background1"/>
                                        <w:kern w:val="24"/>
                                        <w:sz w:val="20"/>
                                        <w:szCs w:val="20"/>
                                      </w:rPr>
                                      <w:t>Jan-dec 2017</w:t>
                                    </w:r>
                                    <w:r w:rsidRPr="00B07C59">
                                      <w:rPr>
                                        <w:rFonts w:ascii="Candara" w:eastAsia="Calibri" w:hAnsi="Candara" w:cs="Arial"/>
                                        <w:bCs/>
                                        <w:color w:val="FFFFFF" w:themeColor="background1"/>
                                        <w:kern w:val="24"/>
                                        <w:sz w:val="20"/>
                                        <w:szCs w:val="20"/>
                                      </w:rPr>
                                      <w:t>)</w:t>
                                    </w:r>
                                  </w:p>
                                </w:txbxContent>
                              </v:textbox>
                            </v:roundrect>
                            <v:roundrect id="_x0000_s1302" style="width:21600;height:7991;position:absolute;top:13609;v-text-anchor:middle" arcsize="10923f" fillcolor="#92d050" stroked="t" strokecolor="#7b7b7b" strokeweight="1pt">
                              <v:textbox inset="0,0,0,0">
                                <w:txbxContent>
                                  <w:p w:rsidR="00B55C40" w:rsidP="00746067" w14:paraId="72EF2BC6" w14:textId="77777777">
                                    <w:pPr>
                                      <w:kinsoku w:val="0"/>
                                      <w:overflowPunct w:val="0"/>
                                      <w:spacing w:after="0" w:line="216" w:lineRule="auto"/>
                                      <w:jc w:val="center"/>
                                      <w:textAlignment w:val="baseline"/>
                                      <w:rPr>
                                        <w:rFonts w:ascii="Candara" w:eastAsia="Calibri" w:hAnsi="Candara" w:cs="Arial"/>
                                        <w:color w:val="000000" w:themeColor="text1"/>
                                        <w:kern w:val="24"/>
                                        <w:sz w:val="20"/>
                                        <w:szCs w:val="20"/>
                                      </w:rPr>
                                    </w:pPr>
                                    <w:r>
                                      <w:rPr>
                                        <w:rFonts w:ascii="Candara" w:eastAsia="Calibri" w:hAnsi="Candara" w:cs="Arial"/>
                                        <w:b/>
                                        <w:color w:val="000000" w:themeColor="text1"/>
                                        <w:kern w:val="24"/>
                                        <w:sz w:val="20"/>
                                        <w:szCs w:val="20"/>
                                      </w:rPr>
                                      <w:t>Jaunuzņēmumus regulējošie MKN</w:t>
                                    </w:r>
                                    <w:r w:rsidRPr="00B07C59">
                                      <w:rPr>
                                        <w:rFonts w:ascii="Candara" w:eastAsia="Calibri" w:hAnsi="Candara" w:cs="Arial"/>
                                        <w:b/>
                                        <w:color w:val="000000" w:themeColor="text1"/>
                                        <w:kern w:val="24"/>
                                        <w:sz w:val="20"/>
                                        <w:szCs w:val="20"/>
                                      </w:rPr>
                                      <w:t xml:space="preserve"> </w:t>
                                    </w:r>
                                    <w:r>
                                      <w:rPr>
                                        <w:rFonts w:ascii="Candara" w:eastAsia="Calibri" w:hAnsi="Candara" w:cs="Arial"/>
                                        <w:b/>
                                        <w:color w:val="000000" w:themeColor="text1"/>
                                        <w:kern w:val="24"/>
                                        <w:sz w:val="20"/>
                                        <w:szCs w:val="20"/>
                                      </w:rPr>
                                      <w:br/>
                                    </w:r>
                                    <w:r w:rsidRPr="00B07C59">
                                      <w:rPr>
                                        <w:rFonts w:ascii="Candara" w:eastAsia="Calibri" w:hAnsi="Candara" w:cs="Arial"/>
                                        <w:color w:val="000000" w:themeColor="text1"/>
                                        <w:kern w:val="24"/>
                                        <w:sz w:val="20"/>
                                        <w:szCs w:val="20"/>
                                      </w:rPr>
                                      <w:t>(</w:t>
                                    </w:r>
                                    <w:r>
                                      <w:rPr>
                                        <w:rFonts w:ascii="Candara" w:eastAsia="Calibri" w:hAnsi="Candara" w:cs="Arial"/>
                                        <w:color w:val="000000" w:themeColor="text1"/>
                                        <w:kern w:val="24"/>
                                        <w:sz w:val="20"/>
                                        <w:szCs w:val="20"/>
                                      </w:rPr>
                                      <w:t>Jan-Febr 2017</w:t>
                                    </w:r>
                                    <w:r w:rsidRPr="00B07C59">
                                      <w:rPr>
                                        <w:rFonts w:ascii="Candara" w:eastAsia="Calibri" w:hAnsi="Candara" w:cs="Arial"/>
                                        <w:color w:val="000000" w:themeColor="text1"/>
                                        <w:kern w:val="24"/>
                                        <w:sz w:val="20"/>
                                        <w:szCs w:val="20"/>
                                      </w:rPr>
                                      <w:t>)</w:t>
                                    </w:r>
                                  </w:p>
                                  <w:p w:rsidR="00B55C40" w:rsidP="00042324" w14:paraId="5C6F467C"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Vērtēšanas komisijas nolikums</w:t>
                                    </w:r>
                                  </w:p>
                                  <w:p w:rsidR="00B55C40" w:rsidRPr="000407A3" w:rsidP="00042324" w14:paraId="33EFF11E" w14:textId="77777777">
                                    <w:pPr>
                                      <w:pStyle w:val="NormalWeb"/>
                                      <w:numPr>
                                        <w:ilvl w:val="0"/>
                                        <w:numId w:val="1"/>
                                      </w:numPr>
                                      <w:kinsoku w:val="0"/>
                                      <w:overflowPunct w:val="0"/>
                                      <w:spacing w:before="0" w:beforeAutospacing="0" w:after="0" w:afterAutospacing="0"/>
                                      <w:ind w:left="567" w:hanging="283"/>
                                      <w:textAlignment w:val="baseline"/>
                                      <w:rPr>
                                        <w:rFonts w:ascii="Candara" w:eastAsia="Calibri" w:hAnsi="Candara" w:cs="Arial"/>
                                        <w:color w:val="000000" w:themeColor="text1"/>
                                        <w:kern w:val="24"/>
                                        <w:sz w:val="18"/>
                                        <w:szCs w:val="20"/>
                                      </w:rPr>
                                    </w:pPr>
                                    <w:r>
                                      <w:rPr>
                                        <w:rFonts w:ascii="Candara" w:eastAsia="Calibri" w:hAnsi="Candara" w:cs="Arial"/>
                                        <w:color w:val="000000" w:themeColor="text1"/>
                                        <w:kern w:val="24"/>
                                        <w:sz w:val="18"/>
                                        <w:szCs w:val="20"/>
                                      </w:rPr>
                                      <w:t>Atbalsta programmu kārtība</w:t>
                                    </w:r>
                                  </w:p>
                                  <w:p w:rsidR="00B55C40" w:rsidRPr="000407A3" w:rsidP="00746067" w14:paraId="1701DF39" w14:textId="77777777">
                                    <w:pPr>
                                      <w:pStyle w:val="NormalWeb"/>
                                      <w:ind w:left="567" w:hanging="283"/>
                                      <w:rPr>
                                        <w:rFonts w:ascii="Candara" w:eastAsia="Calibri" w:hAnsi="Candara" w:cs="Arial"/>
                                        <w:color w:val="000000" w:themeColor="text1"/>
                                        <w:kern w:val="24"/>
                                        <w:sz w:val="18"/>
                                        <w:szCs w:val="20"/>
                                      </w:rPr>
                                    </w:pPr>
                                  </w:p>
                                </w:txbxContent>
                              </v:textbox>
                            </v:roundrect>
                          </v:group>
                        </v:group>
                      </v:group>
                    </v:group>
                  </v:group>
                  <v:roundrect id="_x0000_s1303" style="width:12188;height:1114;left:9279;position:absolute;top:12380;v-text-anchor:middle" arcsize="10923f" fillcolor="#92d050" stroked="t" strokecolor="#7b7b7b" strokeweight="1pt">
                    <v:textbox inset="0,0,0,0">
                      <w:txbxContent>
                        <w:p w:rsidR="00B55C40" w:rsidRPr="00563C8B" w:rsidP="00F21492" w14:paraId="6C037AC7" w14:textId="77777777">
                          <w:pPr>
                            <w:kinsoku w:val="0"/>
                            <w:overflowPunct w:val="0"/>
                            <w:spacing w:after="0" w:line="216" w:lineRule="auto"/>
                            <w:jc w:val="center"/>
                            <w:textAlignment w:val="baseline"/>
                            <w:rPr>
                              <w:rFonts w:ascii="Candara" w:hAnsi="Candara" w:cs="Arial"/>
                              <w:b/>
                              <w:color w:val="000000"/>
                              <w:kern w:val="24"/>
                              <w:sz w:val="20"/>
                              <w:szCs w:val="20"/>
                            </w:rPr>
                          </w:pPr>
                          <w:r w:rsidRPr="00563C8B">
                            <w:rPr>
                              <w:rFonts w:ascii="Candara" w:hAnsi="Candara" w:cs="Arial"/>
                              <w:b/>
                              <w:color w:val="000000"/>
                              <w:kern w:val="24"/>
                              <w:sz w:val="20"/>
                              <w:szCs w:val="20"/>
                            </w:rPr>
                            <w:t xml:space="preserve">Grozījumi augstskolu un koledžu finansēšanas MKN </w:t>
                          </w:r>
                          <w:r w:rsidRPr="00563C8B">
                            <w:rPr>
                              <w:rFonts w:ascii="Candara" w:hAnsi="Candara" w:cs="Arial"/>
                              <w:b/>
                              <w:color w:val="000000"/>
                              <w:kern w:val="24"/>
                              <w:sz w:val="20"/>
                              <w:szCs w:val="20"/>
                            </w:rPr>
                            <w:br/>
                          </w:r>
                          <w:r w:rsidRPr="00563C8B">
                            <w:rPr>
                              <w:rFonts w:ascii="Candara" w:hAnsi="Candara" w:cs="Arial"/>
                              <w:color w:val="000000"/>
                              <w:kern w:val="24"/>
                              <w:sz w:val="20"/>
                              <w:szCs w:val="20"/>
                            </w:rPr>
                            <w:t>(Jul 2015)</w:t>
                          </w:r>
                        </w:p>
                        <w:p w:rsidR="00B55C40" w:rsidRPr="00563C8B" w:rsidP="00F21492" w14:paraId="5C8A1EA6" w14:textId="77777777">
                          <w:pPr>
                            <w:numPr>
                              <w:ilvl w:val="0"/>
                              <w:numId w:val="1"/>
                            </w:numPr>
                            <w:kinsoku w:val="0"/>
                            <w:overflowPunct w:val="0"/>
                            <w:spacing w:line="216" w:lineRule="auto"/>
                            <w:ind w:left="567" w:hanging="283"/>
                            <w:textAlignment w:val="baseline"/>
                            <w:rPr>
                              <w:rFonts w:ascii="Candara" w:hAnsi="Candara" w:cs="Arial"/>
                              <w:color w:val="000000"/>
                              <w:kern w:val="24"/>
                              <w:sz w:val="18"/>
                              <w:szCs w:val="20"/>
                            </w:rPr>
                          </w:pPr>
                          <w:r w:rsidRPr="00563C8B">
                            <w:rPr>
                              <w:rFonts w:ascii="Candara" w:hAnsi="Candara" w:cs="Arial"/>
                              <w:color w:val="000000"/>
                              <w:kern w:val="24"/>
                              <w:sz w:val="18"/>
                              <w:szCs w:val="20"/>
                            </w:rPr>
                            <w:t>2.pīlāra ieviešana</w:t>
                          </w:r>
                        </w:p>
                        <w:p w:rsidR="00B55C40" w:rsidRPr="000407A3" w:rsidP="00F21492" w14:paraId="39C6B7F9" w14:textId="77777777">
                          <w:pPr>
                            <w:ind w:left="567" w:hanging="283"/>
                            <w:rPr>
                              <w:rFonts w:ascii="Candara" w:eastAsia="Calibri" w:hAnsi="Candara" w:cs="Arial"/>
                              <w:color w:val="000000" w:themeColor="text1"/>
                              <w:kern w:val="24"/>
                              <w:sz w:val="18"/>
                              <w:szCs w:val="20"/>
                            </w:rPr>
                          </w:pPr>
                          <w:r w:rsidRPr="00B07C59">
                            <w:rPr>
                              <w:rFonts w:ascii="Candara" w:eastAsia="Calibri" w:hAnsi="Candara" w:cs="Arial"/>
                              <w:color w:val="000000" w:themeColor="text1"/>
                              <w:kern w:val="24"/>
                              <w:sz w:val="18"/>
                              <w:szCs w:val="20"/>
                              <w:lang w:eastAsia="lv-LV"/>
                            </w:rPr>
                            <w:t>Daļēji finansē akad.personāla pētniecisko darbu</w:t>
                          </w:r>
                        </w:p>
                      </w:txbxContent>
                    </v:textbox>
                  </v:roundrect>
                </v:group>
              </v:group>
            </w:pict>
          </mc:Fallback>
        </mc:AlternateContent>
      </w:r>
      <w:r w:rsidRPr="009A650D" w:rsidR="006D4322">
        <w:rPr>
          <w:rFonts w:ascii="Arial Narrow" w:eastAsia="Times New Roman" w:hAnsi="Arial Narrow" w:cs="Times New Roman"/>
          <w:noProof/>
          <w:spacing w:val="-6"/>
          <w:lang w:eastAsia="lv-LV"/>
        </w:rPr>
        <mc:AlternateContent>
          <mc:Choice Requires="wps">
            <w:drawing>
              <wp:anchor distT="45720" distB="45720" distL="114300" distR="114300" simplePos="0" relativeHeight="251856896" behindDoc="0" locked="0" layoutInCell="1" allowOverlap="1">
                <wp:simplePos x="0" y="0"/>
                <wp:positionH relativeFrom="column">
                  <wp:posOffset>4701540</wp:posOffset>
                </wp:positionH>
                <wp:positionV relativeFrom="paragraph">
                  <wp:posOffset>121920</wp:posOffset>
                </wp:positionV>
                <wp:extent cx="1390650" cy="3324225"/>
                <wp:effectExtent l="0" t="0" r="19050" b="28575"/>
                <wp:wrapSquare wrapText="bothSides"/>
                <wp:docPr id="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0650" cy="3324225"/>
                        </a:xfrm>
                        <a:prstGeom prst="rect">
                          <a:avLst/>
                        </a:prstGeom>
                        <a:solidFill>
                          <a:srgbClr val="FFFFFF"/>
                        </a:solidFill>
                        <a:ln w="9525">
                          <a:solidFill>
                            <a:srgbClr val="000000"/>
                          </a:solidFill>
                          <a:miter lim="800000"/>
                          <a:headEnd/>
                          <a:tailEnd/>
                        </a:ln>
                      </wps:spPr>
                      <wps:txbx>
                        <w:txbxContent>
                          <w:p w:rsidR="00B55C40" w14:textId="77777777">
                            <w:pPr>
                              <w:rPr>
                                <w:rFonts w:ascii="Candara" w:hAnsi="Candara"/>
                                <w:sz w:val="18"/>
                                <w:szCs w:val="18"/>
                              </w:rPr>
                            </w:pPr>
                            <w:r w:rsidRPr="009A650D">
                              <w:rPr>
                                <w:rFonts w:ascii="Candara" w:hAnsi="Candara"/>
                                <w:sz w:val="18"/>
                                <w:szCs w:val="18"/>
                              </w:rPr>
                              <w:t>Apzīmējumi:</w:t>
                            </w:r>
                          </w:p>
                          <w:p w:rsidR="00B55C40" w:rsidRPr="009A650D" w14:textId="77777777">
                            <w:pPr>
                              <w:rPr>
                                <w:rFonts w:ascii="Candara" w:hAnsi="Candara"/>
                                <w:sz w:val="18"/>
                                <w:szCs w:val="18"/>
                              </w:rPr>
                            </w:pPr>
                            <w:r>
                              <w:rPr>
                                <w:noProof/>
                                <w:lang w:eastAsia="lv-LV"/>
                              </w:rPr>
                              <w:drawing>
                                <wp:inline distT="0" distB="0" distL="0" distR="0">
                                  <wp:extent cx="98535" cy="95250"/>
                                  <wp:effectExtent l="19050" t="19050" r="15875" b="19050"/>
                                  <wp:docPr id="137250406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63201" name=""/>
                                          <pic:cNvPicPr/>
                                        </pic:nvPicPr>
                                        <pic:blipFill>
                                          <a:blip xmlns:r="http://schemas.openxmlformats.org/officeDocument/2006/relationships" r:embed="rId98"/>
                                          <a:stretch>
                                            <a:fillRect/>
                                          </a:stretch>
                                        </pic:blipFill>
                                        <pic:spPr>
                                          <a:xfrm>
                                            <a:off x="0" y="0"/>
                                            <a:ext cx="108830" cy="105202"/>
                                          </a:xfrm>
                                          <a:prstGeom prst="rect">
                                            <a:avLst/>
                                          </a:prstGeom>
                                          <a:ln>
                                            <a:solidFill>
                                              <a:schemeClr val="bg2">
                                                <a:lumMod val="75000"/>
                                              </a:schemeClr>
                                            </a:solidFill>
                                          </a:ln>
                                        </pic:spPr>
                                      </pic:pic>
                                    </a:graphicData>
                                  </a:graphic>
                                </wp:inline>
                              </w:drawing>
                            </w:r>
                            <w:r>
                              <w:rPr>
                                <w:rFonts w:ascii="Candara" w:hAnsi="Candara"/>
                                <w:sz w:val="18"/>
                                <w:szCs w:val="18"/>
                              </w:rPr>
                              <w:t xml:space="preserve"> - </w:t>
                            </w:r>
                            <w:r w:rsidRPr="001E5AD0">
                              <w:rPr>
                                <w:rFonts w:ascii="Candara" w:hAnsi="Candara"/>
                                <w:sz w:val="18"/>
                                <w:szCs w:val="18"/>
                              </w:rPr>
                              <w:t>starptautiski un</w:t>
                            </w:r>
                            <w:r>
                              <w:rPr>
                                <w:rFonts w:ascii="Candara" w:hAnsi="Candara"/>
                                <w:sz w:val="18"/>
                                <w:szCs w:val="18"/>
                              </w:rPr>
                              <w:t xml:space="preserve"> nacionāla līmeņa izvērtējumi, konceptuālie un informatīvie ziņojumi, kas analizē un pamato nepieciešamās izmaiņas normatīvajā regulējumā un investīciju programmās; </w:t>
                            </w:r>
                          </w:p>
                          <w:p w:rsidR="00B55C40" w14:textId="77777777">
                            <w:pPr>
                              <w:rPr>
                                <w:rFonts w:ascii="Candara" w:hAnsi="Candara"/>
                                <w:sz w:val="18"/>
                                <w:szCs w:val="18"/>
                              </w:rPr>
                            </w:pPr>
                            <w:r>
                              <w:rPr>
                                <w:noProof/>
                                <w:lang w:eastAsia="lv-LV"/>
                              </w:rPr>
                              <w:drawing>
                                <wp:inline distT="0" distB="0" distL="0" distR="0">
                                  <wp:extent cx="72736" cy="85725"/>
                                  <wp:effectExtent l="19050" t="19050" r="22860" b="9525"/>
                                  <wp:docPr id="859418505"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30947" name=""/>
                                          <pic:cNvPicPr/>
                                        </pic:nvPicPr>
                                        <pic:blipFill>
                                          <a:blip xmlns:r="http://schemas.openxmlformats.org/officeDocument/2006/relationships" r:embed="rId99"/>
                                          <a:stretch>
                                            <a:fillRect/>
                                          </a:stretch>
                                        </pic:blipFill>
                                        <pic:spPr>
                                          <a:xfrm>
                                            <a:off x="0" y="0"/>
                                            <a:ext cx="92298" cy="108780"/>
                                          </a:xfrm>
                                          <a:prstGeom prst="rect">
                                            <a:avLst/>
                                          </a:prstGeom>
                                          <a:ln>
                                            <a:solidFill>
                                              <a:schemeClr val="bg2">
                                                <a:lumMod val="75000"/>
                                              </a:schemeClr>
                                            </a:solidFill>
                                          </a:ln>
                                        </pic:spPr>
                                      </pic:pic>
                                    </a:graphicData>
                                  </a:graphic>
                                </wp:inline>
                              </w:drawing>
                            </w:r>
                            <w:r>
                              <w:rPr>
                                <w:rFonts w:ascii="Candara" w:hAnsi="Candara"/>
                              </w:rPr>
                              <w:t xml:space="preserve"> - </w:t>
                            </w:r>
                            <w:r>
                              <w:rPr>
                                <w:rFonts w:ascii="Candara" w:hAnsi="Candara"/>
                                <w:sz w:val="18"/>
                                <w:szCs w:val="18"/>
                              </w:rPr>
                              <w:t>pieņemtie Likumi;</w:t>
                            </w:r>
                          </w:p>
                          <w:p w:rsidR="00B55C40" w14:textId="77777777">
                            <w:pPr>
                              <w:rPr>
                                <w:rFonts w:ascii="Candara" w:hAnsi="Candara"/>
                                <w:sz w:val="18"/>
                                <w:szCs w:val="18"/>
                              </w:rPr>
                            </w:pPr>
                            <w:r>
                              <w:rPr>
                                <w:noProof/>
                                <w:lang w:eastAsia="lv-LV"/>
                              </w:rPr>
                              <w:drawing>
                                <wp:inline distT="0" distB="0" distL="0" distR="0">
                                  <wp:extent cx="104775" cy="116416"/>
                                  <wp:effectExtent l="19050" t="19050" r="9525" b="17145"/>
                                  <wp:docPr id="1473195828"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89875" name=""/>
                                          <pic:cNvPicPr/>
                                        </pic:nvPicPr>
                                        <pic:blipFill>
                                          <a:blip xmlns:r="http://schemas.openxmlformats.org/officeDocument/2006/relationships" r:embed="rId100"/>
                                          <a:stretch>
                                            <a:fillRect/>
                                          </a:stretch>
                                        </pic:blipFill>
                                        <pic:spPr>
                                          <a:xfrm>
                                            <a:off x="0" y="0"/>
                                            <a:ext cx="117216" cy="130239"/>
                                          </a:xfrm>
                                          <a:prstGeom prst="rect">
                                            <a:avLst/>
                                          </a:prstGeom>
                                          <a:ln>
                                            <a:solidFill>
                                              <a:schemeClr val="bg2">
                                                <a:lumMod val="75000"/>
                                              </a:schemeClr>
                                            </a:solidFill>
                                          </a:ln>
                                        </pic:spPr>
                                      </pic:pic>
                                    </a:graphicData>
                                  </a:graphic>
                                </wp:inline>
                              </w:drawing>
                            </w:r>
                            <w:r>
                              <w:rPr>
                                <w:rFonts w:ascii="Candara" w:hAnsi="Candara"/>
                                <w:sz w:val="18"/>
                                <w:szCs w:val="18"/>
                              </w:rPr>
                              <w:t xml:space="preserve"> - pieņemtie Ministru kabineta noteikumi;</w:t>
                            </w:r>
                          </w:p>
                          <w:p w:rsidR="00B55C40" w14:textId="77777777">
                            <w:pPr>
                              <w:rPr>
                                <w:rFonts w:ascii="Candara" w:hAnsi="Candara"/>
                                <w:sz w:val="18"/>
                                <w:szCs w:val="18"/>
                              </w:rPr>
                            </w:pPr>
                            <w:r>
                              <w:rPr>
                                <w:noProof/>
                                <w:lang w:eastAsia="lv-LV"/>
                              </w:rPr>
                              <w:drawing>
                                <wp:inline distT="0" distB="0" distL="0" distR="0">
                                  <wp:extent cx="90011" cy="85725"/>
                                  <wp:effectExtent l="19050" t="19050" r="24765" b="9525"/>
                                  <wp:docPr id="113126376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33308" name=""/>
                                          <pic:cNvPicPr/>
                                        </pic:nvPicPr>
                                        <pic:blipFill>
                                          <a:blip xmlns:r="http://schemas.openxmlformats.org/officeDocument/2006/relationships" r:embed="rId101"/>
                                          <a:stretch>
                                            <a:fillRect/>
                                          </a:stretch>
                                        </pic:blipFill>
                                        <pic:spPr>
                                          <a:xfrm>
                                            <a:off x="0" y="0"/>
                                            <a:ext cx="93920" cy="89448"/>
                                          </a:xfrm>
                                          <a:prstGeom prst="rect">
                                            <a:avLst/>
                                          </a:prstGeom>
                                          <a:ln>
                                            <a:solidFill>
                                              <a:schemeClr val="bg1">
                                                <a:lumMod val="65000"/>
                                              </a:schemeClr>
                                            </a:solidFill>
                                          </a:ln>
                                        </pic:spPr>
                                      </pic:pic>
                                    </a:graphicData>
                                  </a:graphic>
                                </wp:inline>
                              </w:drawing>
                            </w:r>
                            <w:r>
                              <w:rPr>
                                <w:rFonts w:ascii="Candara" w:hAnsi="Candara"/>
                                <w:sz w:val="18"/>
                                <w:szCs w:val="18"/>
                              </w:rPr>
                              <w:t xml:space="preserve"> - starptautiska un nacionāla līmeņa līgumi un vienošanās</w:t>
                            </w:r>
                          </w:p>
                          <w:p w:rsidR="00B55C40" w:rsidRPr="009A650D" w14:textId="77777777">
                            <w:pPr>
                              <w:rPr>
                                <w:rFonts w:ascii="Candara" w:hAnsi="Candara"/>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304" type="#_x0000_t202" style="width:109.5pt;height:261.75pt;margin-top:9.6pt;margin-left:370.2pt;mso-height-percent:0;mso-height-relative:margin;mso-width-percent:0;mso-width-relative:margin;mso-wrap-distance-bottom:3.6pt;mso-wrap-distance-left:9pt;mso-wrap-distance-right:9pt;mso-wrap-distance-top:3.6pt;mso-wrap-style:square;position:absolute;visibility:visible;v-text-anchor:top;z-index:251857920">
                <v:textbox>
                  <w:txbxContent>
                    <w:p w:rsidR="00B55C40" w14:paraId="07162429" w14:textId="77777777">
                      <w:pPr>
                        <w:rPr>
                          <w:rFonts w:ascii="Candara" w:hAnsi="Candara"/>
                          <w:sz w:val="18"/>
                          <w:szCs w:val="18"/>
                        </w:rPr>
                      </w:pPr>
                      <w:r w:rsidRPr="009A650D">
                        <w:rPr>
                          <w:rFonts w:ascii="Candara" w:hAnsi="Candara"/>
                          <w:sz w:val="18"/>
                          <w:szCs w:val="18"/>
                        </w:rPr>
                        <w:t>Apzīmējumi:</w:t>
                      </w:r>
                    </w:p>
                    <w:p w:rsidR="00B55C40" w:rsidRPr="009A650D" w14:paraId="7775E4CD" w14:textId="77777777">
                      <w:pPr>
                        <w:rPr>
                          <w:rFonts w:ascii="Candara" w:hAnsi="Candara"/>
                          <w:sz w:val="18"/>
                          <w:szCs w:val="18"/>
                        </w:rPr>
                      </w:pPr>
                      <w:drawing>
                        <wp:inline distT="0" distB="0" distL="0" distR="0">
                          <wp:extent cx="98535" cy="95250"/>
                          <wp:effectExtent l="19050" t="19050" r="15875" b="190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3954" name=""/>
                                  <pic:cNvPicPr/>
                                </pic:nvPicPr>
                                <pic:blipFill>
                                  <a:blip xmlns:r="http://schemas.openxmlformats.org/officeDocument/2006/relationships" r:embed="rId98"/>
                                  <a:stretch>
                                    <a:fillRect/>
                                  </a:stretch>
                                </pic:blipFill>
                                <pic:spPr>
                                  <a:xfrm>
                                    <a:off x="0" y="0"/>
                                    <a:ext cx="108830" cy="105202"/>
                                  </a:xfrm>
                                  <a:prstGeom prst="rect">
                                    <a:avLst/>
                                  </a:prstGeom>
                                  <a:ln>
                                    <a:solidFill>
                                      <a:schemeClr val="bg2">
                                        <a:lumMod val="75000"/>
                                      </a:schemeClr>
                                    </a:solidFill>
                                  </a:ln>
                                </pic:spPr>
                              </pic:pic>
                            </a:graphicData>
                          </a:graphic>
                        </wp:inline>
                      </w:drawing>
                      <w:r>
                        <w:rPr>
                          <w:rFonts w:ascii="Candara" w:hAnsi="Candara"/>
                          <w:sz w:val="18"/>
                          <w:szCs w:val="18"/>
                        </w:rPr>
                        <w:t xml:space="preserve"> - </w:t>
                      </w:r>
                      <w:r w:rsidRPr="001E5AD0">
                        <w:rPr>
                          <w:rFonts w:ascii="Candara" w:hAnsi="Candara"/>
                          <w:sz w:val="18"/>
                          <w:szCs w:val="18"/>
                        </w:rPr>
                        <w:t>starptautiski un</w:t>
                      </w:r>
                      <w:r>
                        <w:rPr>
                          <w:rFonts w:ascii="Candara" w:hAnsi="Candara"/>
                          <w:sz w:val="18"/>
                          <w:szCs w:val="18"/>
                        </w:rPr>
                        <w:t xml:space="preserve"> nacionāla līmeņa izvērtējumi, konceptuālie un informatīvie ziņojumi, kas analizē un pamato nepieciešamās izmaiņas normatīvajā regulējumā un investīciju programmās; </w:t>
                      </w:r>
                    </w:p>
                    <w:p w:rsidR="00B55C40" w14:paraId="00D77740" w14:textId="77777777">
                      <w:pPr>
                        <w:rPr>
                          <w:rFonts w:ascii="Candara" w:hAnsi="Candara"/>
                          <w:sz w:val="18"/>
                          <w:szCs w:val="18"/>
                        </w:rPr>
                      </w:pPr>
                      <w:drawing>
                        <wp:inline distT="0" distB="0" distL="0" distR="0">
                          <wp:extent cx="72736" cy="85725"/>
                          <wp:effectExtent l="19050" t="19050" r="2286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35542" name=""/>
                                  <pic:cNvPicPr/>
                                </pic:nvPicPr>
                                <pic:blipFill>
                                  <a:blip xmlns:r="http://schemas.openxmlformats.org/officeDocument/2006/relationships" r:embed="rId99"/>
                                  <a:stretch>
                                    <a:fillRect/>
                                  </a:stretch>
                                </pic:blipFill>
                                <pic:spPr>
                                  <a:xfrm>
                                    <a:off x="0" y="0"/>
                                    <a:ext cx="92298" cy="108780"/>
                                  </a:xfrm>
                                  <a:prstGeom prst="rect">
                                    <a:avLst/>
                                  </a:prstGeom>
                                  <a:ln>
                                    <a:solidFill>
                                      <a:schemeClr val="bg2">
                                        <a:lumMod val="75000"/>
                                      </a:schemeClr>
                                    </a:solidFill>
                                  </a:ln>
                                </pic:spPr>
                              </pic:pic>
                            </a:graphicData>
                          </a:graphic>
                        </wp:inline>
                      </w:drawing>
                      <w:r>
                        <w:rPr>
                          <w:rFonts w:ascii="Candara" w:hAnsi="Candara"/>
                        </w:rPr>
                        <w:t xml:space="preserve"> - </w:t>
                      </w:r>
                      <w:r>
                        <w:rPr>
                          <w:rFonts w:ascii="Candara" w:hAnsi="Candara"/>
                          <w:sz w:val="18"/>
                          <w:szCs w:val="18"/>
                        </w:rPr>
                        <w:t>pieņemtie Likumi;</w:t>
                      </w:r>
                    </w:p>
                    <w:p w:rsidR="00B55C40" w14:paraId="65067F94" w14:textId="77777777">
                      <w:pPr>
                        <w:rPr>
                          <w:rFonts w:ascii="Candara" w:hAnsi="Candara"/>
                          <w:sz w:val="18"/>
                          <w:szCs w:val="18"/>
                        </w:rPr>
                      </w:pPr>
                      <w:drawing>
                        <wp:inline distT="0" distB="0" distL="0" distR="0">
                          <wp:extent cx="104775" cy="116416"/>
                          <wp:effectExtent l="19050" t="19050" r="9525" b="1714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36959" name=""/>
                                  <pic:cNvPicPr/>
                                </pic:nvPicPr>
                                <pic:blipFill>
                                  <a:blip xmlns:r="http://schemas.openxmlformats.org/officeDocument/2006/relationships" r:embed="rId100"/>
                                  <a:stretch>
                                    <a:fillRect/>
                                  </a:stretch>
                                </pic:blipFill>
                                <pic:spPr>
                                  <a:xfrm>
                                    <a:off x="0" y="0"/>
                                    <a:ext cx="117216" cy="130239"/>
                                  </a:xfrm>
                                  <a:prstGeom prst="rect">
                                    <a:avLst/>
                                  </a:prstGeom>
                                  <a:ln>
                                    <a:solidFill>
                                      <a:schemeClr val="bg2">
                                        <a:lumMod val="75000"/>
                                      </a:schemeClr>
                                    </a:solidFill>
                                  </a:ln>
                                </pic:spPr>
                              </pic:pic>
                            </a:graphicData>
                          </a:graphic>
                        </wp:inline>
                      </w:drawing>
                      <w:r>
                        <w:rPr>
                          <w:rFonts w:ascii="Candara" w:hAnsi="Candara"/>
                          <w:sz w:val="18"/>
                          <w:szCs w:val="18"/>
                        </w:rPr>
                        <w:t xml:space="preserve"> - pieņemtie Ministru kabineta noteikumi;</w:t>
                      </w:r>
                    </w:p>
                    <w:p w:rsidR="00B55C40" w14:paraId="45594CD9" w14:textId="77777777">
                      <w:pPr>
                        <w:rPr>
                          <w:rFonts w:ascii="Candara" w:hAnsi="Candara"/>
                          <w:sz w:val="18"/>
                          <w:szCs w:val="18"/>
                        </w:rPr>
                      </w:pPr>
                      <w:drawing>
                        <wp:inline distT="0" distB="0" distL="0" distR="0">
                          <wp:extent cx="90011" cy="85725"/>
                          <wp:effectExtent l="19050" t="19050" r="2476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63217" name=""/>
                                  <pic:cNvPicPr/>
                                </pic:nvPicPr>
                                <pic:blipFill>
                                  <a:blip xmlns:r="http://schemas.openxmlformats.org/officeDocument/2006/relationships" r:embed="rId101"/>
                                  <a:stretch>
                                    <a:fillRect/>
                                  </a:stretch>
                                </pic:blipFill>
                                <pic:spPr>
                                  <a:xfrm>
                                    <a:off x="0" y="0"/>
                                    <a:ext cx="93920" cy="89448"/>
                                  </a:xfrm>
                                  <a:prstGeom prst="rect">
                                    <a:avLst/>
                                  </a:prstGeom>
                                  <a:ln>
                                    <a:solidFill>
                                      <a:schemeClr val="bg1">
                                        <a:lumMod val="65000"/>
                                      </a:schemeClr>
                                    </a:solidFill>
                                  </a:ln>
                                </pic:spPr>
                              </pic:pic>
                            </a:graphicData>
                          </a:graphic>
                        </wp:inline>
                      </w:drawing>
                      <w:r>
                        <w:rPr>
                          <w:rFonts w:ascii="Candara" w:hAnsi="Candara"/>
                          <w:sz w:val="18"/>
                          <w:szCs w:val="18"/>
                        </w:rPr>
                        <w:t xml:space="preserve"> - starptautiska un nacionāla līmeņa līgumi un vienošanās</w:t>
                      </w:r>
                    </w:p>
                    <w:p w:rsidR="00B55C40" w:rsidRPr="009A650D" w14:paraId="0DE5FE59" w14:textId="77777777">
                      <w:pPr>
                        <w:rPr>
                          <w:rFonts w:ascii="Candara" w:hAnsi="Candara"/>
                        </w:rPr>
                      </w:pPr>
                    </w:p>
                  </w:txbxContent>
                </v:textbox>
                <w10:wrap type="square"/>
              </v:shape>
            </w:pict>
          </mc:Fallback>
        </mc:AlternateContent>
      </w:r>
      <w:r w:rsidR="00F0137C">
        <w:rPr>
          <w:rFonts w:ascii="Candara" w:eastAsia="SimSun" w:hAnsi="Candara" w:cs="Times New Roman"/>
          <w:b/>
          <w:iCs/>
          <w:lang w:eastAsia="zh-CN" w:bidi="lo-LA"/>
        </w:rPr>
        <w:t>5</w:t>
      </w:r>
      <w:r w:rsidR="00A65B70">
        <w:rPr>
          <w:rFonts w:ascii="Candara" w:eastAsia="SimSun" w:hAnsi="Candara" w:cs="Times New Roman"/>
          <w:b/>
          <w:iCs/>
          <w:lang w:eastAsia="zh-CN" w:bidi="lo-LA"/>
        </w:rPr>
        <w:t>6</w:t>
      </w:r>
      <w:r w:rsidR="00822D84">
        <w:rPr>
          <w:rFonts w:ascii="Candara" w:eastAsia="SimSun" w:hAnsi="Candara" w:cs="Times New Roman"/>
          <w:b/>
          <w:iCs/>
          <w:lang w:eastAsia="zh-CN" w:bidi="lo-LA"/>
        </w:rPr>
        <w:t xml:space="preserve">.attēls. </w:t>
      </w:r>
      <w:r w:rsidR="003761F5">
        <w:rPr>
          <w:rFonts w:ascii="Candara" w:eastAsia="SimSun" w:hAnsi="Candara" w:cs="Times New Roman"/>
          <w:b/>
          <w:iCs/>
          <w:lang w:eastAsia="zh-CN" w:bidi="lo-LA"/>
        </w:rPr>
        <w:t>Laika posmā no 2014. līdz 2017.</w:t>
      </w:r>
      <w:r w:rsidR="00A31C76">
        <w:rPr>
          <w:rFonts w:ascii="Candara" w:eastAsia="SimSun" w:hAnsi="Candara" w:cs="Times New Roman"/>
          <w:b/>
          <w:iCs/>
          <w:lang w:eastAsia="zh-CN" w:bidi="lo-LA"/>
        </w:rPr>
        <w:t>gadam īstenotie pasākumi ekosistēmas pilnveidei</w:t>
      </w:r>
    </w:p>
    <w:p w:rsidR="00921BC7" w:rsidRPr="00A31C76" w:rsidP="00A31C76" w14:paraId="044548C7" w14:textId="77777777">
      <w:pPr>
        <w:snapToGrid w:val="0"/>
        <w:spacing w:after="120" w:line="240" w:lineRule="auto"/>
        <w:jc w:val="center"/>
        <w:rPr>
          <w:rFonts w:ascii="Candara" w:eastAsia="SimSun" w:hAnsi="Candara" w:cs="Times New Roman"/>
          <w:b/>
          <w:iCs/>
          <w:lang w:eastAsia="zh-CN" w:bidi="lo-LA"/>
        </w:rPr>
      </w:pPr>
    </w:p>
    <w:p w:rsidR="00921BC7" w:rsidP="00921BC7" w14:paraId="7105A29A" w14:textId="77777777">
      <w:pPr>
        <w:spacing w:after="0"/>
        <w:ind w:left="567"/>
        <w:rPr>
          <w:rFonts w:ascii="Arial Narrow" w:eastAsia="Times New Roman" w:hAnsi="Arial Narrow" w:cs="Times New Roman"/>
          <w:spacing w:val="-6"/>
          <w:lang w:bidi="lo-LA"/>
        </w:rPr>
      </w:pPr>
    </w:p>
    <w:p w:rsidR="00921BC7" w:rsidP="00921BC7" w14:paraId="003BE383" w14:textId="77777777">
      <w:pPr>
        <w:spacing w:after="0"/>
        <w:ind w:left="567"/>
        <w:rPr>
          <w:rFonts w:ascii="Arial Narrow" w:eastAsia="Times New Roman" w:hAnsi="Arial Narrow" w:cs="Times New Roman"/>
          <w:spacing w:val="-6"/>
          <w:lang w:bidi="lo-LA"/>
        </w:rPr>
      </w:pPr>
    </w:p>
    <w:p w:rsidR="00921BC7" w:rsidP="00921BC7" w14:paraId="1493CBEB" w14:textId="77777777">
      <w:pPr>
        <w:spacing w:after="0"/>
        <w:ind w:left="567"/>
        <w:rPr>
          <w:rFonts w:ascii="Arial Narrow" w:eastAsia="Times New Roman" w:hAnsi="Arial Narrow" w:cs="Times New Roman"/>
          <w:spacing w:val="-6"/>
          <w:lang w:bidi="lo-LA"/>
        </w:rPr>
      </w:pPr>
    </w:p>
    <w:p w:rsidR="00921BC7" w:rsidP="00921BC7" w14:paraId="0502BA1D" w14:textId="77777777">
      <w:pPr>
        <w:spacing w:after="0"/>
        <w:ind w:left="567"/>
        <w:rPr>
          <w:rFonts w:ascii="Arial Narrow" w:eastAsia="Times New Roman" w:hAnsi="Arial Narrow" w:cs="Times New Roman"/>
          <w:spacing w:val="-6"/>
          <w:lang w:bidi="lo-LA"/>
        </w:rPr>
      </w:pPr>
    </w:p>
    <w:p w:rsidR="00921BC7" w:rsidP="00921BC7" w14:paraId="54AA8DCF" w14:textId="77777777">
      <w:pPr>
        <w:spacing w:after="0"/>
        <w:ind w:left="567"/>
        <w:rPr>
          <w:rFonts w:ascii="Arial Narrow" w:eastAsia="Times New Roman" w:hAnsi="Arial Narrow" w:cs="Times New Roman"/>
          <w:spacing w:val="-6"/>
          <w:lang w:bidi="lo-LA"/>
        </w:rPr>
      </w:pPr>
    </w:p>
    <w:p w:rsidR="00921BC7" w:rsidP="00921BC7" w14:paraId="2E0F0EBB" w14:textId="77777777">
      <w:pPr>
        <w:spacing w:after="0"/>
        <w:ind w:left="567"/>
        <w:rPr>
          <w:rFonts w:ascii="Arial Narrow" w:eastAsia="Times New Roman" w:hAnsi="Arial Narrow" w:cs="Times New Roman"/>
          <w:spacing w:val="-6"/>
          <w:lang w:bidi="lo-LA"/>
        </w:rPr>
      </w:pPr>
    </w:p>
    <w:p w:rsidR="00921BC7" w:rsidP="00921BC7" w14:paraId="12B4E165" w14:textId="77777777">
      <w:pPr>
        <w:spacing w:after="0"/>
        <w:ind w:left="567"/>
        <w:rPr>
          <w:rFonts w:ascii="Arial Narrow" w:eastAsia="Times New Roman" w:hAnsi="Arial Narrow" w:cs="Times New Roman"/>
          <w:spacing w:val="-6"/>
          <w:lang w:bidi="lo-LA"/>
        </w:rPr>
      </w:pPr>
    </w:p>
    <w:p w:rsidR="00921BC7" w:rsidP="00921BC7" w14:paraId="4037A1C7" w14:textId="77777777">
      <w:pPr>
        <w:spacing w:after="0"/>
        <w:ind w:left="567"/>
        <w:rPr>
          <w:rFonts w:ascii="Arial Narrow" w:eastAsia="Times New Roman" w:hAnsi="Arial Narrow" w:cs="Times New Roman"/>
          <w:spacing w:val="-6"/>
          <w:lang w:bidi="lo-LA"/>
        </w:rPr>
      </w:pPr>
    </w:p>
    <w:p w:rsidR="00921BC7" w:rsidP="00A31C76" w14:paraId="31463113" w14:textId="77777777">
      <w:pPr>
        <w:spacing w:after="0"/>
        <w:ind w:left="567"/>
        <w:rPr>
          <w:rFonts w:ascii="Arial Narrow" w:eastAsia="Times New Roman" w:hAnsi="Arial Narrow" w:cs="Times New Roman"/>
          <w:spacing w:val="-6"/>
          <w:lang w:bidi="lo-LA"/>
        </w:rPr>
      </w:pPr>
    </w:p>
    <w:p w:rsidR="00042324" w:rsidP="00921BC7" w14:paraId="6CD58150" w14:textId="77777777">
      <w:pPr>
        <w:spacing w:after="0"/>
        <w:ind w:left="2410"/>
        <w:rPr>
          <w:rFonts w:ascii="Arial Narrow" w:eastAsia="Times New Roman" w:hAnsi="Arial Narrow" w:cs="Times New Roman"/>
          <w:spacing w:val="-6"/>
          <w:lang w:bidi="lo-LA"/>
        </w:rPr>
      </w:pPr>
    </w:p>
    <w:p w:rsidR="00921BC7" w:rsidRPr="009A650D" w:rsidP="00921BC7" w14:paraId="55CECAFA" w14:textId="77777777">
      <w:pPr>
        <w:spacing w:after="0"/>
        <w:ind w:left="2410"/>
        <w:rPr>
          <w:rFonts w:ascii="Arial Narrow" w:eastAsia="Times New Roman" w:hAnsi="Arial Narrow" w:cs="Times New Roman"/>
          <w:b/>
          <w:spacing w:val="-6"/>
          <w:lang w:bidi="lo-LA"/>
        </w:rPr>
      </w:pPr>
      <w:r w:rsidRPr="009A650D">
        <w:rPr>
          <w:rFonts w:ascii="Arial Narrow" w:eastAsia="Times New Roman" w:hAnsi="Arial Narrow" w:cs="Times New Roman"/>
          <w:b/>
          <w:spacing w:val="-6"/>
          <w:lang w:bidi="lo-LA"/>
        </w:rPr>
        <w:t>2017</w:t>
      </w:r>
    </w:p>
    <w:p w:rsidR="00921BC7" w:rsidP="00921BC7" w14:paraId="794DCED4" w14:textId="77777777">
      <w:pPr>
        <w:spacing w:after="0"/>
        <w:ind w:left="567"/>
        <w:rPr>
          <w:rFonts w:ascii="Arial Narrow" w:eastAsia="Times New Roman" w:hAnsi="Arial Narrow" w:cs="Times New Roman"/>
          <w:spacing w:val="-6"/>
          <w:lang w:bidi="lo-LA"/>
        </w:rPr>
      </w:pPr>
    </w:p>
    <w:p w:rsidR="00921BC7" w:rsidP="00921BC7" w14:paraId="39049E71" w14:textId="77777777">
      <w:pPr>
        <w:spacing w:after="0"/>
        <w:ind w:left="567"/>
        <w:rPr>
          <w:rFonts w:ascii="Arial Narrow" w:eastAsia="Times New Roman" w:hAnsi="Arial Narrow" w:cs="Times New Roman"/>
          <w:spacing w:val="-6"/>
          <w:lang w:bidi="lo-LA"/>
        </w:rPr>
      </w:pPr>
    </w:p>
    <w:p w:rsidR="00921BC7" w:rsidP="00921BC7" w14:paraId="013F1F9C" w14:textId="77777777">
      <w:pPr>
        <w:spacing w:after="0"/>
        <w:ind w:left="567"/>
        <w:rPr>
          <w:rFonts w:ascii="Arial Narrow" w:eastAsia="Times New Roman" w:hAnsi="Arial Narrow" w:cs="Times New Roman"/>
          <w:spacing w:val="-6"/>
          <w:lang w:bidi="lo-LA"/>
        </w:rPr>
      </w:pPr>
    </w:p>
    <w:p w:rsidR="00921BC7" w:rsidP="00921BC7" w14:paraId="6DAC4CE1" w14:textId="77777777">
      <w:pPr>
        <w:spacing w:after="0"/>
        <w:ind w:left="567"/>
        <w:rPr>
          <w:rFonts w:ascii="Arial Narrow" w:eastAsia="Times New Roman" w:hAnsi="Arial Narrow" w:cs="Times New Roman"/>
          <w:spacing w:val="-6"/>
          <w:lang w:bidi="lo-LA"/>
        </w:rPr>
      </w:pPr>
    </w:p>
    <w:p w:rsidR="00921BC7" w:rsidP="00921BC7" w14:paraId="060E5033" w14:textId="77777777">
      <w:pPr>
        <w:spacing w:after="0"/>
        <w:ind w:left="567"/>
        <w:rPr>
          <w:rFonts w:ascii="Arial Narrow" w:eastAsia="Times New Roman" w:hAnsi="Arial Narrow" w:cs="Times New Roman"/>
          <w:spacing w:val="-6"/>
          <w:lang w:bidi="lo-LA"/>
        </w:rPr>
      </w:pPr>
    </w:p>
    <w:p w:rsidR="00921BC7" w:rsidP="00921BC7" w14:paraId="6E27684D" w14:textId="77777777">
      <w:pPr>
        <w:spacing w:after="0"/>
        <w:ind w:left="567"/>
        <w:rPr>
          <w:rFonts w:ascii="Arial Narrow" w:eastAsia="Times New Roman" w:hAnsi="Arial Narrow" w:cs="Times New Roman"/>
          <w:spacing w:val="-6"/>
          <w:lang w:bidi="lo-LA"/>
        </w:rPr>
      </w:pPr>
    </w:p>
    <w:p w:rsidR="00921BC7" w:rsidP="00921BC7" w14:paraId="78D93F84" w14:textId="77777777">
      <w:pPr>
        <w:spacing w:after="0"/>
        <w:ind w:left="567"/>
        <w:rPr>
          <w:rFonts w:ascii="Arial Narrow" w:eastAsia="Times New Roman" w:hAnsi="Arial Narrow" w:cs="Times New Roman"/>
          <w:spacing w:val="-6"/>
          <w:lang w:bidi="lo-LA"/>
        </w:rPr>
      </w:pPr>
    </w:p>
    <w:p w:rsidR="00921BC7" w:rsidP="00921BC7" w14:paraId="41669A5F" w14:textId="77777777">
      <w:pPr>
        <w:spacing w:after="0"/>
        <w:ind w:left="567"/>
        <w:rPr>
          <w:rFonts w:ascii="Arial Narrow" w:eastAsia="Times New Roman" w:hAnsi="Arial Narrow" w:cs="Times New Roman"/>
          <w:spacing w:val="-6"/>
          <w:lang w:bidi="lo-LA"/>
        </w:rPr>
      </w:pPr>
    </w:p>
    <w:p w:rsidR="00921BC7" w:rsidP="00921BC7" w14:paraId="183D0C40" w14:textId="77777777">
      <w:pPr>
        <w:spacing w:after="0"/>
        <w:ind w:left="567"/>
        <w:rPr>
          <w:rFonts w:ascii="Arial Narrow" w:eastAsia="Times New Roman" w:hAnsi="Arial Narrow" w:cs="Times New Roman"/>
          <w:spacing w:val="-6"/>
          <w:lang w:bidi="lo-LA"/>
        </w:rPr>
      </w:pPr>
    </w:p>
    <w:p w:rsidR="00921BC7" w:rsidP="00921BC7" w14:paraId="790BAFA4" w14:textId="77777777">
      <w:pPr>
        <w:spacing w:after="0"/>
        <w:ind w:left="567"/>
        <w:rPr>
          <w:rFonts w:ascii="Arial Narrow" w:eastAsia="Times New Roman" w:hAnsi="Arial Narrow" w:cs="Times New Roman"/>
          <w:spacing w:val="-6"/>
          <w:lang w:bidi="lo-LA"/>
        </w:rPr>
      </w:pPr>
    </w:p>
    <w:p w:rsidR="00921BC7" w:rsidP="00921BC7" w14:paraId="505E0FDA" w14:textId="77777777">
      <w:pPr>
        <w:spacing w:after="0"/>
        <w:ind w:left="567"/>
        <w:rPr>
          <w:rFonts w:ascii="Arial Narrow" w:eastAsia="Times New Roman" w:hAnsi="Arial Narrow" w:cs="Times New Roman"/>
          <w:spacing w:val="-6"/>
          <w:lang w:bidi="lo-LA"/>
        </w:rPr>
      </w:pPr>
    </w:p>
    <w:p w:rsidR="00921BC7" w:rsidP="00921BC7" w14:paraId="4392FFFA" w14:textId="77777777">
      <w:pPr>
        <w:spacing w:after="0"/>
        <w:ind w:left="567"/>
        <w:rPr>
          <w:rFonts w:ascii="Arial Narrow" w:eastAsia="Times New Roman" w:hAnsi="Arial Narrow" w:cs="Times New Roman"/>
          <w:spacing w:val="-6"/>
          <w:lang w:bidi="lo-LA"/>
        </w:rPr>
      </w:pPr>
    </w:p>
    <w:p w:rsidR="00921BC7" w:rsidP="00921BC7" w14:paraId="7972F53B" w14:textId="77777777">
      <w:pPr>
        <w:spacing w:after="0"/>
        <w:ind w:left="567"/>
        <w:rPr>
          <w:rFonts w:ascii="Arial Narrow" w:eastAsia="Times New Roman" w:hAnsi="Arial Narrow" w:cs="Times New Roman"/>
          <w:spacing w:val="-6"/>
          <w:lang w:bidi="lo-LA"/>
        </w:rPr>
      </w:pPr>
    </w:p>
    <w:p w:rsidR="00921BC7" w:rsidRPr="009A650D" w:rsidP="00921BC7" w14:paraId="4A36C95A" w14:textId="77777777">
      <w:pPr>
        <w:spacing w:after="0"/>
        <w:ind w:left="2410"/>
        <w:rPr>
          <w:rFonts w:ascii="Arial Narrow" w:eastAsia="Times New Roman" w:hAnsi="Arial Narrow" w:cs="Times New Roman"/>
          <w:b/>
          <w:spacing w:val="-6"/>
          <w:lang w:bidi="lo-LA"/>
        </w:rPr>
      </w:pPr>
      <w:r w:rsidRPr="009A650D">
        <w:rPr>
          <w:rFonts w:ascii="Arial Narrow" w:eastAsia="Times New Roman" w:hAnsi="Arial Narrow" w:cs="Times New Roman"/>
          <w:b/>
          <w:spacing w:val="-6"/>
          <w:lang w:bidi="lo-LA"/>
        </w:rPr>
        <w:t>2016</w:t>
      </w:r>
    </w:p>
    <w:p w:rsidR="00921BC7" w:rsidP="00921BC7" w14:paraId="32D75158" w14:textId="77777777">
      <w:pPr>
        <w:spacing w:after="0"/>
        <w:ind w:left="567"/>
        <w:rPr>
          <w:rFonts w:ascii="Arial Narrow" w:eastAsia="Times New Roman" w:hAnsi="Arial Narrow" w:cs="Times New Roman"/>
          <w:spacing w:val="-6"/>
          <w:lang w:bidi="lo-LA"/>
        </w:rPr>
      </w:pPr>
    </w:p>
    <w:p w:rsidR="00921BC7" w:rsidP="00921BC7" w14:paraId="09587A09" w14:textId="77777777">
      <w:pPr>
        <w:spacing w:after="0"/>
        <w:ind w:left="567"/>
        <w:rPr>
          <w:rFonts w:ascii="Arial Narrow" w:eastAsia="Times New Roman" w:hAnsi="Arial Narrow" w:cs="Times New Roman"/>
          <w:spacing w:val="-6"/>
          <w:lang w:bidi="lo-LA"/>
        </w:rPr>
      </w:pPr>
    </w:p>
    <w:p w:rsidR="00921BC7" w:rsidP="00921BC7" w14:paraId="224E4F50" w14:textId="77777777">
      <w:pPr>
        <w:spacing w:after="0"/>
        <w:ind w:left="567"/>
        <w:rPr>
          <w:rFonts w:ascii="Arial Narrow" w:eastAsia="Times New Roman" w:hAnsi="Arial Narrow" w:cs="Times New Roman"/>
          <w:spacing w:val="-6"/>
          <w:lang w:bidi="lo-LA"/>
        </w:rPr>
      </w:pPr>
    </w:p>
    <w:p w:rsidR="00921BC7" w:rsidP="00921BC7" w14:paraId="314571B3" w14:textId="77777777">
      <w:pPr>
        <w:spacing w:after="0"/>
        <w:ind w:left="567"/>
        <w:rPr>
          <w:rFonts w:ascii="Arial Narrow" w:eastAsia="Times New Roman" w:hAnsi="Arial Narrow" w:cs="Times New Roman"/>
          <w:spacing w:val="-6"/>
          <w:lang w:bidi="lo-LA"/>
        </w:rPr>
      </w:pPr>
    </w:p>
    <w:p w:rsidR="00921BC7" w:rsidP="00921BC7" w14:paraId="5027BE5D" w14:textId="77777777">
      <w:pPr>
        <w:spacing w:after="0"/>
        <w:ind w:left="567"/>
        <w:rPr>
          <w:rFonts w:ascii="Arial Narrow" w:eastAsia="Times New Roman" w:hAnsi="Arial Narrow" w:cs="Times New Roman"/>
          <w:spacing w:val="-6"/>
          <w:lang w:bidi="lo-LA"/>
        </w:rPr>
      </w:pPr>
    </w:p>
    <w:p w:rsidR="00921BC7" w:rsidP="00921BC7" w14:paraId="1FBEC390" w14:textId="77777777">
      <w:pPr>
        <w:spacing w:after="0"/>
        <w:ind w:left="567"/>
        <w:rPr>
          <w:rFonts w:ascii="Arial Narrow" w:eastAsia="Times New Roman" w:hAnsi="Arial Narrow" w:cs="Times New Roman"/>
          <w:spacing w:val="-6"/>
          <w:lang w:bidi="lo-LA"/>
        </w:rPr>
      </w:pPr>
    </w:p>
    <w:p w:rsidR="00921BC7" w:rsidP="00921BC7" w14:paraId="7461339E" w14:textId="77777777">
      <w:pPr>
        <w:spacing w:after="0"/>
        <w:ind w:left="567"/>
        <w:rPr>
          <w:rFonts w:ascii="Arial Narrow" w:eastAsia="Times New Roman" w:hAnsi="Arial Narrow" w:cs="Times New Roman"/>
          <w:spacing w:val="-6"/>
          <w:lang w:bidi="lo-LA"/>
        </w:rPr>
      </w:pPr>
    </w:p>
    <w:p w:rsidR="00921BC7" w:rsidRPr="009A650D" w:rsidP="009A650D" w14:paraId="5006191A" w14:textId="77777777">
      <w:pPr>
        <w:spacing w:before="120" w:after="0"/>
        <w:ind w:left="2410"/>
        <w:rPr>
          <w:rFonts w:ascii="Arial Narrow" w:eastAsia="Times New Roman" w:hAnsi="Arial Narrow" w:cs="Times New Roman"/>
          <w:b/>
          <w:spacing w:val="-6"/>
          <w:lang w:bidi="lo-LA"/>
        </w:rPr>
      </w:pPr>
      <w:r w:rsidRPr="009A650D">
        <w:rPr>
          <w:rFonts w:ascii="Arial Narrow" w:eastAsia="Times New Roman" w:hAnsi="Arial Narrow" w:cs="Times New Roman"/>
          <w:b/>
          <w:spacing w:val="-6"/>
          <w:lang w:bidi="lo-LA"/>
        </w:rPr>
        <w:t>2015</w:t>
      </w:r>
    </w:p>
    <w:p w:rsidR="00921BC7" w:rsidP="00921BC7" w14:paraId="14FDD915" w14:textId="77777777">
      <w:pPr>
        <w:spacing w:after="0"/>
        <w:ind w:left="567"/>
        <w:rPr>
          <w:rFonts w:ascii="Arial Narrow" w:eastAsia="Times New Roman" w:hAnsi="Arial Narrow" w:cs="Times New Roman"/>
          <w:spacing w:val="-6"/>
          <w:lang w:bidi="lo-LA"/>
        </w:rPr>
      </w:pPr>
    </w:p>
    <w:p w:rsidR="00921BC7" w:rsidP="00921BC7" w14:paraId="697DBDEA" w14:textId="77777777">
      <w:pPr>
        <w:spacing w:after="0"/>
        <w:ind w:left="567"/>
        <w:rPr>
          <w:rFonts w:ascii="Arial Narrow" w:eastAsia="Times New Roman" w:hAnsi="Arial Narrow" w:cs="Times New Roman"/>
          <w:spacing w:val="-6"/>
          <w:lang w:bidi="lo-LA"/>
        </w:rPr>
      </w:pPr>
    </w:p>
    <w:p w:rsidR="00921BC7" w:rsidP="00921BC7" w14:paraId="17EB9832" w14:textId="77777777">
      <w:pPr>
        <w:spacing w:after="0"/>
        <w:ind w:left="567"/>
        <w:rPr>
          <w:rFonts w:ascii="Arial Narrow" w:eastAsia="Times New Roman" w:hAnsi="Arial Narrow" w:cs="Times New Roman"/>
          <w:spacing w:val="-6"/>
          <w:lang w:bidi="lo-LA"/>
        </w:rPr>
      </w:pPr>
    </w:p>
    <w:p w:rsidR="00921BC7" w:rsidP="00921BC7" w14:paraId="443A7601" w14:textId="77777777">
      <w:pPr>
        <w:spacing w:after="0"/>
        <w:ind w:left="567"/>
        <w:rPr>
          <w:rFonts w:ascii="Arial Narrow" w:eastAsia="Times New Roman" w:hAnsi="Arial Narrow" w:cs="Times New Roman"/>
          <w:spacing w:val="-6"/>
          <w:lang w:bidi="lo-LA"/>
        </w:rPr>
      </w:pPr>
    </w:p>
    <w:p w:rsidR="00921BC7" w:rsidP="00921BC7" w14:paraId="11CDD4EA" w14:textId="77777777">
      <w:pPr>
        <w:spacing w:after="0"/>
        <w:ind w:left="567"/>
        <w:rPr>
          <w:rFonts w:ascii="Arial Narrow" w:eastAsia="Times New Roman" w:hAnsi="Arial Narrow" w:cs="Times New Roman"/>
          <w:spacing w:val="-6"/>
          <w:lang w:bidi="lo-LA"/>
        </w:rPr>
      </w:pPr>
    </w:p>
    <w:p w:rsidR="00921BC7" w:rsidP="00921BC7" w14:paraId="206DD29A" w14:textId="77777777">
      <w:pPr>
        <w:spacing w:after="0"/>
        <w:ind w:left="567"/>
        <w:rPr>
          <w:rFonts w:ascii="Arial Narrow" w:eastAsia="Times New Roman" w:hAnsi="Arial Narrow" w:cs="Times New Roman"/>
          <w:spacing w:val="-6"/>
          <w:lang w:bidi="lo-LA"/>
        </w:rPr>
      </w:pPr>
    </w:p>
    <w:p w:rsidR="00921BC7" w:rsidRPr="009A650D" w:rsidP="00921BC7" w14:paraId="30351D43" w14:textId="77777777">
      <w:pPr>
        <w:spacing w:after="0"/>
        <w:ind w:left="2410"/>
        <w:rPr>
          <w:rFonts w:ascii="Arial Narrow" w:eastAsia="Times New Roman" w:hAnsi="Arial Narrow" w:cs="Times New Roman"/>
          <w:b/>
          <w:spacing w:val="-6"/>
          <w:lang w:bidi="lo-LA"/>
        </w:rPr>
      </w:pPr>
      <w:r w:rsidRPr="009A650D">
        <w:rPr>
          <w:rFonts w:ascii="Arial Narrow" w:eastAsia="Times New Roman" w:hAnsi="Arial Narrow" w:cs="Times New Roman"/>
          <w:b/>
          <w:spacing w:val="-6"/>
          <w:lang w:bidi="lo-LA"/>
        </w:rPr>
        <w:t>2014</w:t>
      </w:r>
    </w:p>
    <w:p w:rsidR="00921BC7" w:rsidP="00921BC7" w14:paraId="00B0597A" w14:textId="77777777">
      <w:pPr>
        <w:spacing w:after="0"/>
        <w:ind w:left="567"/>
        <w:rPr>
          <w:rFonts w:ascii="Arial Narrow" w:eastAsia="Times New Roman" w:hAnsi="Arial Narrow" w:cs="Times New Roman"/>
          <w:spacing w:val="-6"/>
          <w:lang w:bidi="lo-LA"/>
        </w:rPr>
      </w:pPr>
    </w:p>
    <w:p w:rsidR="00921BC7" w:rsidP="00921BC7" w14:paraId="08655166" w14:textId="77777777">
      <w:pPr>
        <w:spacing w:after="0"/>
        <w:rPr>
          <w:rFonts w:ascii="Arial Narrow" w:eastAsia="Times New Roman" w:hAnsi="Arial Narrow" w:cs="Times New Roman"/>
          <w:spacing w:val="-6"/>
          <w:lang w:bidi="lo-LA"/>
        </w:rPr>
      </w:pPr>
    </w:p>
    <w:p w:rsidR="00520636" w:rsidP="006D552C" w14:paraId="31F072C0" w14:textId="77777777">
      <w:pPr>
        <w:jc w:val="both"/>
        <w:rPr>
          <w:rFonts w:ascii="Candara" w:eastAsia="Candara" w:hAnsi="Candara" w:cs="Candara"/>
          <w:b/>
        </w:rPr>
      </w:pPr>
    </w:p>
    <w:p w:rsidR="008C115A" w:rsidRPr="00552465" w:rsidP="009F2C2C" w14:paraId="706EF3AB" w14:textId="77777777">
      <w:pPr>
        <w:pStyle w:val="Default"/>
        <w:spacing w:after="120"/>
        <w:ind w:firstLine="426"/>
        <w:jc w:val="both"/>
        <w:rPr>
          <w:rFonts w:ascii="Candara" w:eastAsia="Candara" w:hAnsi="Candara" w:cs="Candara"/>
          <w:sz w:val="22"/>
          <w:szCs w:val="22"/>
          <w:lang w:val="lv-LV"/>
        </w:rPr>
      </w:pPr>
      <w:r>
        <w:rPr>
          <w:rFonts w:ascii="Candara" w:eastAsia="Candara" w:hAnsi="Candara" w:cs="Candara"/>
          <w:b/>
          <w:sz w:val="22"/>
          <w:szCs w:val="22"/>
          <w:lang w:val="lv-LV"/>
        </w:rPr>
        <w:t>2013.</w:t>
      </w:r>
      <w:r w:rsidRPr="00552465" w:rsidR="00B93086">
        <w:rPr>
          <w:rFonts w:ascii="Candara" w:eastAsia="Candara" w:hAnsi="Candara" w:cs="Candara"/>
          <w:b/>
          <w:sz w:val="22"/>
          <w:szCs w:val="22"/>
          <w:lang w:val="lv-LV"/>
        </w:rPr>
        <w:t xml:space="preserve">gada IV ceturksnis. </w:t>
      </w:r>
      <w:r>
        <w:rPr>
          <w:rFonts w:ascii="Candara" w:eastAsia="Candara" w:hAnsi="Candara" w:cs="Candara"/>
          <w:sz w:val="22"/>
          <w:szCs w:val="22"/>
          <w:lang w:val="lv-LV"/>
        </w:rPr>
        <w:t>2013.gada 12.</w:t>
      </w:r>
      <w:r w:rsidRPr="00552465" w:rsidR="00B93086">
        <w:rPr>
          <w:rFonts w:ascii="Candara" w:eastAsia="Candara" w:hAnsi="Candara" w:cs="Candara"/>
          <w:sz w:val="22"/>
          <w:szCs w:val="22"/>
          <w:lang w:val="lv-LV"/>
        </w:rPr>
        <w:t xml:space="preserve">novembrī  Ministru kabinets apstiprināja </w:t>
      </w:r>
      <w:r w:rsidRPr="00552465" w:rsidR="00B93086">
        <w:rPr>
          <w:rFonts w:ascii="Candara" w:eastAsia="Candara" w:hAnsi="Candara" w:cs="Candara"/>
          <w:b/>
          <w:sz w:val="22"/>
          <w:szCs w:val="22"/>
          <w:lang w:val="lv-LV"/>
        </w:rPr>
        <w:t>noteikumus</w:t>
      </w:r>
      <w:r>
        <w:rPr>
          <w:rFonts w:ascii="Candara" w:eastAsia="Candara" w:hAnsi="Candara" w:cs="Candara"/>
          <w:b/>
          <w:sz w:val="22"/>
          <w:szCs w:val="22"/>
          <w:lang w:val="lv-LV"/>
        </w:rPr>
        <w:t xml:space="preserve"> Nr.</w:t>
      </w:r>
      <w:r w:rsidRPr="00552465">
        <w:rPr>
          <w:rFonts w:ascii="Candara" w:eastAsia="Candara" w:hAnsi="Candara" w:cs="Candara"/>
          <w:b/>
          <w:sz w:val="22"/>
          <w:szCs w:val="22"/>
          <w:lang w:val="lv-LV"/>
        </w:rPr>
        <w:t>1316</w:t>
      </w:r>
      <w:r w:rsidRPr="00552465" w:rsidR="00B93086">
        <w:rPr>
          <w:rFonts w:ascii="Candara" w:eastAsia="Candara" w:hAnsi="Candara" w:cs="Candara"/>
          <w:b/>
          <w:sz w:val="22"/>
          <w:szCs w:val="22"/>
          <w:lang w:val="lv-LV"/>
        </w:rPr>
        <w:t xml:space="preserve"> </w:t>
      </w:r>
      <w:r w:rsidRPr="00552465">
        <w:rPr>
          <w:rFonts w:ascii="Candara" w:eastAsia="Candara" w:hAnsi="Candara" w:cs="Candara"/>
          <w:b/>
          <w:sz w:val="22"/>
          <w:szCs w:val="22"/>
          <w:lang w:val="lv-LV"/>
        </w:rPr>
        <w:t>“</w:t>
      </w:r>
      <w:r w:rsidRPr="00552465" w:rsidR="00B93086">
        <w:rPr>
          <w:rFonts w:ascii="Candara" w:eastAsia="Candara" w:hAnsi="Candara" w:cs="Candara"/>
          <w:b/>
          <w:sz w:val="22"/>
          <w:szCs w:val="22"/>
          <w:lang w:val="lv-LV"/>
        </w:rPr>
        <w:t>Kārtība, kādā aprēķina un piešķir bāzes finansējumu zinātniskajām institūcijām</w:t>
      </w:r>
      <w:r w:rsidRPr="00552465">
        <w:rPr>
          <w:rFonts w:ascii="Candara" w:eastAsia="Candara" w:hAnsi="Candara" w:cs="Candara"/>
          <w:b/>
          <w:sz w:val="22"/>
          <w:szCs w:val="22"/>
          <w:lang w:val="lv-LV"/>
        </w:rPr>
        <w:t xml:space="preserve">” </w:t>
      </w:r>
      <w:r w:rsidRPr="00552465">
        <w:rPr>
          <w:rFonts w:ascii="Candara" w:eastAsia="Candara" w:hAnsi="Candara" w:cs="Candara"/>
          <w:sz w:val="22"/>
          <w:szCs w:val="22"/>
          <w:lang w:val="lv-LV"/>
        </w:rPr>
        <w:t xml:space="preserve">(turpmāk </w:t>
      </w:r>
      <w:r w:rsidRPr="00552465" w:rsidR="00896DA5">
        <w:rPr>
          <w:rFonts w:ascii="Candara" w:eastAsia="Candara" w:hAnsi="Candara" w:cs="Candara"/>
          <w:sz w:val="22"/>
          <w:szCs w:val="22"/>
          <w:lang w:val="lv-LV"/>
        </w:rPr>
        <w:t xml:space="preserve"> MK </w:t>
      </w:r>
      <w:r w:rsidRPr="00552465">
        <w:rPr>
          <w:rFonts w:ascii="Candara" w:eastAsia="Candara" w:hAnsi="Candara" w:cs="Candara"/>
          <w:sz w:val="22"/>
          <w:szCs w:val="22"/>
          <w:lang w:val="lv-LV"/>
        </w:rPr>
        <w:t xml:space="preserve">noteikumi par zinātnes bāzes finansējumu), kas mainīja līdz tam spēkā esošo zinātnisko institūciju bāzes finansējuma aprēķināšanas kārtību un ietvēra vairākus jaunus kvalitātes izvērtējuma kritērijus zinātnisko institūciju bāzes finansējuma aprēķināšanas un piešķiršanas kritēriju uzlabošanai - aprēķinā ņemot vērā ZI P&amp;A projektu ietvaros piesaistītā finansējuma apmēru, publikācijas augstas kvalitātes starptautiskās datu bāzēs publicētos žurnālos un zinātnisko darbinieku </w:t>
      </w:r>
      <w:r w:rsidRPr="00552465" w:rsidR="00896DA5">
        <w:rPr>
          <w:rFonts w:ascii="Candara" w:eastAsia="Candara" w:hAnsi="Candara" w:cs="Candara"/>
          <w:sz w:val="22"/>
          <w:szCs w:val="22"/>
          <w:lang w:val="lv-LV"/>
        </w:rPr>
        <w:t xml:space="preserve">virzību uz </w:t>
      </w:r>
      <w:r w:rsidRPr="00552465">
        <w:rPr>
          <w:rFonts w:ascii="Candara" w:eastAsia="Candara" w:hAnsi="Candara" w:cs="Candara"/>
          <w:sz w:val="22"/>
          <w:szCs w:val="22"/>
          <w:lang w:val="lv-LV"/>
        </w:rPr>
        <w:t xml:space="preserve">akadēmiskās un zinātniskās kvalifikācijas celšanu. </w:t>
      </w:r>
    </w:p>
    <w:p w:rsidR="00E060A1" w:rsidRPr="00B93086" w:rsidP="009F2C2C" w14:paraId="6B86ED5A" w14:textId="77777777">
      <w:pPr>
        <w:pStyle w:val="Default"/>
        <w:ind w:firstLine="426"/>
        <w:jc w:val="both"/>
        <w:rPr>
          <w:rFonts w:ascii="Candara" w:eastAsia="Candara" w:hAnsi="Candara" w:cs="Candara"/>
          <w:sz w:val="22"/>
          <w:szCs w:val="22"/>
          <w:lang w:val="lv-LV"/>
        </w:rPr>
      </w:pPr>
      <w:r>
        <w:rPr>
          <w:rFonts w:ascii="Candara" w:eastAsia="Candara" w:hAnsi="Candara" w:cs="Candara"/>
          <w:b/>
          <w:sz w:val="22"/>
          <w:szCs w:val="22"/>
          <w:lang w:val="lv-LV"/>
        </w:rPr>
        <w:t>2014.</w:t>
      </w:r>
      <w:r w:rsidRPr="00552465" w:rsidR="00520636">
        <w:rPr>
          <w:rFonts w:ascii="Candara" w:eastAsia="Candara" w:hAnsi="Candara" w:cs="Candara"/>
          <w:b/>
          <w:sz w:val="22"/>
          <w:szCs w:val="22"/>
          <w:lang w:val="lv-LV"/>
        </w:rPr>
        <w:t>gada I ceturksnī</w:t>
      </w:r>
      <w:r w:rsidRPr="00552465" w:rsidR="00520636">
        <w:rPr>
          <w:rFonts w:ascii="Candara" w:eastAsia="Candara" w:hAnsi="Candara" w:cs="Candara"/>
          <w:sz w:val="22"/>
          <w:szCs w:val="22"/>
          <w:lang w:val="lv-LV"/>
        </w:rPr>
        <w:t xml:space="preserve"> noslēdzās Ziemeļu Ministru padomes </w:t>
      </w:r>
      <w:r w:rsidRPr="00552465">
        <w:rPr>
          <w:rFonts w:ascii="Candara" w:eastAsia="Candara" w:hAnsi="Candara" w:cs="Candara"/>
          <w:sz w:val="22"/>
          <w:szCs w:val="22"/>
          <w:lang w:val="lv-LV"/>
        </w:rPr>
        <w:t xml:space="preserve">veiktais </w:t>
      </w:r>
      <w:r w:rsidRPr="00552465">
        <w:rPr>
          <w:rFonts w:ascii="Candara" w:eastAsia="Candara" w:hAnsi="Candara" w:cs="Candara"/>
          <w:b/>
          <w:sz w:val="22"/>
          <w:szCs w:val="22"/>
          <w:lang w:val="lv-LV"/>
        </w:rPr>
        <w:t>ārējais izvērtējums</w:t>
      </w:r>
      <w:r w:rsidRPr="00552465">
        <w:rPr>
          <w:rFonts w:ascii="Candara" w:eastAsia="Candara" w:hAnsi="Candara" w:cs="Candara"/>
          <w:sz w:val="22"/>
          <w:szCs w:val="22"/>
          <w:lang w:val="lv-LV"/>
        </w:rPr>
        <w:t xml:space="preserve"> </w:t>
      </w:r>
      <w:r w:rsidRPr="00552465">
        <w:rPr>
          <w:rFonts w:ascii="Candara" w:eastAsia="Candara" w:hAnsi="Candara" w:cs="Candara"/>
          <w:b/>
          <w:sz w:val="22"/>
          <w:szCs w:val="22"/>
          <w:lang w:val="lv-LV"/>
        </w:rPr>
        <w:t>par Latvijas</w:t>
      </w:r>
      <w:r w:rsidRPr="007E0393">
        <w:rPr>
          <w:rFonts w:ascii="Candara" w:eastAsia="Candara" w:hAnsi="Candara" w:cs="Candara"/>
          <w:b/>
          <w:sz w:val="22"/>
          <w:szCs w:val="22"/>
          <w:lang w:val="lv-LV"/>
        </w:rPr>
        <w:t xml:space="preserve"> zinātnes </w:t>
      </w:r>
      <w:r w:rsidRPr="00552465">
        <w:rPr>
          <w:rFonts w:ascii="Candara" w:eastAsia="Candara" w:hAnsi="Candara" w:cs="Candara"/>
          <w:b/>
          <w:sz w:val="22"/>
          <w:szCs w:val="22"/>
          <w:lang w:val="lv-LV"/>
        </w:rPr>
        <w:t xml:space="preserve">un </w:t>
      </w:r>
      <w:r w:rsidRPr="00552465" w:rsidR="00520636">
        <w:rPr>
          <w:rFonts w:ascii="Candara" w:eastAsia="Candara" w:hAnsi="Candara" w:cs="Candara"/>
          <w:b/>
          <w:sz w:val="22"/>
          <w:szCs w:val="22"/>
          <w:lang w:val="lv-LV"/>
        </w:rPr>
        <w:t xml:space="preserve"> </w:t>
      </w:r>
      <w:r w:rsidRPr="00552465">
        <w:rPr>
          <w:rFonts w:ascii="Candara" w:eastAsia="Candara" w:hAnsi="Candara" w:cs="Candara"/>
          <w:b/>
          <w:sz w:val="22"/>
          <w:szCs w:val="22"/>
          <w:lang w:val="lv-LV"/>
        </w:rPr>
        <w:t>inovāciju</w:t>
      </w:r>
      <w:r w:rsidRPr="008C115A">
        <w:rPr>
          <w:rFonts w:ascii="Candara" w:eastAsia="Candara" w:hAnsi="Candara" w:cs="Candara"/>
          <w:b/>
          <w:sz w:val="22"/>
          <w:szCs w:val="22"/>
          <w:lang w:val="lv-LV"/>
        </w:rPr>
        <w:t xml:space="preserve"> politikas sistēmu</w:t>
      </w:r>
      <w:r w:rsidRPr="00B93086">
        <w:rPr>
          <w:rFonts w:ascii="Candara" w:eastAsia="Candara" w:hAnsi="Candara" w:cs="Candara"/>
          <w:sz w:val="22"/>
          <w:szCs w:val="22"/>
          <w:lang w:val="lv-LV"/>
        </w:rPr>
        <w:t xml:space="preserve">, </w:t>
      </w:r>
      <w:r w:rsidRPr="00B93086" w:rsidR="00520636">
        <w:rPr>
          <w:rFonts w:ascii="Candara" w:eastAsia="Candara" w:hAnsi="Candara" w:cs="Candara"/>
          <w:sz w:val="22"/>
          <w:szCs w:val="22"/>
          <w:lang w:val="lv-LV"/>
        </w:rPr>
        <w:t xml:space="preserve"> </w:t>
      </w:r>
      <w:r w:rsidRPr="00B93086">
        <w:rPr>
          <w:rFonts w:ascii="Candara" w:eastAsia="Candara" w:hAnsi="Candara" w:cs="Candara"/>
          <w:sz w:val="22"/>
          <w:szCs w:val="22"/>
          <w:lang w:val="lv-LV"/>
        </w:rPr>
        <w:t xml:space="preserve">kas tika veikts ar mērķi </w:t>
      </w:r>
      <w:r w:rsidRPr="00B93086" w:rsidR="00B93086">
        <w:rPr>
          <w:rFonts w:ascii="Candara" w:eastAsia="Candara" w:hAnsi="Candara" w:cs="Candara"/>
          <w:sz w:val="22"/>
          <w:szCs w:val="22"/>
          <w:lang w:val="lv-LV"/>
        </w:rPr>
        <w:t>veikt objektīvu Latvijas zinātnes situācijas an</w:t>
      </w:r>
      <w:r w:rsidRPr="00896DA5" w:rsidR="00B93086">
        <w:rPr>
          <w:rFonts w:ascii="Candara" w:eastAsia="Candara" w:hAnsi="Candara" w:cs="Candara"/>
          <w:color w:val="auto"/>
          <w:sz w:val="22"/>
          <w:szCs w:val="22"/>
          <w:lang w:val="lv-LV"/>
        </w:rPr>
        <w:t>alīzi Eiropas Savienības Kopīgās pētniecības telpas un sadarbības pētniecībā kontekstā atbilstoši Baltijas jūras reģiona valstu un Ziemeļvalstu sadarbības interesēm.</w:t>
      </w:r>
      <w:r w:rsidRPr="00896DA5">
        <w:rPr>
          <w:rFonts w:ascii="Candara" w:eastAsia="Candara" w:hAnsi="Candara" w:cs="Candara"/>
          <w:color w:val="auto"/>
          <w:sz w:val="22"/>
          <w:szCs w:val="22"/>
          <w:lang w:val="lv-LV"/>
        </w:rPr>
        <w:t xml:space="preserve"> Galvenie izvērtējuma ietvaros veiktie secinājumi norādīja uz </w:t>
      </w:r>
      <w:r w:rsidRPr="00896DA5" w:rsidR="00B93086">
        <w:rPr>
          <w:rFonts w:ascii="Candara" w:eastAsia="Candara" w:hAnsi="Candara" w:cs="Candara"/>
          <w:color w:val="auto"/>
          <w:sz w:val="22"/>
          <w:szCs w:val="22"/>
          <w:lang w:val="lv-LV"/>
        </w:rPr>
        <w:t>zemo nacionālās finansēšanas līmeni zinātnē, kas cita starpā rezultējas kvalificētu cilvēkresursu trūkumā, zinātnisko institūciju fragmentāciju un sadrumstalotību, tai skaitā zinātnes un augstākās izglītības diferencēšanos, kā arī nereti fokusēšanos uz vietēja, ne starptautiska līmeņa pētniecību. Izvērtējumā izvirzītās rekomendācijas ieteica mazināt pastāvošo fragmentāciju un turpmāko zinātnes institucionālo attīstību katras zinātņu nozares ietvaros fokusēt ap tām institūcijām, kas ir novērtētas kā spēcīgi starptautiskie spēlētāji.</w:t>
      </w:r>
    </w:p>
    <w:p w:rsidR="00E060A1" w:rsidRPr="00E060A1" w:rsidP="009F2C2C" w14:paraId="324C9274" w14:textId="77777777">
      <w:pPr>
        <w:spacing w:line="240" w:lineRule="auto"/>
        <w:ind w:firstLine="426"/>
        <w:jc w:val="both"/>
        <w:rPr>
          <w:rFonts w:ascii="Candara" w:eastAsia="Candara" w:hAnsi="Candara" w:cs="Candara"/>
        </w:rPr>
      </w:pPr>
      <w:r>
        <w:rPr>
          <w:rFonts w:ascii="Candara" w:eastAsia="Candara" w:hAnsi="Candara" w:cs="Candara"/>
        </w:rPr>
        <w:t xml:space="preserve">Saskaņā ar Ziemeļu Ministru padomes ārējā izvērtējuma rekomendācijām, </w:t>
      </w:r>
      <w:r w:rsidRPr="00896DA5">
        <w:rPr>
          <w:rFonts w:ascii="Candara" w:eastAsia="Candara" w:hAnsi="Candara" w:cs="Candara"/>
          <w:b/>
        </w:rPr>
        <w:t>2014.</w:t>
      </w:r>
      <w:r w:rsidR="003761F5">
        <w:rPr>
          <w:rFonts w:ascii="Candara" w:eastAsia="Candara" w:hAnsi="Candara" w:cs="Candara"/>
          <w:b/>
        </w:rPr>
        <w:t xml:space="preserve"> un 2015.</w:t>
      </w:r>
      <w:r w:rsidRPr="00896DA5">
        <w:rPr>
          <w:rFonts w:ascii="Candara" w:eastAsia="Candara" w:hAnsi="Candara" w:cs="Candara"/>
          <w:b/>
        </w:rPr>
        <w:t xml:space="preserve">gada </w:t>
      </w:r>
      <w:r w:rsidRPr="00896DA5" w:rsidR="008C115A">
        <w:rPr>
          <w:rFonts w:ascii="Candara" w:eastAsia="Candara" w:hAnsi="Candara" w:cs="Candara"/>
          <w:b/>
        </w:rPr>
        <w:t>IV ceturksnī</w:t>
      </w:r>
      <w:r w:rsidR="008C115A">
        <w:rPr>
          <w:rFonts w:ascii="Candara" w:eastAsia="Candara" w:hAnsi="Candara" w:cs="Candara"/>
        </w:rPr>
        <w:t xml:space="preserve"> IZM izstrādāja </w:t>
      </w:r>
      <w:r w:rsidRPr="00896DA5" w:rsidR="008C115A">
        <w:rPr>
          <w:rFonts w:ascii="Candara" w:eastAsia="Candara" w:hAnsi="Candara" w:cs="Candara"/>
          <w:b/>
        </w:rPr>
        <w:t>grozījumus</w:t>
      </w:r>
      <w:r w:rsidRPr="00896DA5">
        <w:rPr>
          <w:rFonts w:ascii="Candara" w:eastAsia="Candara" w:hAnsi="Candara" w:cs="Candara"/>
          <w:b/>
        </w:rPr>
        <w:t xml:space="preserve"> </w:t>
      </w:r>
      <w:r w:rsidR="00AA4E91">
        <w:rPr>
          <w:rFonts w:ascii="Candara" w:eastAsia="Candara" w:hAnsi="Candara" w:cs="Candara"/>
          <w:b/>
        </w:rPr>
        <w:t xml:space="preserve">MK </w:t>
      </w:r>
      <w:r w:rsidRPr="00896DA5">
        <w:rPr>
          <w:rFonts w:ascii="Candara" w:eastAsia="Candara" w:hAnsi="Candara" w:cs="Candara"/>
          <w:b/>
        </w:rPr>
        <w:t>noteikum</w:t>
      </w:r>
      <w:r w:rsidRPr="00896DA5" w:rsidR="008C115A">
        <w:rPr>
          <w:rFonts w:ascii="Candara" w:eastAsia="Candara" w:hAnsi="Candara" w:cs="Candara"/>
          <w:b/>
        </w:rPr>
        <w:t>os par zinātnes bāzes finansējumu</w:t>
      </w:r>
      <w:r w:rsidRPr="00B93086">
        <w:rPr>
          <w:rFonts w:ascii="Candara" w:eastAsia="Candara" w:hAnsi="Candara" w:cs="Candara"/>
        </w:rPr>
        <w:t xml:space="preserve"> </w:t>
      </w:r>
      <w:r w:rsidR="008C115A">
        <w:rPr>
          <w:rFonts w:ascii="Candara" w:eastAsia="Candara" w:hAnsi="Candara" w:cs="Candara"/>
        </w:rPr>
        <w:t xml:space="preserve">(-) </w:t>
      </w:r>
      <w:r w:rsidR="00AA4E91">
        <w:rPr>
          <w:rFonts w:ascii="Candara" w:eastAsia="Candara" w:hAnsi="Candara" w:cs="Candara"/>
        </w:rPr>
        <w:t xml:space="preserve">nosakot </w:t>
      </w:r>
      <w:r w:rsidR="008C115A">
        <w:rPr>
          <w:rFonts w:ascii="Candara" w:eastAsia="Candara" w:hAnsi="Candara" w:cs="Candara"/>
        </w:rPr>
        <w:t>papildu atbalstu</w:t>
      </w:r>
      <w:r w:rsidRPr="00E060A1">
        <w:rPr>
          <w:rFonts w:ascii="Candara" w:eastAsia="Candara" w:hAnsi="Candara" w:cs="Candara"/>
        </w:rPr>
        <w:t xml:space="preserve"> tām institūcijām, vai to struktūrvienībām, kuras ir saņēmušas augstu rezultātu zinātnisko institūciju starptautiskajā izvērtējumā</w:t>
      </w:r>
      <w:r w:rsidR="008C115A">
        <w:rPr>
          <w:rFonts w:ascii="Candara" w:eastAsia="Candara" w:hAnsi="Candara" w:cs="Candara"/>
        </w:rPr>
        <w:t xml:space="preserve">, (-) </w:t>
      </w:r>
      <w:r w:rsidRPr="00E060A1">
        <w:rPr>
          <w:rFonts w:ascii="Candara" w:eastAsia="Candara" w:hAnsi="Candara" w:cs="Candara"/>
        </w:rPr>
        <w:t xml:space="preserve">zemu </w:t>
      </w:r>
      <w:r w:rsidR="008C115A">
        <w:rPr>
          <w:rFonts w:ascii="Candara" w:eastAsia="Candara" w:hAnsi="Candara" w:cs="Candara"/>
        </w:rPr>
        <w:t>novērtētajām institūcijām (ar “1” un “2”)</w:t>
      </w:r>
      <w:r w:rsidRPr="00E060A1">
        <w:rPr>
          <w:rFonts w:ascii="Candara" w:eastAsia="Candara" w:hAnsi="Candara" w:cs="Candara"/>
        </w:rPr>
        <w:t xml:space="preserve"> no 2016.gada </w:t>
      </w:r>
      <w:r w:rsidR="008C115A">
        <w:rPr>
          <w:rFonts w:ascii="Candara" w:eastAsia="Candara" w:hAnsi="Candara" w:cs="Candara"/>
        </w:rPr>
        <w:t>nepiešķirot zinātnes bāzes finansējumu</w:t>
      </w:r>
      <w:r w:rsidR="00896DA5">
        <w:rPr>
          <w:rFonts w:ascii="Candara" w:eastAsia="Candara" w:hAnsi="Candara" w:cs="Candara"/>
        </w:rPr>
        <w:t>; (-) palielinot minimālo zinātniskā personāla noslodzes apmēru, kas nepieciešams lai ZI kvalificētos zinātnes bāzes finansējuma saņemšanai; (-</w:t>
      </w:r>
      <w:r w:rsidR="00AA4E91">
        <w:rPr>
          <w:rFonts w:ascii="Candara" w:eastAsia="Candara" w:hAnsi="Candara" w:cs="Candara"/>
        </w:rPr>
        <w:t> </w:t>
      </w:r>
      <w:r w:rsidR="00896DA5">
        <w:rPr>
          <w:rFonts w:ascii="Candara" w:eastAsia="Candara" w:hAnsi="Candara" w:cs="Candara"/>
        </w:rPr>
        <w:t>)</w:t>
      </w:r>
      <w:r w:rsidR="00AA4E91">
        <w:rPr>
          <w:rFonts w:ascii="Candara" w:eastAsia="Candara" w:hAnsi="Candara" w:cs="Candara"/>
        </w:rPr>
        <w:t> </w:t>
      </w:r>
      <w:r w:rsidR="00896DA5">
        <w:rPr>
          <w:rFonts w:ascii="Candara" w:eastAsia="Candara" w:hAnsi="Candara" w:cs="Candara"/>
        </w:rPr>
        <w:t>nosakot papildu zinātnes bāzes finansējuma piešķīrumu zinātniskās institūcijas, kas vienlaikus ir arī augstākās izglītības institūcija, akadēmiskajam personālam.</w:t>
      </w:r>
    </w:p>
    <w:p w:rsidR="00896DA5" w:rsidP="009F2C2C" w14:paraId="3E9B3040" w14:textId="77777777">
      <w:pPr>
        <w:spacing w:after="0" w:line="240" w:lineRule="auto"/>
        <w:ind w:firstLine="426"/>
        <w:jc w:val="both"/>
        <w:rPr>
          <w:rFonts w:ascii="Candara" w:hAnsi="Candara"/>
        </w:rPr>
      </w:pPr>
      <w:r w:rsidRPr="00516C5D">
        <w:rPr>
          <w:rFonts w:ascii="Candara" w:eastAsia="Candara" w:hAnsi="Candara" w:cs="Candara"/>
          <w:b/>
        </w:rPr>
        <w:t>UIN atvieglojums P&amp;A</w:t>
      </w:r>
      <w:r w:rsidRPr="00516C5D">
        <w:rPr>
          <w:rFonts w:ascii="Candara" w:eastAsia="Candara" w:hAnsi="Candara" w:cs="Candara"/>
        </w:rPr>
        <w:t xml:space="preserve">. Kopš 2014.gada 1.jūlija </w:t>
      </w:r>
      <w:r w:rsidRPr="00516C5D">
        <w:rPr>
          <w:rFonts w:ascii="Candara" w:hAnsi="Candara"/>
        </w:rPr>
        <w:t xml:space="preserve">(MK noteikumi Nr.373 </w:t>
      </w:r>
      <w:r w:rsidRPr="00516C5D">
        <w:rPr>
          <w:rFonts w:ascii="Candara" w:hAnsi="Candara"/>
          <w:i/>
        </w:rPr>
        <w:t>Noteikumi par pētniecības un attīstības darbību uzņēmumu ienākuma nodokļa piemērošanai</w:t>
      </w:r>
      <w:r w:rsidRPr="00516C5D">
        <w:rPr>
          <w:rFonts w:ascii="Candara" w:hAnsi="Candara"/>
        </w:rPr>
        <w:t>) uzņēmumi var izmantot UIN atvieglojumu uzņēmumu P&amp;A izmaksām</w:t>
      </w:r>
      <w:r>
        <w:rPr>
          <w:rFonts w:ascii="Candara" w:hAnsi="Candara"/>
          <w:vertAlign w:val="superscript"/>
        </w:rPr>
        <w:footnoteReference w:id="34"/>
      </w:r>
      <w:r w:rsidRPr="00516C5D">
        <w:rPr>
          <w:rFonts w:ascii="Candara" w:hAnsi="Candara"/>
        </w:rPr>
        <w:t>. UIN atvieglojuma P&amp;A mērķis  ir P&amp;A darba veicināšana jaunu produktu un tehnoloģiju izstrādei vietējos uzņēmumos, kā arī ārvalstu tiešo investīciju piesaistes sekmēšana zināšanu intensīvās nozarēs</w:t>
      </w:r>
      <w:r>
        <w:rPr>
          <w:rFonts w:ascii="Candara" w:hAnsi="Candara"/>
          <w:vertAlign w:val="superscript"/>
        </w:rPr>
        <w:footnoteReference w:id="35"/>
      </w:r>
      <w:r w:rsidRPr="00516C5D">
        <w:rPr>
          <w:rFonts w:ascii="Candara" w:hAnsi="Candara"/>
        </w:rPr>
        <w:t xml:space="preserve">. Vienlaikus UIN atlaidei ir ietekme uz privātā sektora P&amp;A investīciju sekmēšanu. EM UIN atvieglojuma piemērošanas periodā ir nodrošinājusi </w:t>
      </w:r>
      <w:r w:rsidRPr="00516C5D">
        <w:rPr>
          <w:rFonts w:ascii="Candara" w:hAnsi="Candara"/>
          <w:i/>
        </w:rPr>
        <w:t>Pētniecības un attīstības darbību novērtēšanas komisijas</w:t>
      </w:r>
      <w:r w:rsidRPr="00516C5D">
        <w:rPr>
          <w:rFonts w:ascii="Candara" w:hAnsi="Candara"/>
        </w:rPr>
        <w:t xml:space="preserve"> funkcijas</w:t>
      </w:r>
      <w:r>
        <w:rPr>
          <w:rFonts w:ascii="Candara" w:hAnsi="Candara"/>
          <w:vertAlign w:val="superscript"/>
        </w:rPr>
        <w:footnoteReference w:id="36"/>
      </w:r>
      <w:r w:rsidRPr="00516C5D">
        <w:rPr>
          <w:rFonts w:ascii="Candara" w:hAnsi="Candara"/>
        </w:rPr>
        <w:t xml:space="preserve"> </w:t>
      </w:r>
      <w:r>
        <w:rPr>
          <w:rFonts w:ascii="Candara" w:hAnsi="Candara"/>
          <w:vertAlign w:val="superscript"/>
        </w:rPr>
        <w:footnoteReference w:id="37"/>
      </w:r>
      <w:r w:rsidRPr="00516C5D">
        <w:rPr>
          <w:rFonts w:ascii="Candara" w:hAnsi="Candara"/>
        </w:rPr>
        <w:t>. Laikā no 2014.gada 1.jūlija līdz 2014.gada 31.decembrim 86 uzņēmumi deklarējuši P&amp;A nodokļu atlaides 1,33 milj. euro apmērā (veiktie ieguldījumi 0,44 milj. euro). 2015.gadā 30 uzņēmumi deklarējuši P&amp;A nodokļu atlaides 4,2 milj. euro apmērā, ieguldot 1,41 milj. euro. OECD 2016.gada pētījumā par UIN nodokļu atlaidēm P&amp;A Latvijas UIN atlaides mehānismu ir novērtējusi kā uzņēmējiem piekto pievilcīgāko starp 44 pasaules valstīm.</w:t>
      </w:r>
      <w:r>
        <w:rPr>
          <w:rFonts w:ascii="Candara" w:hAnsi="Candara"/>
        </w:rPr>
        <w:t xml:space="preserve"> </w:t>
      </w:r>
      <w:r>
        <w:rPr>
          <w:rFonts w:ascii="Candara" w:hAnsi="Candara"/>
          <w:b/>
        </w:rPr>
        <w:t xml:space="preserve">UIN  atvieglojums </w:t>
      </w:r>
      <w:r w:rsidRPr="007030FD">
        <w:rPr>
          <w:rFonts w:ascii="Candara" w:hAnsi="Candara"/>
          <w:b/>
        </w:rPr>
        <w:t>iekārtām</w:t>
      </w:r>
      <w:r w:rsidRPr="007030FD">
        <w:rPr>
          <w:rFonts w:ascii="Candara" w:hAnsi="Candara"/>
        </w:rPr>
        <w:t xml:space="preserve">. </w:t>
      </w:r>
      <w:r>
        <w:rPr>
          <w:rFonts w:ascii="Candara" w:hAnsi="Candara"/>
        </w:rPr>
        <w:t>I</w:t>
      </w:r>
      <w:r>
        <w:rPr>
          <w:rFonts w:ascii="Candara" w:hAnsi="Candara"/>
          <w:highlight w:val="white"/>
        </w:rPr>
        <w:t>nvestīciju un ieguldījumu pētniecībā un attīstībā sekmēšanai</w:t>
      </w:r>
      <w:r w:rsidRPr="00516C5D">
        <w:rPr>
          <w:rFonts w:ascii="Candara" w:hAnsi="Candara"/>
          <w:highlight w:val="white"/>
        </w:rPr>
        <w:t xml:space="preserve"> uzņēmējiem ir iespējams izmantot likumā “Par uzņēmumu ienākumu nodokli” paredzētos UIN atvieglojumus jaunām ražošanas tehnoloģiskām iekārtām. Nodokļu atvieglojums paredz, ka nolietojuma summas aprēķināšanas katras jaunas ražošanas tehnoloģiskās iekārtas vērtību vai izveidošanas vērtību taksācijas periodā, palielina, reizinot ar </w:t>
      </w:r>
      <w:r w:rsidRPr="00516C5D" w:rsidR="00AA4E91">
        <w:rPr>
          <w:rFonts w:ascii="Candara" w:hAnsi="Candara"/>
          <w:highlight w:val="white"/>
        </w:rPr>
        <w:t>koeficientu</w:t>
      </w:r>
      <w:r w:rsidRPr="00516C5D">
        <w:rPr>
          <w:rFonts w:ascii="Candara" w:hAnsi="Candara"/>
          <w:highlight w:val="white"/>
        </w:rPr>
        <w:t xml:space="preserve"> 1,5. Saskaņā ar Valsts </w:t>
      </w:r>
      <w:r w:rsidRPr="00516C5D">
        <w:rPr>
          <w:rFonts w:ascii="Candara" w:hAnsi="Candara"/>
          <w:highlight w:val="white"/>
        </w:rPr>
        <w:t xml:space="preserve">ieņēmuma dienesta datiem nodokļu atvieglojums 2014.gadā piemērots 1121 nodokļu maksātājam, 2015.gadā 4082 nodokļu maksātājiem un līdz 2016.gada 9.novembrim 39 nodokļu </w:t>
      </w:r>
      <w:r w:rsidRPr="00896DA5">
        <w:rPr>
          <w:rFonts w:ascii="Candara" w:hAnsi="Candara"/>
        </w:rPr>
        <w:t xml:space="preserve">maksātājiem. </w:t>
      </w:r>
      <w:r w:rsidRPr="00896DA5">
        <w:rPr>
          <w:rFonts w:ascii="Candara" w:hAnsi="Candara"/>
          <w:b/>
        </w:rPr>
        <w:t xml:space="preserve">UIN atbalsts </w:t>
      </w:r>
      <w:r w:rsidRPr="00516C5D">
        <w:rPr>
          <w:rFonts w:ascii="Candara" w:hAnsi="Candara"/>
          <w:b/>
          <w:highlight w:val="white"/>
        </w:rPr>
        <w:t xml:space="preserve">lielajiem investīciju projektiem. </w:t>
      </w:r>
      <w:r>
        <w:rPr>
          <w:rFonts w:ascii="Candara" w:hAnsi="Candara"/>
          <w:highlight w:val="white"/>
        </w:rPr>
        <w:t xml:space="preserve">Ar nolūku sekmēt </w:t>
      </w:r>
      <w:r w:rsidRPr="00516C5D">
        <w:rPr>
          <w:rFonts w:ascii="Candara" w:hAnsi="Candara"/>
          <w:highlight w:val="white"/>
        </w:rPr>
        <w:t xml:space="preserve">investīcijas un ieguldījumus pētniecībā un attīstībā, uzņēmējiem ir iespējams izmantot likumā “Par uzņēmumu ienākumu nodokli” paredzēto UIN </w:t>
      </w:r>
      <w:r w:rsidRPr="00516C5D">
        <w:rPr>
          <w:rFonts w:ascii="Candara" w:eastAsia="Times New Roman" w:hAnsi="Candara" w:cs="Times New Roman"/>
          <w:sz w:val="24"/>
          <w:szCs w:val="24"/>
          <w:highlight w:val="white"/>
        </w:rPr>
        <w:t xml:space="preserve">atlaides piemērošanu par veiktajiem ieguldījumiem atbalstāmajos investīciju projektos virs 10 milj. </w:t>
      </w:r>
      <w:r w:rsidRPr="00516C5D">
        <w:rPr>
          <w:rFonts w:ascii="Candara" w:eastAsia="Times New Roman" w:hAnsi="Candara" w:cs="Times New Roman"/>
          <w:i/>
          <w:sz w:val="24"/>
          <w:szCs w:val="24"/>
          <w:highlight w:val="white"/>
        </w:rPr>
        <w:t xml:space="preserve">euro. </w:t>
      </w:r>
      <w:r w:rsidRPr="00516C5D">
        <w:rPr>
          <w:rFonts w:ascii="Candara" w:hAnsi="Candara"/>
          <w:highlight w:val="white"/>
        </w:rPr>
        <w:t xml:space="preserve">Likums paredz piemērot atlaidi 25% (ja kopējā sākotnējo ilgtermiņa ieguldījumu summa nepārsniedz 50 milj. euro) vai 15% (ja kopējā sākotnējo ilgtermiņa ieguldījumu summa pārsniedz 50 milj. euro) apmērā par investīciju summu, kas pārsniedz 10 milj. euro, nodokļu maksātājiem, kuri veikuši ieguldījumus pamatlīdzekļos, kas izmantojami nodokļa maksātāja saimnieciskās darbības veikšanai atbalstāmajās prioritārajās nozarēs un veikti, lai izveidotu jaunu uzņēmējdarbības vietu, palielinātu ražošanas vai pakalpojumu jaudu, uzsāktu jaunas produkcijas ražošanu, kādu nodokļa maksātājs iepriekš nav ražojis, vai būtiski mainītu ražošanas procesu. Līdz 2017.gada 15.maijam ir atbalstīti 29 projekti. </w:t>
      </w:r>
    </w:p>
    <w:p w:rsidR="001B4F11" w:rsidP="009F2C2C" w14:paraId="6296E55C" w14:textId="77777777">
      <w:pPr>
        <w:spacing w:before="120" w:line="240" w:lineRule="auto"/>
        <w:ind w:firstLine="426"/>
        <w:jc w:val="both"/>
        <w:rPr>
          <w:rFonts w:ascii="Candara" w:eastAsia="Candara" w:hAnsi="Candara" w:cs="Candara"/>
        </w:rPr>
      </w:pPr>
      <w:r w:rsidRPr="00042324">
        <w:rPr>
          <w:rFonts w:ascii="Candara" w:eastAsia="Candara" w:hAnsi="Candara" w:cs="Candara"/>
          <w:b/>
        </w:rPr>
        <w:t>2014.gada</w:t>
      </w:r>
      <w:r w:rsidRPr="001B4F11">
        <w:rPr>
          <w:rFonts w:ascii="Candara" w:eastAsia="Candara" w:hAnsi="Candara" w:cs="Candara"/>
          <w:b/>
        </w:rPr>
        <w:t xml:space="preserve"> </w:t>
      </w:r>
      <w:r w:rsidRPr="001B4F11">
        <w:rPr>
          <w:rFonts w:ascii="Candara" w:eastAsia="Candara" w:hAnsi="Candara" w:cs="Candara"/>
          <w:b/>
        </w:rPr>
        <w:t>III ceturksnī</w:t>
      </w:r>
      <w:r>
        <w:rPr>
          <w:rFonts w:ascii="Candara" w:eastAsia="Candara" w:hAnsi="Candara" w:cs="Candara"/>
        </w:rPr>
        <w:t xml:space="preserve"> noslēdzās</w:t>
      </w:r>
      <w:r w:rsidRPr="00896DA5">
        <w:rPr>
          <w:rFonts w:ascii="Candara" w:eastAsia="Candara" w:hAnsi="Candara" w:cs="Candara"/>
        </w:rPr>
        <w:t xml:space="preserve"> </w:t>
      </w:r>
      <w:r>
        <w:rPr>
          <w:rFonts w:ascii="Candara" w:eastAsia="Candara" w:hAnsi="Candara" w:cs="Candara"/>
        </w:rPr>
        <w:t>Starptautiskās attīstības un r</w:t>
      </w:r>
      <w:r w:rsidR="009F2C2C">
        <w:rPr>
          <w:rFonts w:ascii="Candara" w:eastAsia="Candara" w:hAnsi="Candara" w:cs="Candara"/>
        </w:rPr>
        <w:t>ekonstrukcijas bankas (turpmāk –</w:t>
      </w:r>
      <w:r>
        <w:rPr>
          <w:rFonts w:ascii="Candara" w:eastAsia="Candara" w:hAnsi="Candara" w:cs="Candara"/>
        </w:rPr>
        <w:t xml:space="preserve"> Pasaules banka) pētījums par augstākās izglītības nacionālās finansēšanas sistēmu,</w:t>
      </w:r>
      <w:r w:rsidRPr="00896DA5">
        <w:rPr>
          <w:rFonts w:ascii="Candara" w:eastAsia="Candara" w:hAnsi="Candara" w:cs="Candara"/>
        </w:rPr>
        <w:t xml:space="preserve"> veicot nozares finansēšanas sistēmas izvērtējumu un </w:t>
      </w:r>
      <w:r>
        <w:rPr>
          <w:rFonts w:ascii="Candara" w:eastAsia="Candara" w:hAnsi="Candara" w:cs="Candara"/>
        </w:rPr>
        <w:t>sniedzot rekomendācijas jauna, Latvijas situācijai piemērota trīs pīlāru</w:t>
      </w:r>
      <w:r w:rsidRPr="00896DA5">
        <w:rPr>
          <w:rFonts w:ascii="Candara" w:eastAsia="Candara" w:hAnsi="Candara" w:cs="Candara"/>
        </w:rPr>
        <w:t xml:space="preserve"> augstākā</w:t>
      </w:r>
      <w:r>
        <w:rPr>
          <w:rFonts w:ascii="Candara" w:eastAsia="Candara" w:hAnsi="Candara" w:cs="Candara"/>
        </w:rPr>
        <w:t>s izglītības finansēšanas modeļa izstrādei</w:t>
      </w:r>
      <w:r w:rsidRPr="00896DA5">
        <w:rPr>
          <w:rFonts w:ascii="Candara" w:eastAsia="Candara" w:hAnsi="Candara" w:cs="Candara"/>
        </w:rPr>
        <w:t>, kurā bāzes finansējums</w:t>
      </w:r>
      <w:r w:rsidR="003761F5">
        <w:rPr>
          <w:rFonts w:ascii="Candara" w:eastAsia="Candara" w:hAnsi="Candara" w:cs="Candara"/>
        </w:rPr>
        <w:t xml:space="preserve"> (1.</w:t>
      </w:r>
      <w:r>
        <w:rPr>
          <w:rFonts w:ascii="Candara" w:eastAsia="Candara" w:hAnsi="Candara" w:cs="Candara"/>
        </w:rPr>
        <w:t>pīlārs)</w:t>
      </w:r>
      <w:r w:rsidRPr="00896DA5">
        <w:rPr>
          <w:rFonts w:ascii="Candara" w:eastAsia="Candara" w:hAnsi="Candara" w:cs="Candara"/>
        </w:rPr>
        <w:t xml:space="preserve"> nodrošina sistēmas ilgtspēju, snieguma finansējums</w:t>
      </w:r>
      <w:r w:rsidR="003761F5">
        <w:rPr>
          <w:rFonts w:ascii="Candara" w:eastAsia="Candara" w:hAnsi="Candara" w:cs="Candara"/>
        </w:rPr>
        <w:t xml:space="preserve"> (2.</w:t>
      </w:r>
      <w:r>
        <w:rPr>
          <w:rFonts w:ascii="Candara" w:eastAsia="Candara" w:hAnsi="Candara" w:cs="Candara"/>
        </w:rPr>
        <w:t>pīlārs)</w:t>
      </w:r>
      <w:r w:rsidRPr="00896DA5">
        <w:rPr>
          <w:rFonts w:ascii="Candara" w:eastAsia="Candara" w:hAnsi="Candara" w:cs="Candara"/>
        </w:rPr>
        <w:t xml:space="preserve"> veicina rezultātu sasniegšanu, savukārt attīstības finansējums </w:t>
      </w:r>
      <w:r w:rsidR="003761F5">
        <w:rPr>
          <w:rFonts w:ascii="Candara" w:eastAsia="Candara" w:hAnsi="Candara" w:cs="Candara"/>
        </w:rPr>
        <w:t>(3.</w:t>
      </w:r>
      <w:r>
        <w:rPr>
          <w:rFonts w:ascii="Candara" w:eastAsia="Candara" w:hAnsi="Candara" w:cs="Candara"/>
        </w:rPr>
        <w:t xml:space="preserve">pīlārs) </w:t>
      </w:r>
      <w:r w:rsidRPr="00896DA5">
        <w:rPr>
          <w:rFonts w:ascii="Candara" w:eastAsia="Candara" w:hAnsi="Candara" w:cs="Candara"/>
        </w:rPr>
        <w:t>veicina sasaisti ar ilgtermiņa tautsai</w:t>
      </w:r>
      <w:r>
        <w:rPr>
          <w:rFonts w:ascii="Candara" w:eastAsia="Candara" w:hAnsi="Candara" w:cs="Candara"/>
        </w:rPr>
        <w:t>mniecības attīstības vajadzībām</w:t>
      </w:r>
      <w:r w:rsidR="009F2C2C">
        <w:rPr>
          <w:rFonts w:ascii="Candara" w:eastAsia="Candara" w:hAnsi="Candara" w:cs="Candara"/>
        </w:rPr>
        <w:t>.</w:t>
      </w:r>
    </w:p>
    <w:p w:rsidR="001B4F11" w:rsidP="009F2C2C" w14:paraId="51E9D9A8" w14:textId="77777777">
      <w:pPr>
        <w:spacing w:line="240" w:lineRule="auto"/>
        <w:ind w:firstLine="426"/>
        <w:jc w:val="both"/>
        <w:rPr>
          <w:rFonts w:ascii="Candara" w:eastAsia="Candara" w:hAnsi="Candara" w:cs="Candara"/>
        </w:rPr>
      </w:pPr>
      <w:r w:rsidRPr="00896DA5">
        <w:rPr>
          <w:rFonts w:ascii="Candara" w:eastAsia="Candara" w:hAnsi="Candara" w:cs="Candara"/>
        </w:rPr>
        <w:t xml:space="preserve">Balstoties uz </w:t>
      </w:r>
      <w:r>
        <w:rPr>
          <w:rFonts w:ascii="Candara" w:eastAsia="Candara" w:hAnsi="Candara" w:cs="Candara"/>
        </w:rPr>
        <w:t>Pasaules bankas veikto</w:t>
      </w:r>
      <w:r w:rsidRPr="00896DA5">
        <w:rPr>
          <w:rFonts w:ascii="Candara" w:eastAsia="Candara" w:hAnsi="Candara" w:cs="Candara"/>
        </w:rPr>
        <w:t xml:space="preserve"> izvērtējumu un priekšlikumiem,</w:t>
      </w:r>
      <w:r>
        <w:rPr>
          <w:rFonts w:ascii="Candara" w:eastAsia="Candara" w:hAnsi="Candara" w:cs="Candara"/>
        </w:rPr>
        <w:t xml:space="preserve"> IZM izstrādāja un</w:t>
      </w:r>
      <w:r w:rsidRPr="00442B76">
        <w:rPr>
          <w:rFonts w:ascii="Candara" w:eastAsia="Candara" w:hAnsi="Candara" w:cs="Candara"/>
        </w:rPr>
        <w:t xml:space="preserve"> </w:t>
      </w:r>
      <w:r w:rsidRPr="001B4F11">
        <w:rPr>
          <w:rFonts w:ascii="Candara" w:eastAsia="Candara" w:hAnsi="Candara" w:cs="Candara"/>
          <w:b/>
        </w:rPr>
        <w:t>2015.gada</w:t>
      </w:r>
      <w:r>
        <w:rPr>
          <w:rFonts w:ascii="Candara" w:eastAsia="Candara" w:hAnsi="Candara" w:cs="Candara"/>
        </w:rPr>
        <w:t xml:space="preserve"> 29.jūnijā Ministru kabinets apstiprināja</w:t>
      </w:r>
      <w:r w:rsidRPr="00442B76">
        <w:rPr>
          <w:rFonts w:ascii="Candara" w:eastAsia="Candara" w:hAnsi="Candara" w:cs="Candara"/>
        </w:rPr>
        <w:t xml:space="preserve"> </w:t>
      </w:r>
      <w:r w:rsidRPr="001B4F11">
        <w:rPr>
          <w:rFonts w:ascii="Candara" w:eastAsia="Candara" w:hAnsi="Candara" w:cs="Candara"/>
          <w:b/>
        </w:rPr>
        <w:t>konceptuālo ziņojumu “Jauna augstākās izglītības finansē</w:t>
      </w:r>
      <w:r>
        <w:rPr>
          <w:rFonts w:ascii="Candara" w:eastAsia="Candara" w:hAnsi="Candara" w:cs="Candara"/>
          <w:b/>
        </w:rPr>
        <w:t>šanas modeļa ieviešana Latvijā”</w:t>
      </w:r>
      <w:r>
        <w:rPr>
          <w:rFonts w:ascii="Candara" w:eastAsia="Candara" w:hAnsi="Candara" w:cs="Candara"/>
        </w:rPr>
        <w:t xml:space="preserve">, kas definēja minēto trīs pīlāru sistēmas modeli un tā ieviešanu. Saskaņā ar minēto konceptuālo ziņojumu, </w:t>
      </w:r>
      <w:r w:rsidRPr="00442B76">
        <w:rPr>
          <w:rFonts w:ascii="Candara" w:eastAsia="Candara" w:hAnsi="Candara" w:cs="Candara"/>
        </w:rPr>
        <w:t xml:space="preserve">tiek pakāpeniski īstenotas nozares strukturālās reformas, lai nodrošinātu efektīvas un ilgtspējīgas augstākās izglītības sistēmas izveidi. Reformu rezultātā ir izveidots jauns finansēšanas modelis, kurš ir balstīts uz trim pīlāriem, no kuriem otrais paredz augstskolām finansējumu par sasniegtajiem rezultātiem. </w:t>
      </w:r>
    </w:p>
    <w:p w:rsidR="001B4F11" w:rsidRPr="00442B76" w:rsidP="009F2C2C" w14:paraId="134FD6B4" w14:textId="77777777">
      <w:pPr>
        <w:spacing w:line="240" w:lineRule="auto"/>
        <w:ind w:firstLine="426"/>
        <w:jc w:val="both"/>
        <w:rPr>
          <w:rFonts w:ascii="Candara" w:eastAsia="Candara" w:hAnsi="Candara" w:cs="Candara"/>
          <w:b/>
        </w:rPr>
      </w:pPr>
      <w:r w:rsidRPr="00442B76">
        <w:rPr>
          <w:rFonts w:ascii="Candara" w:eastAsia="Candara" w:hAnsi="Candara" w:cs="Candara"/>
        </w:rPr>
        <w:t xml:space="preserve">2.pīlāra finansējums ir ieviests </w:t>
      </w:r>
      <w:r w:rsidRPr="001B4F11">
        <w:rPr>
          <w:rFonts w:ascii="Candara" w:eastAsia="Candara" w:hAnsi="Candara" w:cs="Candara"/>
          <w:b/>
        </w:rPr>
        <w:t xml:space="preserve">2015.gadā veicot grozījumus Ministru kabineta 2006.gada 12.decembra noteikumos Nr. 994 "Kārtība, kādā augstskolas un koledžas tiek finansētas no valsts budžeta līdzekļiem" </w:t>
      </w:r>
      <w:r>
        <w:rPr>
          <w:rFonts w:ascii="Candara" w:eastAsia="Candara" w:hAnsi="Candara" w:cs="Candara"/>
        </w:rPr>
        <w:t>tajos definējot</w:t>
      </w:r>
      <w:r w:rsidRPr="00442B76">
        <w:rPr>
          <w:rFonts w:ascii="Candara" w:eastAsia="Candara" w:hAnsi="Candara" w:cs="Candara"/>
        </w:rPr>
        <w:t xml:space="preserve"> kritērijus pēc kuriem augstskolām tiek šis finansējums piešķirts (2015.gadā 5,5 milj. eiro apmērā, 2016. un 2017.gadā 6,5 milj. eiro apmērā). Kritēriji 2.pīlāra (snieguma) finansējuma aprēķināšanā ņem vērā augstskolas sasniegtos rezultātus jauno pētnieku nodarbinātībā, īstenotajos starptautiskajos un nozares pasūtītajos pētījumos, pašvaldību iesaistē pētniecības finansēšanā</w:t>
      </w:r>
      <w:r w:rsidR="00AA4E91">
        <w:rPr>
          <w:rFonts w:ascii="Candara" w:eastAsia="Candara" w:hAnsi="Candara" w:cs="Candara"/>
        </w:rPr>
        <w:t>,</w:t>
      </w:r>
      <w:r w:rsidRPr="00442B76">
        <w:rPr>
          <w:rFonts w:ascii="Candara" w:eastAsia="Candara" w:hAnsi="Candara" w:cs="Candara"/>
        </w:rPr>
        <w:t xml:space="preserve"> kā arī īstenotajos radošos un mākslas projektos.</w:t>
      </w:r>
    </w:p>
    <w:p w:rsidR="001B4F11" w:rsidP="009F2C2C" w14:paraId="78EC749B" w14:textId="77777777">
      <w:pPr>
        <w:spacing w:line="240" w:lineRule="auto"/>
        <w:ind w:firstLine="426"/>
        <w:jc w:val="both"/>
        <w:rPr>
          <w:rFonts w:ascii="Candara" w:eastAsia="Candara" w:hAnsi="Candara" w:cs="Candara"/>
        </w:rPr>
      </w:pPr>
      <w:r w:rsidRPr="00552465">
        <w:rPr>
          <w:rFonts w:ascii="Candara" w:eastAsia="Candara" w:hAnsi="Candara" w:cs="Candara"/>
          <w:b/>
        </w:rPr>
        <w:t>2015.gada</w:t>
      </w:r>
      <w:r w:rsidRPr="00442B76">
        <w:rPr>
          <w:rFonts w:ascii="Candara" w:eastAsia="Candara" w:hAnsi="Candara" w:cs="Candara"/>
        </w:rPr>
        <w:t xml:space="preserve"> 30.janvārī tika parakstīta </w:t>
      </w:r>
      <w:r w:rsidRPr="001B4F11">
        <w:rPr>
          <w:rFonts w:ascii="Candara" w:eastAsia="Candara" w:hAnsi="Candara" w:cs="Candara"/>
          <w:b/>
        </w:rPr>
        <w:t>Latvijas Republikas valdības un Eiropas Kosmosa aģentūras Eiropas sadarbības valsts plāna harta</w:t>
      </w:r>
      <w:r w:rsidRPr="00442B76">
        <w:rPr>
          <w:rFonts w:ascii="Candara" w:eastAsia="Candara" w:hAnsi="Candara" w:cs="Candara"/>
        </w:rPr>
        <w:t xml:space="preserve"> (ESVP harta), ar kuru spēkā stājās 2013.gada 15.martā izglītības un zinātnes ministra Latvijas Republikas valdības vārdā parakstītais Eiropas sadarbības valsts līgums. Tā ietvaros, uz 2017.gada sākumu, La</w:t>
      </w:r>
      <w:r w:rsidR="009E6743">
        <w:rPr>
          <w:rFonts w:ascii="Candara" w:eastAsia="Candara" w:hAnsi="Candara" w:cs="Candara"/>
        </w:rPr>
        <w:t>t</w:t>
      </w:r>
      <w:r w:rsidRPr="00442B76">
        <w:rPr>
          <w:rFonts w:ascii="Candara" w:eastAsia="Candara" w:hAnsi="Candara" w:cs="Candara"/>
        </w:rPr>
        <w:t xml:space="preserve">vijas zinātniskās </w:t>
      </w:r>
      <w:r w:rsidR="009E6743">
        <w:rPr>
          <w:rFonts w:ascii="Candara" w:eastAsia="Candara" w:hAnsi="Candara" w:cs="Candara"/>
        </w:rPr>
        <w:t>institūcijas</w:t>
      </w:r>
      <w:r w:rsidRPr="00442B76">
        <w:rPr>
          <w:rFonts w:ascii="Candara" w:eastAsia="Candara" w:hAnsi="Candara" w:cs="Candara"/>
        </w:rPr>
        <w:t xml:space="preserve"> un komercsabiedrības </w:t>
      </w:r>
      <w:r w:rsidR="009E6743">
        <w:rPr>
          <w:rFonts w:ascii="Candara" w:eastAsia="Candara" w:hAnsi="Candara" w:cs="Candara"/>
        </w:rPr>
        <w:t>īsteno</w:t>
      </w:r>
      <w:r w:rsidRPr="00442B76">
        <w:rPr>
          <w:rFonts w:ascii="Candara" w:eastAsia="Candara" w:hAnsi="Candara" w:cs="Candara"/>
        </w:rPr>
        <w:t xml:space="preserve"> inovatīvus Eiropas Kosmosa aģentūras ekspertu augsti novērtētus projektus.  Pirmajā un otrajā projektu uzsaukumā, kas notika 2013.gadā un 2015.gadā, Eiropas Kosmosa aģentūras eksperti kopā ar Izglītības un zinātnes ministriju atlasīja 13 finansējamos Eiropas Kosmosa aģentūras ESVP projektus. 2017.gada sākumā tika publicēts trešais projektu uzsaukums, un tā rezultāti būs zināmi 2017.gada vasarā. No 2019.gada sadarbība ar Eiropas Kosmosa aģentūru ir jāturpina vai nu Eiropas sadarbības valsts līguma ietvaros, vai pievienojoties Eiropas Kosmosa aģentūrai pilntiesīgas dalībvalsts statusā.</w:t>
      </w:r>
    </w:p>
    <w:p w:rsidR="00746067" w:rsidRPr="008470F5" w:rsidP="009F2C2C" w14:paraId="22424783" w14:textId="77777777">
      <w:pPr>
        <w:spacing w:line="240" w:lineRule="auto"/>
        <w:ind w:firstLine="426"/>
        <w:jc w:val="both"/>
        <w:rPr>
          <w:rFonts w:ascii="Candara" w:eastAsia="Candara" w:hAnsi="Candara" w:cs="Candara"/>
          <w:b/>
        </w:rPr>
      </w:pPr>
      <w:r w:rsidRPr="008470F5">
        <w:rPr>
          <w:rFonts w:ascii="Candara" w:eastAsia="Candara" w:hAnsi="Candara" w:cs="Candara"/>
        </w:rPr>
        <w:t xml:space="preserve">Lai nodrošinātu virzību uz </w:t>
      </w:r>
      <w:r>
        <w:rPr>
          <w:rFonts w:ascii="Candara" w:eastAsia="Candara" w:hAnsi="Candara" w:cs="Candara"/>
        </w:rPr>
        <w:t>starptautisko</w:t>
      </w:r>
      <w:r w:rsidRPr="008470F5">
        <w:rPr>
          <w:rFonts w:ascii="Candara" w:eastAsia="Candara" w:hAnsi="Candara" w:cs="Candara"/>
        </w:rPr>
        <w:t xml:space="preserve"> kvalitātes </w:t>
      </w:r>
      <w:r>
        <w:rPr>
          <w:rFonts w:ascii="Candara" w:eastAsia="Candara" w:hAnsi="Candara" w:cs="Candara"/>
        </w:rPr>
        <w:t>standartu ieviešanu nacionālajā</w:t>
      </w:r>
      <w:r w:rsidRPr="008470F5">
        <w:rPr>
          <w:rFonts w:ascii="Candara" w:eastAsia="Candara" w:hAnsi="Candara" w:cs="Candara"/>
        </w:rPr>
        <w:t xml:space="preserve"> </w:t>
      </w:r>
      <w:r>
        <w:rPr>
          <w:rFonts w:ascii="Candara" w:eastAsia="Candara" w:hAnsi="Candara" w:cs="Candara"/>
        </w:rPr>
        <w:t xml:space="preserve">augstākās izglītības sistēmā, </w:t>
      </w:r>
      <w:r w:rsidRPr="008470F5">
        <w:rPr>
          <w:rFonts w:ascii="Candara" w:eastAsia="Candara" w:hAnsi="Candara" w:cs="Candara"/>
        </w:rPr>
        <w:t xml:space="preserve">2015. gada </w:t>
      </w:r>
      <w:r>
        <w:rPr>
          <w:rFonts w:ascii="Candara" w:eastAsia="Candara" w:hAnsi="Candara" w:cs="Candara"/>
        </w:rPr>
        <w:t xml:space="preserve">14. jūlijā Ministru kabinetā </w:t>
      </w:r>
      <w:r w:rsidR="003761F5">
        <w:rPr>
          <w:rFonts w:ascii="Candara" w:eastAsia="Candara" w:hAnsi="Candara" w:cs="Candara"/>
        </w:rPr>
        <w:t>tika apstiprināti noteikumi Nr.</w:t>
      </w:r>
      <w:r>
        <w:rPr>
          <w:rFonts w:ascii="Candara" w:eastAsia="Candara" w:hAnsi="Candara" w:cs="Candara"/>
        </w:rPr>
        <w:t>407</w:t>
      </w:r>
      <w:r w:rsidR="006D4322">
        <w:rPr>
          <w:rFonts w:ascii="Candara" w:eastAsia="Candara" w:hAnsi="Candara" w:cs="Candara"/>
        </w:rPr>
        <w:t xml:space="preserve"> </w:t>
      </w:r>
      <w:r>
        <w:rPr>
          <w:rFonts w:ascii="Candara" w:eastAsia="Candara" w:hAnsi="Candara" w:cs="Candara"/>
        </w:rPr>
        <w:t>“</w:t>
      </w:r>
      <w:r w:rsidRPr="008470F5">
        <w:rPr>
          <w:rFonts w:ascii="Candara" w:eastAsia="Candara" w:hAnsi="Candara" w:cs="Candara"/>
          <w:b/>
        </w:rPr>
        <w:t>Augstskolu, koledžu un studiju virzienu akreditācijas noteikumi</w:t>
      </w:r>
      <w:r>
        <w:rPr>
          <w:rFonts w:ascii="Candara" w:eastAsia="Candara" w:hAnsi="Candara" w:cs="Candara"/>
        </w:rPr>
        <w:t xml:space="preserve">”. Minētie noteikumi mainīja institucionālo deleģējumu akreditācijas procesa nodrošināšanai, nosakot, ka akreditācijas procesu nodrošina Akadēmiskās informācijas centrs, kā arī ieviesa normatīvo regulējumu, kas </w:t>
      </w:r>
      <w:r w:rsidR="00AA4E91">
        <w:rPr>
          <w:rFonts w:ascii="Candara" w:eastAsia="Candara" w:hAnsi="Candara" w:cs="Candara"/>
        </w:rPr>
        <w:t xml:space="preserve">nodrošina </w:t>
      </w:r>
      <w:r>
        <w:rPr>
          <w:rFonts w:ascii="Candara" w:eastAsia="Candara" w:hAnsi="Candara" w:cs="Candara"/>
        </w:rPr>
        <w:t xml:space="preserve">Eiropas Augstākās izglītības telpas kvalitātes standartu un vadlīniju ieviešanu nacionālā līmenī. </w:t>
      </w:r>
    </w:p>
    <w:p w:rsidR="001B4F11" w:rsidRPr="001B4F11" w:rsidP="009F2C2C" w14:paraId="63BE20F6" w14:textId="77777777">
      <w:pPr>
        <w:spacing w:line="240" w:lineRule="auto"/>
        <w:ind w:firstLine="426"/>
        <w:jc w:val="both"/>
        <w:rPr>
          <w:rFonts w:ascii="Candara" w:eastAsia="Candara" w:hAnsi="Candara" w:cs="Candara"/>
          <w:b/>
        </w:rPr>
      </w:pPr>
      <w:r w:rsidRPr="00042324">
        <w:rPr>
          <w:rFonts w:ascii="Candara" w:eastAsia="Candara" w:hAnsi="Candara" w:cs="Candara"/>
          <w:b/>
        </w:rPr>
        <w:t>2015. gada</w:t>
      </w:r>
      <w:r>
        <w:rPr>
          <w:rFonts w:ascii="Candara" w:eastAsia="Candara" w:hAnsi="Candara" w:cs="Candara"/>
          <w:b/>
        </w:rPr>
        <w:t xml:space="preserve"> IV ceturksnis. Grozījumi Publisko iepirkumu likumā. </w:t>
      </w:r>
      <w:r>
        <w:rPr>
          <w:rFonts w:ascii="Candara" w:eastAsia="Candara" w:hAnsi="Candara" w:cs="Candara"/>
        </w:rPr>
        <w:t>Ar mērķi veicināt</w:t>
      </w:r>
      <w:r w:rsidRPr="009D5615">
        <w:rPr>
          <w:rFonts w:ascii="Candara" w:eastAsia="Candara" w:hAnsi="Candara" w:cs="Candara"/>
        </w:rPr>
        <w:t xml:space="preserve"> zinātnisko institūciju konkurētspēju ES vienotajā pētniecības telpā, efektīvi izlietojot publisko personu piešķirtos finanšu līdzekļus, kā arī optimizējot iepirkuma procedūru organizēšanai nepieci</w:t>
      </w:r>
      <w:r>
        <w:rPr>
          <w:rFonts w:ascii="Candara" w:eastAsia="Candara" w:hAnsi="Candara" w:cs="Candara"/>
        </w:rPr>
        <w:t xml:space="preserve">ešamos administratīvos resursus, </w:t>
      </w:r>
      <w:r w:rsidR="003761F5">
        <w:rPr>
          <w:rFonts w:ascii="Candara" w:eastAsia="Candara" w:hAnsi="Candara" w:cs="Candara"/>
        </w:rPr>
        <w:t>2015.</w:t>
      </w:r>
      <w:r w:rsidRPr="009A28C7">
        <w:rPr>
          <w:rFonts w:ascii="Candara" w:eastAsia="Candara" w:hAnsi="Candara" w:cs="Candara"/>
        </w:rPr>
        <w:t>gad</w:t>
      </w:r>
      <w:r>
        <w:rPr>
          <w:rFonts w:ascii="Candara" w:eastAsia="Candara" w:hAnsi="Candara" w:cs="Candara"/>
        </w:rPr>
        <w:t>a decembrī Saeima pieņēma grozījumus Publisko iepirkumu likumā, kas paredz atvieglotu procedūru ārvalstu zinātnisko ekspertu piesaistei. Saskaņā ar grozījumiem, ja programmas ieviešanas nosacījumos paredzēts projektu pieteikumu sākotnējās zinātniskās kvalitātes, kā arī starpposma vai noslēguma rezultātu kvalitātes novērtējumam piesaistīt Eiropas Komisijas zinātnisko ekspertu datubāzē vai citā zinātnisko ekspertu datubāzē reģistrētu ekspertu, to nav nepieciešams veikt saskaņā ar Publisko iepirkumu likumā noteikto iepirkuma procedūru, tādējādi būtiski samazinot administratīvo slogu gan projektu atlasi administrējošajai institūcijai, gan vērtēšanai piesaistītajiem ekspertiem, gan nodrošinot operatīvāku projektu pieteikumu vērtēšanas procesa norisi. EK zinātnisko ekspertu datubāzē reģistrēto ekspertu piesaiste paredzēta un tika īstenota pirmās projektu iesniegumu atlases kārt</w:t>
      </w:r>
      <w:r w:rsidR="003761F5">
        <w:rPr>
          <w:rFonts w:ascii="Candara" w:eastAsia="Candara" w:hAnsi="Candara" w:cs="Candara"/>
        </w:rPr>
        <w:t>as ietvaros 1.1.1.1.pasākuma un 1.1.1.2.</w:t>
      </w:r>
      <w:r>
        <w:rPr>
          <w:rFonts w:ascii="Candara" w:eastAsia="Candara" w:hAnsi="Candara" w:cs="Candara"/>
        </w:rPr>
        <w:t>pasākuma pētniecības projektu zinātniskās kvalitātes vērtēšanā. Nosacījumi par EK zinātnisko ekspertu datubāzē reģistrēto ekspertu piesaisti iest</w:t>
      </w:r>
      <w:r w:rsidR="003761F5">
        <w:rPr>
          <w:rFonts w:ascii="Candara" w:eastAsia="Candara" w:hAnsi="Candara" w:cs="Candara"/>
        </w:rPr>
        <w:t>rādāti arī 1.2.1.1. un 1.2.1.2.</w:t>
      </w:r>
      <w:r>
        <w:rPr>
          <w:rFonts w:ascii="Candara" w:eastAsia="Candara" w:hAnsi="Candara" w:cs="Candara"/>
        </w:rPr>
        <w:t>p</w:t>
      </w:r>
      <w:r w:rsidR="009F2C2C">
        <w:rPr>
          <w:rFonts w:ascii="Candara" w:eastAsia="Candara" w:hAnsi="Candara" w:cs="Candara"/>
        </w:rPr>
        <w:t>asākumu ieviešanas nosacījumos</w:t>
      </w:r>
      <w:r w:rsidR="00AA4E91">
        <w:rPr>
          <w:rFonts w:ascii="Candara" w:eastAsia="Candara" w:hAnsi="Candara" w:cs="Candara"/>
        </w:rPr>
        <w:t>, atbilstoša ekspertīze plānota arī sākot ar 1.2.1.4.pasākuma otro projektu iesniegumu atlases kārtu</w:t>
      </w:r>
      <w:r w:rsidR="009F2C2C">
        <w:rPr>
          <w:rFonts w:ascii="Candara" w:eastAsia="Candara" w:hAnsi="Candara" w:cs="Candara"/>
        </w:rPr>
        <w:t>.</w:t>
      </w:r>
    </w:p>
    <w:p w:rsidR="001B4F11" w:rsidRPr="00442B76" w:rsidP="00346B1F" w14:paraId="10037C4D" w14:textId="77777777">
      <w:pPr>
        <w:tabs>
          <w:tab w:val="right" w:pos="8222"/>
        </w:tabs>
        <w:spacing w:line="240" w:lineRule="auto"/>
        <w:ind w:firstLine="709"/>
        <w:jc w:val="both"/>
        <w:rPr>
          <w:rFonts w:ascii="Candara" w:eastAsia="Candara" w:hAnsi="Candara" w:cs="Candara"/>
        </w:rPr>
      </w:pPr>
      <w:r w:rsidRPr="006D4322">
        <w:rPr>
          <w:rFonts w:ascii="Candara" w:eastAsia="Candara" w:hAnsi="Candara" w:cs="Candara"/>
          <w:b/>
        </w:rPr>
        <w:tab/>
      </w:r>
      <w:r w:rsidRPr="006D4322">
        <w:rPr>
          <w:rFonts w:ascii="Candara" w:eastAsia="Candara" w:hAnsi="Candara" w:cs="Candara"/>
          <w:b/>
        </w:rPr>
        <w:t>20</w:t>
      </w:r>
      <w:r w:rsidR="003761F5">
        <w:rPr>
          <w:rFonts w:ascii="Candara" w:eastAsia="Candara" w:hAnsi="Candara" w:cs="Candara"/>
          <w:b/>
        </w:rPr>
        <w:t>16.</w:t>
      </w:r>
      <w:r w:rsidRPr="006D4322">
        <w:rPr>
          <w:rFonts w:ascii="Candara" w:eastAsia="Candara" w:hAnsi="Candara" w:cs="Candara"/>
          <w:b/>
        </w:rPr>
        <w:t>gada</w:t>
      </w:r>
      <w:r>
        <w:rPr>
          <w:rFonts w:ascii="Candara" w:eastAsia="Candara" w:hAnsi="Candara" w:cs="Candara"/>
          <w:b/>
        </w:rPr>
        <w:t xml:space="preserve"> II ceturksn</w:t>
      </w:r>
      <w:r>
        <w:rPr>
          <w:rFonts w:ascii="Candara" w:eastAsia="Candara" w:hAnsi="Candara" w:cs="Candara"/>
          <w:b/>
        </w:rPr>
        <w:t>is.</w:t>
      </w:r>
      <w:r>
        <w:rPr>
          <w:rFonts w:ascii="Candara" w:eastAsia="Candara" w:hAnsi="Candara" w:cs="Candara"/>
          <w:b/>
        </w:rPr>
        <w:t xml:space="preserve"> </w:t>
      </w:r>
      <w:r w:rsidR="003761F5">
        <w:rPr>
          <w:rFonts w:ascii="Candara" w:eastAsia="Candara" w:hAnsi="Candara" w:cs="Candara"/>
        </w:rPr>
        <w:t>2016.gada 15.</w:t>
      </w:r>
      <w:r w:rsidRPr="006D4322">
        <w:rPr>
          <w:rFonts w:ascii="Candara" w:eastAsia="Candara" w:hAnsi="Candara" w:cs="Candara"/>
        </w:rPr>
        <w:t>aprīlī Ministru kabinetā tika izskatīts IZM izstrādātais</w:t>
      </w:r>
      <w:r w:rsidRPr="00442B76">
        <w:rPr>
          <w:rFonts w:ascii="Candara" w:eastAsia="Candara" w:hAnsi="Candara" w:cs="Candara"/>
        </w:rPr>
        <w:t xml:space="preserve"> informatīv</w:t>
      </w:r>
      <w:r>
        <w:rPr>
          <w:rFonts w:ascii="Candara" w:eastAsia="Candara" w:hAnsi="Candara" w:cs="Candara"/>
        </w:rPr>
        <w:t>ais ziņojums</w:t>
      </w:r>
      <w:r w:rsidRPr="00442B76">
        <w:rPr>
          <w:rFonts w:ascii="Candara" w:eastAsia="Candara" w:hAnsi="Candara" w:cs="Candara"/>
        </w:rPr>
        <w:t xml:space="preserve"> “Par Latvijas dalību Eiropas pētniecības infrastruktūru stratēģiskā foruma Eiropas pētniecības infrastruktūru Ceļa kartes konsorcijos”</w:t>
      </w:r>
      <w:r>
        <w:rPr>
          <w:rFonts w:ascii="Candara" w:eastAsia="Candara" w:hAnsi="Candara" w:cs="Candara"/>
        </w:rPr>
        <w:t>, ar kuru</w:t>
      </w:r>
      <w:r w:rsidRPr="00442B76">
        <w:rPr>
          <w:rFonts w:ascii="Candara" w:eastAsia="Candara" w:hAnsi="Candara" w:cs="Candara"/>
        </w:rPr>
        <w:t xml:space="preserve"> Latvija </w:t>
      </w:r>
      <w:r>
        <w:rPr>
          <w:rFonts w:ascii="Candara" w:eastAsia="Candara" w:hAnsi="Candara" w:cs="Candara"/>
        </w:rPr>
        <w:t>uzņēmās</w:t>
      </w:r>
      <w:r w:rsidRPr="00442B76">
        <w:rPr>
          <w:rFonts w:ascii="Candara" w:eastAsia="Candara" w:hAnsi="Candara" w:cs="Candara"/>
        </w:rPr>
        <w:t xml:space="preserve"> nodrošināt dalību Eiropas Pētniecības </w:t>
      </w:r>
      <w:r w:rsidR="009E6743">
        <w:rPr>
          <w:rFonts w:ascii="Candara" w:eastAsia="Candara" w:hAnsi="Candara" w:cs="Candara"/>
        </w:rPr>
        <w:t>infrastruktūras</w:t>
      </w:r>
      <w:r w:rsidRPr="00442B76">
        <w:rPr>
          <w:rFonts w:ascii="Candara" w:eastAsia="Candara" w:hAnsi="Candara" w:cs="Candara"/>
        </w:rPr>
        <w:t xml:space="preserve"> konsorcijos (turpmāk - ERIC) un pētniecības infrastruktūras platformās, kuras ir  ERIC tapšanas procesā. Informatīvajā ziņojumā Latvijas dalība minētajos ERIC un topošajos ERIC izriet no Latvijas Zinātņu akadēmijas 2013. gada pētījuma “Latvijas zinātnisko institūciju kapacitāte un nepieciešamība dalībai ESFRI Eiropas Pētniecības infrastruktūrās. Situācijas novērtējums un rekomendācijas”. Katrā ERIC, kurā Latvija iestājas, ir veidojama  attiecīga Latvijas nacionālā partnerība – nacionālais konsorcijs (</w:t>
      </w:r>
      <w:r w:rsidR="00746067">
        <w:rPr>
          <w:rFonts w:ascii="Candara" w:eastAsia="Candara" w:hAnsi="Candara" w:cs="Candara"/>
        </w:rPr>
        <w:t xml:space="preserve">tiks </w:t>
      </w:r>
      <w:r w:rsidRPr="00442B76">
        <w:rPr>
          <w:rFonts w:ascii="Candara" w:eastAsia="Candara" w:hAnsi="Candara" w:cs="Candara"/>
        </w:rPr>
        <w:t>izveidota uz partnerības līguma pamata) ar noteiktiem mērķiem, uzdevumiem, plānu un finansējuma sadalījumu, ievērojot RIS3 jomas, attiecīgā ERIC darba plānu un  Latvijas Nacionālās partnerības plānu. Pamatojoties uz 26.05.2015. MK noteikumiem Nr.259 “Atbalsta piešķiršanas kārtība dalībai starptautiskās sadarbības programmās pētniecības un tehnoloģiju jomā” no valsts budžeta apakšprogrammas 70.06.00 “Dalība Eiropas Savienības pētniecības un tehnoloģiju attīstības programmās” tiek segti izdevumi Latvijas valsts dalības maksai konsorcijā, bet netiek segtas nacionālo konsorciju administrēšanas izmaksas, kuras ir nepieciešamas, lai pilnvērtīgi iesaistītos starptautiskajos konsorcijos – šim mērķim plānots paredzēt līdzfinansējumu 1.1.1.5. pasākuma</w:t>
      </w:r>
      <w:r w:rsidR="00746067">
        <w:rPr>
          <w:rFonts w:ascii="Candara" w:eastAsia="Candara" w:hAnsi="Candara" w:cs="Candara"/>
        </w:rPr>
        <w:t xml:space="preserve"> “Atbalsts starptautiskās sadarbības projektiem pētniecībā un inovācijās”</w:t>
      </w:r>
      <w:r w:rsidRPr="00442B76">
        <w:rPr>
          <w:rFonts w:ascii="Candara" w:eastAsia="Candara" w:hAnsi="Candara" w:cs="Candara"/>
        </w:rPr>
        <w:t xml:space="preserve"> ietvaros. 2018. gadā ir plānots pārskatīt Latvijas dalību ESFRI konsorcijos.</w:t>
      </w:r>
      <w:r w:rsidRPr="00442B76">
        <w:rPr>
          <w:rFonts w:ascii="Candara" w:eastAsia="Candara" w:hAnsi="Candara" w:cs="Candara"/>
        </w:rPr>
        <w:tab/>
      </w:r>
    </w:p>
    <w:p w:rsidR="00746067" w:rsidRPr="00516C5D" w:rsidP="009F2C2C" w14:paraId="70C43DE8" w14:textId="77777777">
      <w:pPr>
        <w:spacing w:line="240" w:lineRule="auto"/>
        <w:ind w:firstLine="426"/>
        <w:jc w:val="both"/>
        <w:rPr>
          <w:rFonts w:ascii="Candara" w:eastAsia="Candara" w:hAnsi="Candara" w:cs="Candara"/>
        </w:rPr>
      </w:pPr>
      <w:r>
        <w:rPr>
          <w:rFonts w:ascii="Candara" w:eastAsia="Candara" w:hAnsi="Candara" w:cs="Candara"/>
          <w:b/>
        </w:rPr>
        <w:t>“Tehnoloģiju un inovāciju</w:t>
      </w:r>
      <w:r w:rsidRPr="00516C5D">
        <w:rPr>
          <w:rFonts w:ascii="Candara" w:eastAsia="Candara" w:hAnsi="Candara" w:cs="Candara"/>
          <w:b/>
        </w:rPr>
        <w:t xml:space="preserve"> aģentūras</w:t>
      </w:r>
      <w:r>
        <w:rPr>
          <w:rFonts w:ascii="Candara" w:eastAsia="Candara" w:hAnsi="Candara" w:cs="Candara"/>
          <w:b/>
        </w:rPr>
        <w:t>” izveide</w:t>
      </w:r>
      <w:r w:rsidRPr="00516C5D">
        <w:rPr>
          <w:rFonts w:ascii="Candara" w:eastAsia="Candara" w:hAnsi="Candara" w:cs="Candara"/>
          <w:b/>
        </w:rPr>
        <w:t>.</w:t>
      </w:r>
      <w:r w:rsidRPr="00516C5D">
        <w:rPr>
          <w:rFonts w:ascii="Candara" w:eastAsia="Candara" w:hAnsi="Candara" w:cs="Candara"/>
        </w:rPr>
        <w:t xml:space="preserve"> Kopš 2016.gada aprīļa paplašinātas LIAA funkcijas (grozījumi MK noteikumos Nr.857 “Latvijas Investīciju un attīstības aģentūras nolikums”), ar nolūku veidot LIAA par inovācijas un tehnoloģiju attīstības atbalsta aģentūru. Veicot grozījumus LIAA nolikumā, tika paplašināts LIAA darbības mērķis, nosakot, ka tā sekmē Latvijas uzņēmumu konkurētspēju un eksportspēju starptautiskajos tirgos, veicina ārvalstu investīciju apjoma pieaugumu, īsteno tūrisma attīstības valsts politiku un valsts politiku inovācijas jomā. Vienlaikus noteikts, ka LIAA īsteno papildus funkcijas un uzdevumus inovācijas un tehnoloģiju jomā, precīzāk:</w:t>
      </w:r>
    </w:p>
    <w:p w:rsidR="00746067" w:rsidRPr="00516C5D" w:rsidP="00746067" w14:paraId="3387E65E" w14:textId="77777777">
      <w:pPr>
        <w:widowControl w:val="0"/>
        <w:numPr>
          <w:ilvl w:val="0"/>
          <w:numId w:val="12"/>
        </w:numPr>
        <w:spacing w:line="240" w:lineRule="auto"/>
        <w:ind w:hanging="360"/>
        <w:contextualSpacing/>
        <w:jc w:val="both"/>
        <w:rPr>
          <w:rFonts w:ascii="Candara" w:eastAsia="Candara" w:hAnsi="Candara" w:cs="Candara"/>
        </w:rPr>
      </w:pPr>
      <w:r w:rsidRPr="00516C5D">
        <w:rPr>
          <w:rFonts w:ascii="Candara" w:eastAsia="Candara" w:hAnsi="Candara" w:cs="Candara"/>
        </w:rPr>
        <w:t>veicina uzņēmējdarbības uzsākšanu un attīstību, inovācijas un tehnoloģiju pārnesi;</w:t>
      </w:r>
    </w:p>
    <w:p w:rsidR="00746067" w:rsidRPr="00516C5D" w:rsidP="00746067" w14:paraId="7F9D6C00" w14:textId="77777777">
      <w:pPr>
        <w:widowControl w:val="0"/>
        <w:numPr>
          <w:ilvl w:val="0"/>
          <w:numId w:val="12"/>
        </w:numPr>
        <w:spacing w:line="240" w:lineRule="auto"/>
        <w:ind w:hanging="360"/>
        <w:contextualSpacing/>
        <w:jc w:val="both"/>
        <w:rPr>
          <w:rFonts w:ascii="Candara" w:eastAsia="Candara" w:hAnsi="Candara" w:cs="Candara"/>
        </w:rPr>
      </w:pPr>
      <w:r w:rsidRPr="00516C5D">
        <w:rPr>
          <w:rFonts w:ascii="Candara" w:eastAsia="Candara" w:hAnsi="Candara" w:cs="Candara"/>
        </w:rPr>
        <w:t>sekmē inovatīvu uzņēmējdarbību, t.sk. sekmējot sadarbību starp pētniecības un uzņēmējdarbības sektoriem.</w:t>
      </w:r>
    </w:p>
    <w:p w:rsidR="009E6743" w:rsidRPr="00516C5D" w:rsidP="00746067" w14:paraId="5545439F" w14:textId="77777777">
      <w:pPr>
        <w:spacing w:line="240" w:lineRule="auto"/>
        <w:jc w:val="both"/>
        <w:rPr>
          <w:rFonts w:ascii="Candara" w:eastAsia="Candara" w:hAnsi="Candara" w:cs="Candara"/>
        </w:rPr>
      </w:pPr>
      <w:r w:rsidRPr="00516C5D">
        <w:rPr>
          <w:rFonts w:ascii="Candara" w:eastAsia="Candara" w:hAnsi="Candara" w:cs="Candara"/>
        </w:rPr>
        <w:t xml:space="preserve">Pakāpeniski paaugstinot LIAA kapacitāti, paredzēts to attīstīt par vienas pieturas </w:t>
      </w:r>
      <w:r w:rsidRPr="00822D84">
        <w:rPr>
          <w:rFonts w:ascii="Candara" w:eastAsia="Candara" w:hAnsi="Candara" w:cs="Candara"/>
        </w:rPr>
        <w:t>aģentūru (</w:t>
      </w:r>
      <w:r>
        <w:rPr>
          <w:rFonts w:ascii="Candara" w:eastAsia="Candara" w:hAnsi="Candara" w:cs="Candara"/>
        </w:rPr>
        <w:t>57</w:t>
      </w:r>
      <w:r w:rsidRPr="00822D84">
        <w:rPr>
          <w:rFonts w:ascii="Candara" w:eastAsia="Candara" w:hAnsi="Candara" w:cs="Candara"/>
        </w:rPr>
        <w:t xml:space="preserve">.attēls), </w:t>
      </w:r>
      <w:r w:rsidRPr="00516C5D">
        <w:rPr>
          <w:rFonts w:ascii="Candara" w:eastAsia="Candara" w:hAnsi="Candara" w:cs="Candara"/>
        </w:rPr>
        <w:t>kas ne tikai sekmē Latvijas uzņēmumu konkurētspēju un eksportspēju starptautiskajos tirgos, veicina ārvalstu investīciju piesaisti un īsteno tūrisma attīstības valsts politiku, bet arī ir atbildīga par valsts politikas īstenošanu inovācijas un tehnoloģiju attīstības jomā, vienlaikus nodrošinot visplašāko k</w:t>
      </w:r>
      <w:r w:rsidR="006D4322">
        <w:rPr>
          <w:rFonts w:ascii="Candara" w:eastAsia="Candara" w:hAnsi="Candara" w:cs="Candara"/>
        </w:rPr>
        <w:t>onsultatīvo atbalstu uzņēmējiem.</w:t>
      </w:r>
    </w:p>
    <w:p w:rsidR="00746067" w:rsidRPr="00A470B5" w:rsidP="00746067" w14:paraId="5D3FFBE8" w14:textId="77777777">
      <w:pPr>
        <w:spacing w:after="0" w:line="240" w:lineRule="auto"/>
        <w:jc w:val="center"/>
        <w:rPr>
          <w:rFonts w:ascii="Candara" w:eastAsia="Times New Roman" w:hAnsi="Candara" w:cs="Arial"/>
          <w:b/>
        </w:rPr>
      </w:pPr>
      <w:r>
        <w:rPr>
          <w:rFonts w:ascii="Candara" w:eastAsia="Times New Roman" w:hAnsi="Candara" w:cs="Arial"/>
          <w:b/>
        </w:rPr>
        <w:t>57</w:t>
      </w:r>
      <w:r w:rsidRPr="00822D84">
        <w:rPr>
          <w:rFonts w:ascii="Candara" w:eastAsia="Times New Roman" w:hAnsi="Candara" w:cs="Arial"/>
          <w:b/>
        </w:rPr>
        <w:t xml:space="preserve">.attēls. </w:t>
      </w:r>
      <w:r>
        <w:rPr>
          <w:rFonts w:ascii="Candara" w:eastAsia="Times New Roman" w:hAnsi="Candara" w:cs="Arial"/>
          <w:b/>
        </w:rPr>
        <w:t>Latvijas Investīciju un attīstības aģentūras darbības virzieni</w:t>
      </w:r>
    </w:p>
    <w:p w:rsidR="00746067" w:rsidRPr="00516C5D" w:rsidP="00746067" w14:paraId="7AAFE89E" w14:textId="77777777">
      <w:pPr>
        <w:spacing w:line="240" w:lineRule="auto"/>
        <w:jc w:val="center"/>
        <w:rPr>
          <w:rFonts w:ascii="Candara" w:eastAsia="Candara" w:hAnsi="Candara" w:cs="Candara"/>
        </w:rPr>
      </w:pPr>
      <w:r w:rsidRPr="007030FD">
        <w:rPr>
          <w:rFonts w:ascii="Candara" w:eastAsia="Candara" w:hAnsi="Candara" w:cs="Candara"/>
          <w:noProof/>
          <w:lang w:eastAsia="lv-LV"/>
        </w:rPr>
        <w:drawing>
          <wp:inline distT="0" distB="0" distL="0" distR="0">
            <wp:extent cx="3619500" cy="2212483"/>
            <wp:effectExtent l="0" t="0" r="0" b="0"/>
            <wp:docPr id="47" name="Picture 47" descr="C:\Users\JansonsM2\Desktop\L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44172" name="Picture 1" descr="C:\Users\JansonsM2\Desktop\LIAA.JPG"/>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49005" cy="2230518"/>
                    </a:xfrm>
                    <a:prstGeom prst="rect">
                      <a:avLst/>
                    </a:prstGeom>
                    <a:noFill/>
                    <a:ln>
                      <a:noFill/>
                    </a:ln>
                  </pic:spPr>
                </pic:pic>
              </a:graphicData>
            </a:graphic>
          </wp:inline>
        </w:drawing>
      </w:r>
    </w:p>
    <w:p w:rsidR="00746067" w:rsidRPr="00746067" w:rsidP="009F2C2C" w14:paraId="497BE079" w14:textId="77777777">
      <w:pPr>
        <w:spacing w:line="240" w:lineRule="auto"/>
        <w:ind w:firstLine="426"/>
        <w:jc w:val="both"/>
        <w:rPr>
          <w:rFonts w:ascii="Candara" w:eastAsia="Candara" w:hAnsi="Candara" w:cs="Candara"/>
        </w:rPr>
      </w:pPr>
      <w:r w:rsidRPr="00442B76">
        <w:rPr>
          <w:rFonts w:ascii="Candara" w:eastAsia="Candara" w:hAnsi="Candara" w:cs="Candara"/>
          <w:b/>
        </w:rPr>
        <w:t xml:space="preserve">AII pārvaldības izvērtējums. </w:t>
      </w:r>
      <w:r w:rsidR="003761F5">
        <w:rPr>
          <w:rFonts w:ascii="Candara" w:eastAsia="Candara" w:hAnsi="Candara" w:cs="Candara"/>
        </w:rPr>
        <w:t>2016.</w:t>
      </w:r>
      <w:r w:rsidRPr="00442B76">
        <w:rPr>
          <w:rFonts w:ascii="Candara" w:eastAsia="Candara" w:hAnsi="Candara" w:cs="Candara"/>
        </w:rPr>
        <w:t>gada maijā tika noslēgts līgums ar Pasaules banku, kas paredz izvērtēt iekšējās finansēšanas modeļus, iekšējās pārvaldības pasākumus un cilvēkresursu politiku Latvijas valsts dibinātajās AII. Pētījum</w:t>
      </w:r>
      <w:r w:rsidR="003761F5">
        <w:rPr>
          <w:rFonts w:ascii="Candara" w:eastAsia="Candara" w:hAnsi="Candara" w:cs="Candara"/>
        </w:rPr>
        <w:t>a projekta pirmajā posmā (2016.gada maijs – 2017.</w:t>
      </w:r>
      <w:r w:rsidRPr="00442B76">
        <w:rPr>
          <w:rFonts w:ascii="Candara" w:eastAsia="Candara" w:hAnsi="Candara" w:cs="Candara"/>
        </w:rPr>
        <w:t>gada aprīlis) tika izvērtēta Latvijas AII iekšējā finansēšana un pārvaldīb</w:t>
      </w:r>
      <w:r w:rsidR="003761F5">
        <w:rPr>
          <w:rFonts w:ascii="Candara" w:eastAsia="Candara" w:hAnsi="Candara" w:cs="Candara"/>
        </w:rPr>
        <w:t>a. Pētījuma otrais posms (2017.gada maijs – 2018.</w:t>
      </w:r>
      <w:r w:rsidRPr="00442B76">
        <w:rPr>
          <w:rFonts w:ascii="Candara" w:eastAsia="Candara" w:hAnsi="Candara" w:cs="Candara"/>
        </w:rPr>
        <w:t>gada aprīlis) veltīts doktorantūras, akadēmiskā personāla atlases, ievēlēšanas un atalgošanas procesu izvērtējumam Latvijas AII. Jau pētījuma pirmajā posmā tika sagatavots starpziņojums par doktora līmeņa studijām un promocijas sistēmu Latvijā. Starpziņojuma pirmajā daļā sniegts kopsavilkums par galvenajām tendencēm doktorantūras jomā Eiropā, otrā daļa vērsta uz pašreizējo situāciju doktorantūras jomā Latvijā, kas ir analizēta, ņemot vērā pirmajā ziņojuma daļā aprakstīto starptautisko praksi. Trešajā ziņojuma daļā sniegti konkrēti ieteikumi, kā uzlabot doktorantūru Latvijā. Ar minēto ziņojumu tiek aizsākta diskusija par doktorantūru un promocijas sistēmu Latvijā, kas tiks padziļināti turpināta pētījuma otrajā posmā.</w:t>
      </w:r>
      <w:r>
        <w:rPr>
          <w:rFonts w:ascii="Candara" w:eastAsia="Candara" w:hAnsi="Candara" w:cs="Candara"/>
        </w:rPr>
        <w:t xml:space="preserve"> Pētījuma ietvaros veiktā analīze un sniegtās rekomendācijas tiks iestrādātas ES struktūrfondu augstākās izglītības investīciju specifiskā atbalsta mērķos, kas paredz ieguldījumus a</w:t>
      </w:r>
      <w:r w:rsidRPr="00746067">
        <w:rPr>
          <w:rFonts w:ascii="Candara" w:eastAsia="Candara" w:hAnsi="Candara" w:cs="Candara"/>
        </w:rPr>
        <w:t xml:space="preserve">ugstākās izglītības kvalitātes, efektivitātes un </w:t>
      </w:r>
      <w:r>
        <w:rPr>
          <w:rFonts w:ascii="Candara" w:eastAsia="Candara" w:hAnsi="Candara" w:cs="Candara"/>
        </w:rPr>
        <w:t xml:space="preserve">pieejamības uzlabošanā. </w:t>
      </w:r>
    </w:p>
    <w:p w:rsidR="006F24AE" w:rsidRPr="006A67BB" w:rsidP="009F2C2C" w14:paraId="305F4B2A" w14:textId="77777777">
      <w:pPr>
        <w:spacing w:line="240" w:lineRule="auto"/>
        <w:ind w:firstLine="426"/>
        <w:jc w:val="both"/>
        <w:rPr>
          <w:rFonts w:ascii="Candara" w:eastAsia="Candara" w:hAnsi="Candara" w:cs="Candara"/>
        </w:rPr>
      </w:pPr>
      <w:r w:rsidRPr="006A67BB">
        <w:rPr>
          <w:rFonts w:ascii="Candara" w:eastAsia="Candara" w:hAnsi="Candara" w:cs="Candara"/>
          <w:b/>
        </w:rPr>
        <w:t>Saprašanās memorands starp Ekonomikas ministriju un kopbraukšanas nozares uzņēmumu pārstāvjiem.</w:t>
      </w:r>
      <w:r>
        <w:rPr>
          <w:rFonts w:ascii="Candara" w:eastAsia="Candara" w:hAnsi="Candara" w:cs="Candara"/>
        </w:rPr>
        <w:t xml:space="preserve"> </w:t>
      </w:r>
      <w:r w:rsidRPr="006A67BB">
        <w:rPr>
          <w:rFonts w:ascii="Candara" w:eastAsia="Candara" w:hAnsi="Candara" w:cs="Candara"/>
        </w:rPr>
        <w:t xml:space="preserve">Ekonomikas ministrijā </w:t>
      </w:r>
      <w:r>
        <w:rPr>
          <w:rFonts w:ascii="Candara" w:eastAsia="Candara" w:hAnsi="Candara" w:cs="Candara"/>
        </w:rPr>
        <w:t xml:space="preserve">2016.gada 29.jūnijā tika </w:t>
      </w:r>
      <w:r w:rsidRPr="006A67BB">
        <w:rPr>
          <w:rFonts w:ascii="Candara" w:eastAsia="Candara" w:hAnsi="Candara" w:cs="Candara"/>
        </w:rPr>
        <w:t xml:space="preserve">parakstīts sapratnes memorands starp ekonomikas ministru un kopbraukšanas nozares uzņēmumu pārstāvjiem </w:t>
      </w:r>
      <w:r>
        <w:rPr>
          <w:rFonts w:ascii="Candara" w:eastAsia="Candara" w:hAnsi="Candara" w:cs="Candara"/>
        </w:rPr>
        <w:t>(</w:t>
      </w:r>
      <w:r w:rsidRPr="006A67BB">
        <w:rPr>
          <w:rFonts w:ascii="Candara" w:eastAsia="Candara" w:hAnsi="Candara" w:cs="Candara"/>
        </w:rPr>
        <w:t xml:space="preserve">“Uber” Baltijas valstu vadītāju </w:t>
      </w:r>
      <w:r>
        <w:rPr>
          <w:rFonts w:ascii="Candara" w:eastAsia="Candara" w:hAnsi="Candara" w:cs="Candara"/>
        </w:rPr>
        <w:t>un “Taxify” reģionālo vadītāju)</w:t>
      </w:r>
      <w:r w:rsidRPr="006A67BB">
        <w:rPr>
          <w:rFonts w:ascii="Candara" w:eastAsia="Candara" w:hAnsi="Candara" w:cs="Candara"/>
        </w:rPr>
        <w:t>.</w:t>
      </w:r>
      <w:r>
        <w:rPr>
          <w:rFonts w:ascii="Candara" w:eastAsia="Candara" w:hAnsi="Candara" w:cs="Candara"/>
        </w:rPr>
        <w:t xml:space="preserve"> Sapratnes memoranda mērķis ir nostiprināt</w:t>
      </w:r>
      <w:r w:rsidRPr="006A67BB">
        <w:rPr>
          <w:rFonts w:ascii="Candara" w:eastAsia="Candara" w:hAnsi="Candara" w:cs="Candara"/>
        </w:rPr>
        <w:t xml:space="preserve"> </w:t>
      </w:r>
      <w:r>
        <w:rPr>
          <w:rFonts w:ascii="Candara" w:eastAsia="Candara" w:hAnsi="Candara" w:cs="Candara"/>
        </w:rPr>
        <w:t>sadarbību</w:t>
      </w:r>
      <w:r w:rsidRPr="006A67BB">
        <w:rPr>
          <w:rFonts w:ascii="Candara" w:eastAsia="Candara" w:hAnsi="Candara" w:cs="Candara"/>
        </w:rPr>
        <w:t xml:space="preserve"> jau uzsāktajā pušu dialogā par augošo globālo pieprasījumu pēc dalīšanās ekonomikas platformām un kopbraukšanas pakalpojumu sniedzējiem un to vietu Latvijas ekonomikā. Parakstītais memorands kalpos par pamatu </w:t>
      </w:r>
      <w:r>
        <w:rPr>
          <w:rFonts w:ascii="Candara" w:eastAsia="Candara" w:hAnsi="Candara" w:cs="Candara"/>
        </w:rPr>
        <w:t>konstruktīvam dialogam</w:t>
      </w:r>
      <w:r w:rsidRPr="006A67BB">
        <w:rPr>
          <w:rFonts w:ascii="Candara" w:eastAsia="Candara" w:hAnsi="Candara" w:cs="Candara"/>
        </w:rPr>
        <w:t xml:space="preserve"> par kopbraukšanas nozares pārstāvju iekļaušanu Latvijas transporta pakalpojumu tirgus piedāvājumā un to darbības tiesisko regulējumu.</w:t>
      </w:r>
    </w:p>
    <w:p w:rsidR="006F24AE" w:rsidP="009F2C2C" w14:paraId="52D34F7E" w14:textId="77777777">
      <w:pPr>
        <w:spacing w:line="240" w:lineRule="auto"/>
        <w:ind w:firstLine="426"/>
        <w:jc w:val="both"/>
        <w:rPr>
          <w:rFonts w:ascii="Candara" w:eastAsia="Candara" w:hAnsi="Candara" w:cs="Candara"/>
        </w:rPr>
      </w:pPr>
      <w:r w:rsidRPr="006A67BB">
        <w:rPr>
          <w:rFonts w:ascii="Candara" w:eastAsia="Candara" w:hAnsi="Candara" w:cs="Candara"/>
          <w:b/>
        </w:rPr>
        <w:t>Konceptuālais ziņojums par uzņēmējdarbības uzsākšanas un mazās uzņēmējdarbības ekosistēmu.</w:t>
      </w:r>
      <w:r w:rsidRPr="006A67BB">
        <w:rPr>
          <w:rFonts w:ascii="Candara" w:eastAsia="Candara" w:hAnsi="Candara" w:cs="Candara"/>
        </w:rPr>
        <w:t xml:space="preserve"> 2016.gada 29.septembrī MK apstiprināja Ekonomikas ministrijas sagatavoto konceptuālo ziņojumu par uzņēmējdarbības uzsākšanas un mazās uzņēmējdarbības ekosistēmu, tostarp nepi</w:t>
      </w:r>
      <w:r>
        <w:rPr>
          <w:rFonts w:ascii="Candara" w:eastAsia="Candara" w:hAnsi="Candara" w:cs="Candara"/>
        </w:rPr>
        <w:t xml:space="preserve">eciešamajiem atbalsta stimuliem. </w:t>
      </w:r>
      <w:r w:rsidRPr="006A67BB">
        <w:rPr>
          <w:rFonts w:ascii="Candara" w:eastAsia="Candara" w:hAnsi="Candara" w:cs="Candara"/>
        </w:rPr>
        <w:t>Ziņojumā</w:t>
      </w:r>
      <w:r>
        <w:rPr>
          <w:rFonts w:ascii="Candara" w:eastAsia="Candara" w:hAnsi="Candara" w:cs="Candara"/>
        </w:rPr>
        <w:t xml:space="preserve"> tika</w:t>
      </w:r>
      <w:r w:rsidRPr="006A67BB">
        <w:rPr>
          <w:rFonts w:ascii="Candara" w:eastAsia="Candara" w:hAnsi="Candara" w:cs="Candara"/>
        </w:rPr>
        <w:t xml:space="preserve"> analizēti vairāki iespējamie rīcības modeļi, kā radīt uzņēmējdarbības uzsācējiem un maziem uzņēmumiem labvēl</w:t>
      </w:r>
      <w:r>
        <w:rPr>
          <w:rFonts w:ascii="Candara" w:eastAsia="Candara" w:hAnsi="Candara" w:cs="Candara"/>
        </w:rPr>
        <w:t xml:space="preserve">īgāku nodokļu un tiesisko vidi. </w:t>
      </w:r>
      <w:r w:rsidRPr="006A67BB">
        <w:rPr>
          <w:rFonts w:ascii="Candara" w:eastAsia="Candara" w:hAnsi="Candara" w:cs="Candara"/>
        </w:rPr>
        <w:t>Konceptuālais ziņojums galvenokārt paredzēja atbalstu trīs veida uzņēmējdarbības formām – (1.) dzīvesstila uzņēmumiem ar ierobežotām izaugsmes iespējām, (2.) augsta riska uzņēmējdarbības uzsācējiem augsto tehnoloģiju nozarēs, un (3.) uzņēmējdarbības uzsācējiem ar prognozējamu pakāpenisku izaugsmi. Būtiskākie ierosinātie atbalsta soļi ziņojumā bija saistīti ar nodokļu režīmu – MK lēma, ka no 2017.gada 1.janvāra jāizveido īpašs atbalsta modelis strauji augošiem tehnoloģiju uzņēmumiem (start-up) jeb jaunuzņēmumiem.</w:t>
      </w:r>
    </w:p>
    <w:p w:rsidR="00520636" w:rsidRPr="00E060A1" w:rsidP="009F2C2C" w14:paraId="0F9D6852" w14:textId="77777777">
      <w:pPr>
        <w:spacing w:line="240" w:lineRule="auto"/>
        <w:ind w:firstLine="426"/>
        <w:jc w:val="both"/>
        <w:rPr>
          <w:rFonts w:ascii="Candara" w:eastAsia="Candara" w:hAnsi="Candara" w:cs="Candara"/>
        </w:rPr>
      </w:pPr>
      <w:r w:rsidRPr="00442B76">
        <w:rPr>
          <w:rFonts w:ascii="Candara" w:eastAsia="Candara" w:hAnsi="Candara" w:cs="Candara"/>
          <w:b/>
        </w:rPr>
        <w:t xml:space="preserve">Sadarbības līgums ar CERN. </w:t>
      </w:r>
      <w:r w:rsidR="003761F5">
        <w:rPr>
          <w:rFonts w:ascii="Candara" w:eastAsia="Candara" w:hAnsi="Candara" w:cs="Candara"/>
        </w:rPr>
        <w:t>2016.gada 31.</w:t>
      </w:r>
      <w:r>
        <w:rPr>
          <w:rFonts w:ascii="Candara" w:eastAsia="Candara" w:hAnsi="Candara" w:cs="Candara"/>
        </w:rPr>
        <w:t>oktobrī</w:t>
      </w:r>
      <w:r w:rsidRPr="00442B76">
        <w:rPr>
          <w:rFonts w:ascii="Candara" w:eastAsia="Candara" w:hAnsi="Candara" w:cs="Candara"/>
        </w:rPr>
        <w:t xml:space="preserve">  ir noslēgts sadarbības līgums starp Eiropas Kodolpētniecības organizācijas (CERN) un Latvijas Republikas valdību par zinātnisko un tehnisko sadarbību elementārdaļiņu fizikā. Paredzēts, ka Nacionālais kontaktpunkts indikatīvi īstenos šādas </w:t>
      </w:r>
      <w:r w:rsidRPr="00442B76">
        <w:rPr>
          <w:rFonts w:ascii="Candara" w:eastAsia="Candara" w:hAnsi="Candara" w:cs="Candara"/>
        </w:rPr>
        <w:t>funkcijas: koordinēs Latvijas pārstāvju dalību CERN rīkotajos pasākumos, kā arī CERN pārstāvju vizītes Latvijā, veicinās Latvijas pētnieku sadarbību ar CERN, nodrošinās komunikācijas kampaņu par Latvijas sadarbību ar CERN, nodrošinās kontaktu dibināšanu un informācijas apmaiņu starp CERN un Latvijas zinātniskajām institūcijām u.c.</w:t>
      </w:r>
    </w:p>
    <w:p w:rsidR="00EB534C" w:rsidRPr="00442B76" w:rsidP="009F2C2C" w14:paraId="24B7D993" w14:textId="77777777">
      <w:pPr>
        <w:spacing w:line="240" w:lineRule="auto"/>
        <w:ind w:firstLine="426"/>
        <w:jc w:val="both"/>
        <w:rPr>
          <w:rFonts w:ascii="Candara" w:eastAsia="Candara" w:hAnsi="Candara" w:cs="Candara"/>
        </w:rPr>
      </w:pPr>
      <w:r w:rsidRPr="00442B76">
        <w:rPr>
          <w:rFonts w:ascii="Candara" w:eastAsia="Candara" w:hAnsi="Candara" w:cs="Candara"/>
          <w:b/>
        </w:rPr>
        <w:t>Grozījumi Zinātniskās darbības likumā.</w:t>
      </w:r>
      <w:r w:rsidRPr="00442B76">
        <w:rPr>
          <w:rFonts w:ascii="Candara" w:eastAsia="Candara" w:hAnsi="Candara" w:cs="Candara"/>
          <w:b/>
        </w:rPr>
        <w:t xml:space="preserve"> </w:t>
      </w:r>
      <w:r w:rsidRPr="00442B76">
        <w:rPr>
          <w:rFonts w:ascii="Candara" w:eastAsia="Candara" w:hAnsi="Candara" w:cs="Candara"/>
        </w:rPr>
        <w:t xml:space="preserve">2016.gada 8.decembrī tika pieņemti grozījumi Zinātniskās darbības likumā, </w:t>
      </w:r>
      <w:r w:rsidRPr="00442B76" w:rsidR="00AA4E91">
        <w:rPr>
          <w:rFonts w:ascii="Candara" w:eastAsia="Candara" w:hAnsi="Candara" w:cs="Candara"/>
        </w:rPr>
        <w:t>kur</w:t>
      </w:r>
      <w:r w:rsidR="00AA4E91">
        <w:rPr>
          <w:rFonts w:ascii="Candara" w:eastAsia="Candara" w:hAnsi="Candara" w:cs="Candara"/>
        </w:rPr>
        <w:t>i</w:t>
      </w:r>
      <w:r w:rsidRPr="00442B76" w:rsidR="00AA4E91">
        <w:rPr>
          <w:rFonts w:ascii="Candara" w:eastAsia="Candara" w:hAnsi="Candara" w:cs="Candara"/>
        </w:rPr>
        <w:t xml:space="preserve"> </w:t>
      </w:r>
      <w:r w:rsidRPr="00442B76">
        <w:rPr>
          <w:rFonts w:ascii="Candara" w:eastAsia="Candara" w:hAnsi="Candara" w:cs="Candara"/>
        </w:rPr>
        <w:t>nosaka Nacionālās zinātniskās darbības informācijas sistēmas (NZDIS) darbību kā valsts informācijas sistēmu, kurā apkopo ziņas par zinātnisko institūciju veikto zinātnisko darbību un tajā iesaistītajām personām. NZDIS ietver - 1) zinātnisko institūciju reģistru; 2)</w:t>
      </w:r>
      <w:r w:rsidR="00AA4E91">
        <w:rPr>
          <w:rFonts w:ascii="Candara" w:eastAsia="Candara" w:hAnsi="Candara" w:cs="Candara"/>
        </w:rPr>
        <w:t> </w:t>
      </w:r>
      <w:r w:rsidRPr="00442B76">
        <w:rPr>
          <w:rFonts w:ascii="Candara" w:eastAsia="Candara" w:hAnsi="Candara" w:cs="Candara"/>
        </w:rPr>
        <w:t>akadēmiskajos amatos ievēlēto personu reģistru; 3) Latvijas Zinātnes padomes ekspertu datubāzi; 4) zinātniskās darbības projektu datubāzi; 5) zinātniskās darbības rezultātu datubāzi; 6)</w:t>
      </w:r>
      <w:r w:rsidR="00AA4E91">
        <w:rPr>
          <w:rFonts w:ascii="Candara" w:eastAsia="Candara" w:hAnsi="Candara" w:cs="Candara"/>
        </w:rPr>
        <w:t> </w:t>
      </w:r>
      <w:r w:rsidRPr="00442B76">
        <w:rPr>
          <w:rFonts w:ascii="Candara" w:eastAsia="Candara" w:hAnsi="Candara" w:cs="Candara"/>
        </w:rPr>
        <w:t>zinātnisko institūciju zinātniskās darbības pārskatus; 7) zinātnisko institūciju darbības starptautisko novērtējumu datubāzi. Lai nodrošinātu šīs sistēmas darbību</w:t>
      </w:r>
      <w:r w:rsidR="00AA4E91">
        <w:rPr>
          <w:rFonts w:ascii="Candara" w:eastAsia="Candara" w:hAnsi="Candara" w:cs="Candara"/>
        </w:rPr>
        <w:t>,</w:t>
      </w:r>
      <w:r w:rsidRPr="00442B76">
        <w:rPr>
          <w:rFonts w:ascii="Candara" w:eastAsia="Candara" w:hAnsi="Candara" w:cs="Candara"/>
        </w:rPr>
        <w:t xml:space="preserve"> 2017.gadā tiek izstrādāti arī jauni Ministru kabineta noteikumi par šo sistēmu un jauni noteikumi par zinātnisko institūciju reģistrā reģistrētā zinātniskā institūta gada publisko pārskatu (kurš ir NZDIS sastāvdaļa).</w:t>
      </w:r>
    </w:p>
    <w:p w:rsidR="00EB534C" w:rsidRPr="00552465" w:rsidP="009F2C2C" w14:paraId="3C229054" w14:textId="77777777">
      <w:pPr>
        <w:spacing w:line="240" w:lineRule="auto"/>
        <w:ind w:firstLine="426"/>
        <w:jc w:val="both"/>
        <w:rPr>
          <w:rFonts w:ascii="Candara" w:eastAsia="Candara" w:hAnsi="Candara" w:cs="Candara"/>
          <w:b/>
        </w:rPr>
      </w:pPr>
      <w:r w:rsidRPr="00442B76">
        <w:rPr>
          <w:rFonts w:ascii="Candara" w:eastAsia="Candara" w:hAnsi="Candara" w:cs="Candara"/>
          <w:b/>
        </w:rPr>
        <w:t xml:space="preserve">Grozījumi Augstskolu likumā. </w:t>
      </w:r>
      <w:r w:rsidRPr="00442B76">
        <w:rPr>
          <w:rFonts w:ascii="Candara" w:eastAsia="Candara" w:hAnsi="Candara" w:cs="Candara"/>
        </w:rPr>
        <w:t>Augstskolu likuma 46.1</w:t>
      </w:r>
      <w:r w:rsidRPr="00442B76" w:rsidR="00442B76">
        <w:rPr>
          <w:rFonts w:ascii="Candara" w:eastAsia="Candara" w:hAnsi="Candara" w:cs="Candara"/>
        </w:rPr>
        <w:t xml:space="preserve"> </w:t>
      </w:r>
      <w:r w:rsidRPr="00442B76">
        <w:rPr>
          <w:rFonts w:ascii="Candara" w:eastAsia="Candara" w:hAnsi="Candara" w:cs="Candara"/>
        </w:rPr>
        <w:t>pants nosaka Studējošo un absolventu reģistra izveidi un tajā iekļaujamo informācijas apjomu. Šie grozījumi Augstskolu likumā i</w:t>
      </w:r>
      <w:r w:rsidR="003761F5">
        <w:rPr>
          <w:rFonts w:ascii="Candara" w:eastAsia="Candara" w:hAnsi="Candara" w:cs="Candara"/>
        </w:rPr>
        <w:t>r stājušies spēkā 2017.gada 1.</w:t>
      </w:r>
      <w:r w:rsidRPr="00442B76">
        <w:rPr>
          <w:rFonts w:ascii="Candara" w:eastAsia="Candara" w:hAnsi="Candara" w:cs="Candara"/>
        </w:rPr>
        <w:t xml:space="preserve">janvārī. Pamatojoties uz Augstskolu likuma 46.1 pantā noteikto, Studējošo un absolventu reģistrā  iekļauj gan datus par studējošiem, gan nepersonificētus statistikas datus par absolventu nodarbinātību un vidējiem ienākumiem. Tas nodrošinās iespēju noteikt, vai ieguldījumi augstākajā izglītībā atbilst darba tirgus, sabiedrības un tautsaimniecības attīstības prasībām, uzlabojot izglītības politikas plānošanu. Paredzēts, ka nepersonificētus datus par absolventu nodarbinātību,  ienākumiem un bezdarbnieka vai darba meklētāja statusu </w:t>
      </w:r>
      <w:r w:rsidR="00AA4E91">
        <w:rPr>
          <w:rFonts w:ascii="Candara" w:eastAsia="Candara" w:hAnsi="Candara" w:cs="Candara"/>
        </w:rPr>
        <w:t>Valsts izglītības informācijas sistēmā</w:t>
      </w:r>
      <w:r w:rsidRPr="00442B76" w:rsidR="00AA4E91">
        <w:rPr>
          <w:rFonts w:ascii="Candara" w:eastAsia="Candara" w:hAnsi="Candara" w:cs="Candara"/>
        </w:rPr>
        <w:t xml:space="preserve"> </w:t>
      </w:r>
      <w:r w:rsidR="00AA4E91">
        <w:rPr>
          <w:rFonts w:ascii="Candara" w:eastAsia="Candara" w:hAnsi="Candara" w:cs="Candara"/>
        </w:rPr>
        <w:t>ie</w:t>
      </w:r>
      <w:r w:rsidRPr="00442B76">
        <w:rPr>
          <w:rFonts w:ascii="Candara" w:eastAsia="Candara" w:hAnsi="Candara" w:cs="Candara"/>
        </w:rPr>
        <w:t xml:space="preserve">sniegs </w:t>
      </w:r>
      <w:r w:rsidR="00AA4E91">
        <w:rPr>
          <w:rFonts w:ascii="Candara" w:eastAsia="Candara" w:hAnsi="Candara" w:cs="Candara"/>
        </w:rPr>
        <w:t>Valsts ieņēmumu dienests un Nodarbinātības valsts aģentūra</w:t>
      </w:r>
      <w:r w:rsidRPr="00442B76">
        <w:rPr>
          <w:rFonts w:ascii="Candara" w:eastAsia="Candara" w:hAnsi="Candara" w:cs="Candara"/>
        </w:rPr>
        <w:t xml:space="preserve">, izmantojot tai skaitā Centrālās statistikas pārvaldes datu apstrādes risinājumus. Statistikas dati būs publiski pieejami Izglītības un zinātnes ministrijas mājas lapā. Šā gada 13. aprīlī Valsts sekretāru sanāksmē ir izsludināti grozījumi Ministru kabineta noteikumos, kurus nepieciešams aktualizēt saistībā ar studējošo un absolventu reģistra ieviešanu. IZM izstrādāja grozījumus MK 2010.gada 17.augusta  noteikumos Nr.788 "Valsts izglītības informācijas sistēmas saturs, uzturēšanas un aktualizācijas kārtība", MK 2007.gada 27.marta noteikumos Nr.203 „Studējošā personas lietas noformēšanas un aktualizēšanas kārtība” un MK  2006.gada noteikumos “Kārtība, kādā augstskolas un koledžas tiek finansētas no valsts budžeta līdzekļiem”, kuri pašlaik ir izsludināti VSS (2017.gada 13.aprīļa sēdes protokols Nr.15., VSS-401, 402, 403) un šobrīd notiek to </w:t>
      </w:r>
      <w:r w:rsidRPr="00552465">
        <w:rPr>
          <w:rFonts w:ascii="Candara" w:eastAsia="Candara" w:hAnsi="Candara" w:cs="Candara"/>
        </w:rPr>
        <w:t>saskaņošana.</w:t>
      </w:r>
    </w:p>
    <w:p w:rsidR="00921BC7" w:rsidRPr="00516C5D" w:rsidP="009F2C2C" w14:paraId="1507BBA3" w14:textId="77777777">
      <w:pPr>
        <w:spacing w:line="240" w:lineRule="auto"/>
        <w:ind w:firstLine="426"/>
        <w:jc w:val="both"/>
        <w:rPr>
          <w:rFonts w:ascii="Candara" w:eastAsia="Candara" w:hAnsi="Candara" w:cs="Candara"/>
        </w:rPr>
      </w:pPr>
      <w:r w:rsidRPr="00552465">
        <w:rPr>
          <w:rFonts w:ascii="Candara" w:eastAsia="Candara" w:hAnsi="Candara" w:cs="Candara"/>
          <w:b/>
        </w:rPr>
        <w:t>2017. gada 1. janvārī</w:t>
      </w:r>
      <w:r>
        <w:rPr>
          <w:rFonts w:ascii="Candara" w:eastAsia="Candara" w:hAnsi="Candara" w:cs="Candara"/>
          <w:b/>
        </w:rPr>
        <w:t xml:space="preserve"> </w:t>
      </w:r>
      <w:r w:rsidRPr="00516C5D">
        <w:rPr>
          <w:rFonts w:ascii="Candara" w:eastAsia="Candara" w:hAnsi="Candara" w:cs="Candara"/>
        </w:rPr>
        <w:t>stājās spēkā</w:t>
      </w:r>
      <w:r>
        <w:rPr>
          <w:rFonts w:ascii="Candara" w:eastAsia="Candara" w:hAnsi="Candara" w:cs="Candara"/>
        </w:rPr>
        <w:t xml:space="preserve"> EM izstrādātais</w:t>
      </w:r>
      <w:r w:rsidRPr="00516C5D">
        <w:rPr>
          <w:rFonts w:ascii="Candara" w:eastAsia="Candara" w:hAnsi="Candara" w:cs="Candara"/>
        </w:rPr>
        <w:t xml:space="preserve"> </w:t>
      </w:r>
      <w:r w:rsidRPr="00746067">
        <w:rPr>
          <w:rFonts w:ascii="Candara" w:eastAsia="Candara" w:hAnsi="Candara" w:cs="Candara"/>
          <w:b/>
          <w:i/>
        </w:rPr>
        <w:t>Jaunuzņēmumu darbības atbalsta likums</w:t>
      </w:r>
      <w:r w:rsidRPr="00516C5D">
        <w:rPr>
          <w:rFonts w:ascii="Candara" w:eastAsia="Candara" w:hAnsi="Candara" w:cs="Candara"/>
        </w:rPr>
        <w:t>. Likuma izstrādes mērķis ir veicināt strauji augošu tehnoloģiju uzņēmumu jeb jaunuzņēmumu (start-up) veidošanos Latvijā, kā arī sekmēt P&amp;A un pētniecības rezultātu komercializāciju. 2017.</w:t>
      </w:r>
      <w:r w:rsidR="00042324">
        <w:rPr>
          <w:rFonts w:ascii="Candara" w:eastAsia="Candara" w:hAnsi="Candara" w:cs="Candara"/>
        </w:rPr>
        <w:t xml:space="preserve"> </w:t>
      </w:r>
      <w:r w:rsidRPr="00516C5D">
        <w:rPr>
          <w:rFonts w:ascii="Candara" w:eastAsia="Candara" w:hAnsi="Candara" w:cs="Candara"/>
        </w:rPr>
        <w:t xml:space="preserve">gada sākumā apstiprināti </w:t>
      </w:r>
      <w:r w:rsidRPr="00042324">
        <w:rPr>
          <w:rFonts w:ascii="Candara" w:eastAsia="Candara" w:hAnsi="Candara" w:cs="Candara"/>
          <w:b/>
        </w:rPr>
        <w:t>saistītie MK noteikumi</w:t>
      </w:r>
      <w:r w:rsidRPr="00516C5D">
        <w:rPr>
          <w:rFonts w:ascii="Candara" w:eastAsia="Candara" w:hAnsi="Candara" w:cs="Candara"/>
        </w:rPr>
        <w:t>: 2017.gada 17.janvāra MK noteikumi Nr.30 “Jaunuzņēmumu darbības vērtēšanas komisijas nolikums”, kā arī 2017.gada 7.februāra MK noteikumi “Jaunuzņēmumu atbalsta programmu pieteikšanas un administrēšanas kārtība”</w:t>
      </w:r>
      <w:r>
        <w:rPr>
          <w:rFonts w:ascii="Candara" w:eastAsia="Candara" w:hAnsi="Candara" w:cs="Candara"/>
          <w:vertAlign w:val="superscript"/>
        </w:rPr>
        <w:footnoteReference w:id="38"/>
      </w:r>
      <w:r>
        <w:rPr>
          <w:rFonts w:ascii="Candara" w:eastAsia="Candara" w:hAnsi="Candara" w:cs="Candara"/>
        </w:rPr>
        <w:t>.</w:t>
      </w:r>
    </w:p>
    <w:p w:rsidR="006F24AE" w:rsidRPr="00516C5D" w:rsidP="009F2C2C" w14:paraId="64B61CE0" w14:textId="77777777">
      <w:pPr>
        <w:spacing w:line="240" w:lineRule="auto"/>
        <w:ind w:firstLine="426"/>
        <w:jc w:val="both"/>
        <w:rPr>
          <w:rFonts w:ascii="Candara" w:eastAsia="Candara" w:hAnsi="Candara" w:cs="Candara"/>
        </w:rPr>
      </w:pPr>
      <w:r w:rsidRPr="006C4B9D">
        <w:rPr>
          <w:rFonts w:ascii="Candara" w:eastAsia="Candara" w:hAnsi="Candara" w:cs="Candara"/>
          <w:b/>
        </w:rPr>
        <w:t>Jauns Publisko iepirkumu likums.</w:t>
      </w:r>
      <w:r>
        <w:rPr>
          <w:rFonts w:ascii="Candara" w:eastAsia="Candara" w:hAnsi="Candara" w:cs="Candara"/>
        </w:rPr>
        <w:t xml:space="preserve"> </w:t>
      </w:r>
      <w:r w:rsidRPr="006C4B9D">
        <w:rPr>
          <w:rFonts w:ascii="Candara" w:eastAsia="Candara" w:hAnsi="Candara" w:cs="Candara"/>
        </w:rPr>
        <w:t xml:space="preserve">Saeima 2016.gada 15.decembrī pieņēma jaunu Publisko iepirkumu likumu, kas stājās spēkā 2017.gada 1.martā. Jaunā iepirkumu kārtība paredz virkni izmaiņu un jauninājumu, kā arī iepirkumu organizēšanā plānots ieviest ES prasības. Jaunais Publisko iepirkumu likums paredz piemērot regulējumu pakalpojumiem un piegādēm no 10 000 euro un būvdarbiem no 20 000 euro (iepriekš attiecīgi – 4 000 euro un 14 000 euro). Kā jauns iepirkumu veids likumā paredzēta konkursa procedūra ar sarunām, kuras mērķis būs dot iespēju pretendentiem sarunu laikā uzlabot piedāvājumu saturu atbilstoši pasūtītāja vajadzībām. Vienlaikus </w:t>
      </w:r>
      <w:r w:rsidRPr="006C4B9D">
        <w:rPr>
          <w:rFonts w:ascii="Candara" w:eastAsia="Candara" w:hAnsi="Candara" w:cs="Candara"/>
        </w:rPr>
        <w:t>kā jaunums ieviesta arī inovācijas partnerības procedūra, ko piemēros jauna inovatīva produkta, pakalpojuma vai būvdarbu izstrādei un turpmākai iegādei. ES direktīva attiecībā uz iepirkumiem paredz, ka regulējums nepieciešams, lai palielinātu publiskā sektora izdevumu efektivitāti, atvieglotu mazo un vidējo uzņēmumu piedalīšanos iepirkumos, kā arī, lai dotu iespēju konkursu rīkotājiem labāk izmantot publisko iepirkumu kopēju sabiedrisko mērķu atbalstam. Publisko iepirkumu likuma mērķis ir nodrošināt iepirkumu atklātumu, piegādātāju brīvu konkurenci, vienlīdzīgu un taisnīgu attieksmi pret tiem, kā arī pasūtītāja līdzekļu efektīvu izmantošanu, maksimāli samazinot tā risku.</w:t>
      </w:r>
    </w:p>
    <w:p w:rsidR="00042324" w:rsidRPr="00042324" w:rsidP="009F2C2C" w14:paraId="397EB436" w14:textId="5DBE04BF">
      <w:pPr>
        <w:spacing w:line="240" w:lineRule="auto"/>
        <w:ind w:firstLine="426"/>
        <w:jc w:val="both"/>
        <w:rPr>
          <w:rFonts w:ascii="Candara" w:eastAsia="Candara" w:hAnsi="Candara" w:cs="Candara"/>
        </w:rPr>
      </w:pPr>
      <w:r>
        <w:rPr>
          <w:rFonts w:ascii="Candara" w:eastAsia="Candara" w:hAnsi="Candara" w:cs="Candara"/>
          <w:b/>
        </w:rPr>
        <w:t xml:space="preserve">P&amp;A </w:t>
      </w:r>
      <w:r>
        <w:rPr>
          <w:rFonts w:ascii="Candara" w:eastAsia="Candara" w:hAnsi="Candara" w:cs="Candara"/>
          <w:b/>
          <w:i/>
        </w:rPr>
        <w:t>ex-</w:t>
      </w:r>
      <w:r w:rsidRPr="00042324">
        <w:rPr>
          <w:rFonts w:ascii="Candara" w:eastAsia="Candara" w:hAnsi="Candara" w:cs="Candara"/>
          <w:b/>
        </w:rPr>
        <w:t>post</w:t>
      </w:r>
      <w:r>
        <w:rPr>
          <w:rFonts w:ascii="Candara" w:eastAsia="Candara" w:hAnsi="Candara" w:cs="Candara"/>
          <w:b/>
        </w:rPr>
        <w:t xml:space="preserve"> izvērtējums. </w:t>
      </w:r>
      <w:r w:rsidRPr="00042324">
        <w:rPr>
          <w:rFonts w:ascii="Candara" w:eastAsia="Candara" w:hAnsi="Candara" w:cs="Candara"/>
        </w:rPr>
        <w:t xml:space="preserve">Lai veiktu Eiropas Savienības struktūrfondu fondu </w:t>
      </w:r>
      <w:r w:rsidRPr="003F7800">
        <w:rPr>
          <w:rFonts w:ascii="Candara" w:eastAsia="Candara" w:hAnsi="Candara" w:cs="Candara"/>
          <w:b/>
        </w:rPr>
        <w:t>ieguldījumu izvērtēšanu zinātnes, pētniecības un inovāciju p</w:t>
      </w:r>
      <w:r w:rsidR="003761F5">
        <w:rPr>
          <w:rFonts w:ascii="Candara" w:eastAsia="Candara" w:hAnsi="Candara" w:cs="Candara"/>
          <w:b/>
        </w:rPr>
        <w:t>asākumu atbalstam 2007. – 2013.</w:t>
      </w:r>
      <w:r w:rsidRPr="003F7800">
        <w:rPr>
          <w:rFonts w:ascii="Candara" w:eastAsia="Candara" w:hAnsi="Candara" w:cs="Candara"/>
          <w:b/>
        </w:rPr>
        <w:t>gada plānošanas periodā</w:t>
      </w:r>
      <w:r w:rsidRPr="00042324">
        <w:rPr>
          <w:rFonts w:ascii="Candara" w:eastAsia="Candara" w:hAnsi="Candara" w:cs="Candara"/>
        </w:rPr>
        <w:t xml:space="preserve"> un šo ieguldījumu ietekmes noteikšanu, Finanšu ministrija sadarbībā ar Izglītības  un zinātnes ministriju un Ekonomikas ministriju </w:t>
      </w:r>
      <w:r w:rsidR="00F926C3">
        <w:rPr>
          <w:rFonts w:ascii="Candara" w:eastAsia="Candara" w:hAnsi="Candara" w:cs="Candara"/>
        </w:rPr>
        <w:t>2017. gada I ceturksnī noslēdza</w:t>
      </w:r>
      <w:r w:rsidRPr="00042324">
        <w:rPr>
          <w:rFonts w:ascii="Candara" w:eastAsia="Candara" w:hAnsi="Candara" w:cs="Candara"/>
        </w:rPr>
        <w:t xml:space="preserve"> līgumu ar SIA FIDEA Technopolis par minēto ieguldījumu ietekmes izvērtējuma veikšanu. Izvērtējumu SIA FIDEA Technopolis veic</w:t>
      </w:r>
      <w:r w:rsidR="00F926C3">
        <w:rPr>
          <w:rFonts w:ascii="Candara" w:eastAsia="Candara" w:hAnsi="Candara" w:cs="Candara"/>
        </w:rPr>
        <w:t>a</w:t>
      </w:r>
      <w:r w:rsidRPr="00042324">
        <w:rPr>
          <w:rFonts w:ascii="Candara" w:eastAsia="Candara" w:hAnsi="Candara" w:cs="Candara"/>
        </w:rPr>
        <w:t xml:space="preserve"> laika posmā </w:t>
      </w:r>
      <w:r w:rsidR="00F926C3">
        <w:rPr>
          <w:rFonts w:ascii="Candara" w:eastAsia="Candara" w:hAnsi="Candara" w:cs="Candara"/>
        </w:rPr>
        <w:t>līdz 2017. gada decembrim</w:t>
      </w:r>
      <w:r w:rsidRPr="00042324">
        <w:rPr>
          <w:rFonts w:ascii="Candara" w:eastAsia="Candara" w:hAnsi="Candara" w:cs="Candara"/>
        </w:rPr>
        <w:t xml:space="preserve">, analizējot zinātnes, pētniecības un inovāciju atbalsta pasākumu ietekmi attiecībā uz noteiktu zinātnisko institūciju (vadošās Latvijas zinātniskās institūcijas, kuras ir saņēmušas Eiropas Savienības struktūrfondu atbalstu 2007. - 2013.gada plānošanas perioda ietvaros un saņem to arī 2014. - 2020.gada plānošanas periodā)  darbības rādītājiem un kopējo devumu pētniecībā un attīstībā attiecībā uz Latvijas sasniegumiem inovācijas kapacitātes palielināšanā, kā arī identificējot aktivitātes, kuras nodrošinājušas vislielāko ietekmi uz atbalstīto zinātnisko institūciju darbību attiecībā pret ieguldītajiem līdzekļiem. </w:t>
      </w:r>
      <w:r w:rsidR="000F1903">
        <w:rPr>
          <w:rFonts w:ascii="Candara" w:eastAsia="Candara" w:hAnsi="Candara" w:cs="Candara"/>
        </w:rPr>
        <w:t>Saskaņā ar šajā izvērtējumā paustajiem secinājumiem</w:t>
      </w:r>
      <w:r>
        <w:rPr>
          <w:rStyle w:val="FootnoteReference"/>
          <w:rFonts w:ascii="Candara" w:eastAsia="Candara" w:hAnsi="Candara" w:cs="Candara"/>
        </w:rPr>
        <w:footnoteReference w:id="39"/>
      </w:r>
      <w:r w:rsidR="000F1903">
        <w:rPr>
          <w:rFonts w:ascii="Candara" w:eastAsia="Candara" w:hAnsi="Candara" w:cs="Candara"/>
        </w:rPr>
        <w:t>, ieguldījumi zinātnē 2007. – 2013. gada plānošanas periodā kopumā ir bijuši veiksmīgi</w:t>
      </w:r>
      <w:r w:rsidR="000E1885">
        <w:rPr>
          <w:rFonts w:ascii="Candara" w:eastAsia="Candara" w:hAnsi="Candara" w:cs="Candara"/>
        </w:rPr>
        <w:t>. Autori norāda, ka</w:t>
      </w:r>
      <w:r w:rsidR="000F1903">
        <w:rPr>
          <w:rFonts w:ascii="Candara" w:eastAsia="Candara" w:hAnsi="Candara" w:cs="Candara"/>
        </w:rPr>
        <w:t xml:space="preserve"> </w:t>
      </w:r>
      <w:r w:rsidR="000E1885">
        <w:rPr>
          <w:rFonts w:ascii="Candara" w:eastAsia="Candara" w:hAnsi="Candara" w:cs="Candara"/>
        </w:rPr>
        <w:t>izvērtējuma</w:t>
      </w:r>
      <w:r w:rsidR="000F1903">
        <w:rPr>
          <w:rFonts w:ascii="Candara" w:eastAsia="Candara" w:hAnsi="Candara" w:cs="Candara"/>
        </w:rPr>
        <w:t xml:space="preserve"> periodā būtiski uzlabojušies virkne Latvijas zinātnes sistēmu raksturojošie kopējie rādītāji – būtiski cēlies publikāciju apjoms, uzlabojusies zinātnes sadarbība ar industriju, gan apjoma, gan kvalitātes ziņā, uzlabojusies zinātnes internacionalizācija. </w:t>
      </w:r>
      <w:r w:rsidR="000E1885">
        <w:rPr>
          <w:rFonts w:ascii="Candara" w:eastAsia="Candara" w:hAnsi="Candara" w:cs="Candara"/>
        </w:rPr>
        <w:t xml:space="preserve">Vienlaikus tiek vērsta uzmanība uz to, ka joprojām būtisks izaicinājums ir P&amp;A cilvēkresursi un to atjaunotne. </w:t>
      </w:r>
      <w:r w:rsidR="00173A38">
        <w:rPr>
          <w:rFonts w:ascii="Candara" w:eastAsia="Candara" w:hAnsi="Candara" w:cs="Candara"/>
        </w:rPr>
        <w:t>Proti, p</w:t>
      </w:r>
      <w:r w:rsidR="000E1885">
        <w:rPr>
          <w:rFonts w:ascii="Candara" w:eastAsia="Candara" w:hAnsi="Candara" w:cs="Candara"/>
        </w:rPr>
        <w:t xml:space="preserve">ašreizējā vecuma struktūra ar lielāku proporciju gados jauno zinātnieku ļauj mīkstināt personāla novecošanās ietekmi, tomēr izaicinājums pastāv šo jauno zinātnieku noturēšanā karjeras veidošanā zinātnē, t.sk. Latvijā. </w:t>
      </w:r>
      <w:r w:rsidR="00173A38">
        <w:rPr>
          <w:rFonts w:ascii="Candara" w:eastAsia="Candara" w:hAnsi="Candara" w:cs="Candara"/>
        </w:rPr>
        <w:t xml:space="preserve">Izvērtējuma autoru galvenais ieteikums ir uzlabot nacionālā publiskā finansējuma piešķiršanas sistēmu un principus. </w:t>
      </w:r>
    </w:p>
    <w:p w:rsidR="003F7800" w:rsidRPr="003F7800" w:rsidP="009F2C2C" w14:paraId="4CD4589A" w14:textId="1736C069">
      <w:pPr>
        <w:spacing w:line="240" w:lineRule="auto"/>
        <w:ind w:firstLine="426"/>
        <w:jc w:val="both"/>
        <w:rPr>
          <w:rFonts w:ascii="Candara" w:eastAsia="Candara" w:hAnsi="Candara" w:cs="Candara"/>
        </w:rPr>
      </w:pPr>
      <w:r>
        <w:rPr>
          <w:rFonts w:ascii="Candara" w:eastAsia="Candara" w:hAnsi="Candara" w:cs="Candara"/>
        </w:rPr>
        <w:t>Laika posmā līdz 2017.</w:t>
      </w:r>
      <w:r w:rsidRPr="003F7800">
        <w:rPr>
          <w:rFonts w:ascii="Candara" w:eastAsia="Candara" w:hAnsi="Candara" w:cs="Candara"/>
        </w:rPr>
        <w:t>gada jūlijam saskaņā ar Finanšu ministrijas sadarbībā ar Izglītības un zinātnes ministrijas pasūtītu pētījumu norisinā</w:t>
      </w:r>
      <w:r w:rsidR="000F1903">
        <w:rPr>
          <w:rFonts w:ascii="Candara" w:eastAsia="Candara" w:hAnsi="Candara" w:cs="Candara"/>
        </w:rPr>
        <w:t>jā</w:t>
      </w:r>
      <w:r w:rsidRPr="003F7800">
        <w:rPr>
          <w:rFonts w:ascii="Candara" w:eastAsia="Candara" w:hAnsi="Candara" w:cs="Candara"/>
        </w:rPr>
        <w:t xml:space="preserve">s </w:t>
      </w:r>
      <w:r>
        <w:rPr>
          <w:rFonts w:ascii="Candara" w:eastAsia="Candara" w:hAnsi="Candara" w:cs="Candara"/>
          <w:b/>
        </w:rPr>
        <w:t>8.2.1.</w:t>
      </w:r>
      <w:r w:rsidRPr="003F7800">
        <w:rPr>
          <w:rFonts w:ascii="Candara" w:eastAsia="Candara" w:hAnsi="Candara" w:cs="Candara"/>
          <w:b/>
        </w:rPr>
        <w:t>SAM “Samazināt studiju programmu fragmentāciju un stiprināt resursu koplietošanu” sākotnējā paplašinātā novērtējuma izstrāde</w:t>
      </w:r>
      <w:r w:rsidRPr="003F7800">
        <w:rPr>
          <w:rFonts w:ascii="Candara" w:eastAsia="Candara" w:hAnsi="Candara" w:cs="Candara"/>
        </w:rPr>
        <w:t>, tai skaitā veicot esošās situācijas analīzi par doktorantūras studiju programmām (arī kopīgajām)</w:t>
      </w:r>
      <w:r>
        <w:rPr>
          <w:rFonts w:ascii="Candara" w:eastAsia="Candara" w:hAnsi="Candara" w:cs="Candara"/>
        </w:rPr>
        <w:t xml:space="preserve"> un studiju programmām ES valodās, kas nav latviešu valoda</w:t>
      </w:r>
      <w:r w:rsidRPr="003F7800">
        <w:rPr>
          <w:rFonts w:ascii="Candara" w:eastAsia="Candara" w:hAnsi="Candara" w:cs="Candara"/>
        </w:rPr>
        <w:t xml:space="preserve">, izvērtējot citu ES valstu pieredzi kopīgu doktorantūras studiju programmu īstenošanā, kā arī izstrādājot priekšlikumus kopīgo doktorantūras studiju programmu </w:t>
      </w:r>
      <w:r>
        <w:rPr>
          <w:rFonts w:ascii="Candara" w:eastAsia="Candara" w:hAnsi="Candara" w:cs="Candara"/>
        </w:rPr>
        <w:t xml:space="preserve">un studiju programmu ES valodās, kas nav latviešu valoda </w:t>
      </w:r>
      <w:r w:rsidRPr="003F7800">
        <w:rPr>
          <w:rFonts w:ascii="Candara" w:eastAsia="Candara" w:hAnsi="Candara" w:cs="Candara"/>
        </w:rPr>
        <w:t xml:space="preserve">attīstībai, cita starpā sniedzot izvērtējumu par augstākās izglītības iestāžu esošo un plānoto studiju programmu attīstības ieguldījumu Latvijas Viedās specializācijas stratēģijas īstenošanā un AII stratēģiskās specializācijas stiprināšanā, un izstrādājot ieteikumus identificēto problēmu/ šķēršļu mazināšanai/ likvidēšanai. Veiktā analīze un iegūtās rekomendācijas </w:t>
      </w:r>
      <w:r w:rsidR="000F1903">
        <w:rPr>
          <w:rFonts w:ascii="Candara" w:eastAsia="Candara" w:hAnsi="Candara" w:cs="Candara"/>
        </w:rPr>
        <w:t>tika iestrādātas</w:t>
      </w:r>
      <w:r w:rsidRPr="003F7800" w:rsidR="000F1903">
        <w:rPr>
          <w:rFonts w:ascii="Candara" w:eastAsia="Candara" w:hAnsi="Candara" w:cs="Candara"/>
        </w:rPr>
        <w:t xml:space="preserve"> </w:t>
      </w:r>
      <w:r w:rsidRPr="003F7800">
        <w:rPr>
          <w:rFonts w:ascii="Candara" w:eastAsia="Candara" w:hAnsi="Candara" w:cs="Candara"/>
        </w:rPr>
        <w:t xml:space="preserve">8.2.1. SAM ieviešanas </w:t>
      </w:r>
      <w:r w:rsidRPr="003F7800" w:rsidR="000F1903">
        <w:rPr>
          <w:rFonts w:ascii="Candara" w:eastAsia="Candara" w:hAnsi="Candara" w:cs="Candara"/>
        </w:rPr>
        <w:t>nosacījum</w:t>
      </w:r>
      <w:r w:rsidR="000F1903">
        <w:rPr>
          <w:rFonts w:ascii="Candara" w:eastAsia="Candara" w:hAnsi="Candara" w:cs="Candara"/>
        </w:rPr>
        <w:t>o</w:t>
      </w:r>
      <w:r w:rsidRPr="003F7800" w:rsidR="000F1903">
        <w:rPr>
          <w:rFonts w:ascii="Candara" w:eastAsia="Candara" w:hAnsi="Candara" w:cs="Candara"/>
        </w:rPr>
        <w:t xml:space="preserve">s </w:t>
      </w:r>
      <w:r w:rsidR="000F1903">
        <w:rPr>
          <w:rFonts w:ascii="Candara" w:eastAsia="Candara" w:hAnsi="Candara" w:cs="Candara"/>
        </w:rPr>
        <w:t xml:space="preserve">, lai </w:t>
      </w:r>
      <w:r w:rsidRPr="003F7800">
        <w:rPr>
          <w:rFonts w:ascii="Candara" w:eastAsia="Candara" w:hAnsi="Candara" w:cs="Candara"/>
        </w:rPr>
        <w:t xml:space="preserve">nodrošinātu virzību uz  kvalitātes standartu ziņā vienotas, pētniecībā balstītas doktorantūras izveidošanu </w:t>
      </w:r>
      <w:r>
        <w:rPr>
          <w:rFonts w:ascii="Candara" w:eastAsia="Candara" w:hAnsi="Candara" w:cs="Candara"/>
        </w:rPr>
        <w:t>un novērstu studiju programmu sadrumstalotību, tostarp mazinot studiju programmu skaitu</w:t>
      </w:r>
      <w:r w:rsidRPr="003F7800">
        <w:rPr>
          <w:rFonts w:ascii="Candara" w:eastAsia="Candara" w:hAnsi="Candara" w:cs="Candara"/>
        </w:rPr>
        <w:t>.</w:t>
      </w:r>
    </w:p>
    <w:p w:rsidR="00042324" w:rsidRPr="003F7800" w:rsidP="009F2C2C" w14:paraId="0957F5BF" w14:textId="2A804427">
      <w:pPr>
        <w:spacing w:line="240" w:lineRule="auto"/>
        <w:ind w:firstLine="426"/>
        <w:jc w:val="both"/>
        <w:rPr>
          <w:rFonts w:ascii="Candara" w:eastAsia="Candara" w:hAnsi="Candara" w:cs="Candara"/>
        </w:rPr>
      </w:pPr>
      <w:r w:rsidRPr="003F7800">
        <w:rPr>
          <w:rFonts w:ascii="Candara" w:eastAsia="Candara" w:hAnsi="Candara" w:cs="Candara"/>
        </w:rPr>
        <w:t xml:space="preserve">Latvijas zinātnes finansēšanas sistēmas efektivitātes izvērtēšanai, Latvija ir piesaistījusi </w:t>
      </w:r>
      <w:r w:rsidRPr="003F7800">
        <w:rPr>
          <w:rFonts w:ascii="Candara" w:eastAsia="Candara" w:hAnsi="Candara" w:cs="Candara"/>
          <w:i/>
        </w:rPr>
        <w:t>Horizon 2020 Policy Support Facility  </w:t>
      </w:r>
      <w:r w:rsidRPr="003F7800">
        <w:rPr>
          <w:rFonts w:ascii="Candara" w:eastAsia="Candara" w:hAnsi="Candara" w:cs="Candara"/>
        </w:rPr>
        <w:t xml:space="preserve">ekspertus, kas laika posmā līdz 2017.gada </w:t>
      </w:r>
      <w:r w:rsidR="00DF13F0">
        <w:rPr>
          <w:rFonts w:ascii="Candara" w:eastAsia="Candara" w:hAnsi="Candara" w:cs="Candara"/>
        </w:rPr>
        <w:t>beigām</w:t>
      </w:r>
      <w:r w:rsidRPr="003F7800">
        <w:rPr>
          <w:rFonts w:ascii="Candara" w:eastAsia="Candara" w:hAnsi="Candara" w:cs="Candara"/>
        </w:rPr>
        <w:t xml:space="preserve"> </w:t>
      </w:r>
      <w:r w:rsidRPr="003F7800">
        <w:rPr>
          <w:rFonts w:ascii="Candara" w:eastAsia="Candara" w:hAnsi="Candara" w:cs="Candara"/>
          <w:b/>
        </w:rPr>
        <w:t>izvērtē</w:t>
      </w:r>
      <w:r w:rsidR="00173A38">
        <w:rPr>
          <w:rFonts w:ascii="Candara" w:eastAsia="Candara" w:hAnsi="Candara" w:cs="Candara"/>
          <w:b/>
        </w:rPr>
        <w:t>ja</w:t>
      </w:r>
      <w:r w:rsidRPr="003F7800">
        <w:rPr>
          <w:rFonts w:ascii="Candara" w:eastAsia="Candara" w:hAnsi="Candara" w:cs="Candara"/>
          <w:b/>
        </w:rPr>
        <w:t xml:space="preserve"> nacionālo zinātnes</w:t>
      </w:r>
      <w:r w:rsidR="00B554AC">
        <w:rPr>
          <w:rFonts w:ascii="Candara" w:eastAsia="Candara" w:hAnsi="Candara" w:cs="Candara"/>
          <w:b/>
        </w:rPr>
        <w:t xml:space="preserve"> un inovāciju</w:t>
      </w:r>
      <w:r w:rsidRPr="003F7800">
        <w:rPr>
          <w:rFonts w:ascii="Candara" w:eastAsia="Candara" w:hAnsi="Candara" w:cs="Candara"/>
          <w:b/>
        </w:rPr>
        <w:t xml:space="preserve"> finansēšanas sistēmu un sagatavos rekomendācijas tās uzlabošanai</w:t>
      </w:r>
      <w:r w:rsidRPr="003F7800">
        <w:rPr>
          <w:rFonts w:ascii="Candara" w:eastAsia="Candara" w:hAnsi="Candara" w:cs="Candara"/>
        </w:rPr>
        <w:t xml:space="preserve">, lai nodrošinātu ierobežoto investīciju </w:t>
      </w:r>
      <w:r>
        <w:rPr>
          <w:rFonts w:ascii="Candara" w:eastAsia="Candara" w:hAnsi="Candara" w:cs="Candara"/>
        </w:rPr>
        <w:t>maksimāli efektīvu ieguldījumu</w:t>
      </w:r>
      <w:r w:rsidRPr="003F7800">
        <w:rPr>
          <w:rFonts w:ascii="Candara" w:eastAsia="Candara" w:hAnsi="Candara" w:cs="Candara"/>
        </w:rPr>
        <w:t xml:space="preserve">, kas </w:t>
      </w:r>
      <w:r w:rsidR="00D94106">
        <w:rPr>
          <w:rFonts w:ascii="Candara" w:eastAsia="Candara" w:hAnsi="Candara" w:cs="Candara"/>
        </w:rPr>
        <w:t xml:space="preserve">vienlaikus </w:t>
      </w:r>
      <w:r>
        <w:rPr>
          <w:rFonts w:ascii="Candara" w:eastAsia="Candara" w:hAnsi="Candara" w:cs="Candara"/>
        </w:rPr>
        <w:t>ir saskaņā ar</w:t>
      </w:r>
      <w:r w:rsidRPr="003F7800">
        <w:rPr>
          <w:rFonts w:ascii="Candara" w:eastAsia="Candara" w:hAnsi="Candara" w:cs="Candara"/>
        </w:rPr>
        <w:t xml:space="preserve"> </w:t>
      </w:r>
      <w:r w:rsidR="009F2C2C">
        <w:rPr>
          <w:rFonts w:ascii="Candara" w:eastAsia="Candara" w:hAnsi="Candara" w:cs="Candara"/>
        </w:rPr>
        <w:t>starptautisko praksi.</w:t>
      </w:r>
    </w:p>
    <w:p w:rsidR="00921BC7" w:rsidRPr="00516C5D" w:rsidP="009F2C2C" w14:paraId="0E7B6626" w14:textId="77777777">
      <w:pPr>
        <w:spacing w:line="240" w:lineRule="auto"/>
        <w:ind w:firstLine="426"/>
        <w:jc w:val="both"/>
        <w:rPr>
          <w:rFonts w:ascii="Candara" w:eastAsia="Candara" w:hAnsi="Candara" w:cs="Candara"/>
          <w:highlight w:val="white"/>
        </w:rPr>
      </w:pPr>
      <w:r w:rsidRPr="00516C5D">
        <w:rPr>
          <w:rFonts w:ascii="Candara" w:eastAsia="Candara" w:hAnsi="Candara" w:cs="Candara"/>
          <w:b/>
        </w:rPr>
        <w:t>Uzņēmējdarbības vides pilnveidošanas pasākumu plāns</w:t>
      </w:r>
      <w:r w:rsidRPr="00516C5D">
        <w:rPr>
          <w:rFonts w:ascii="Candara" w:eastAsia="Candara" w:hAnsi="Candara" w:cs="Candara"/>
        </w:rPr>
        <w:t xml:space="preserve">. Pasākumi uzņēmējdarbības vides uzlabošanai tiek īstenoti kopš 1999.gada. EM, iesaistoties plašam nozaru ministriju un uzņēmējus pārstāvošo organizāciju lokam, sagatavo </w:t>
      </w:r>
      <w:r w:rsidRPr="00516C5D">
        <w:rPr>
          <w:rFonts w:ascii="Candara" w:eastAsia="Candara" w:hAnsi="Candara" w:cs="Candara"/>
          <w:i/>
        </w:rPr>
        <w:t>Uzņēmējdarbības vides uzlabošanas pasākumu plānu</w:t>
      </w:r>
      <w:r w:rsidRPr="00516C5D">
        <w:rPr>
          <w:rFonts w:ascii="Candara" w:eastAsia="Candara" w:hAnsi="Candara" w:cs="Candara"/>
        </w:rPr>
        <w:t xml:space="preserve">, kas katru gadu tiek atjaunots un apstiprināts valdībā. Pārskata periodā īstenoti 63 Uzņēmējdarbības vides uzlabošanas pasākumu plāna 2014.–2015.gadam uzdevumi ar mērķi “vienkārši un kvalitatīvi pakalpojumi uzņēmējdarbībā: vairāk e–pakalpojumu”, pārējo 24 uzdevumu īstenošana tiek turpināta ar jauno </w:t>
      </w:r>
      <w:r w:rsidRPr="00042324">
        <w:rPr>
          <w:rFonts w:ascii="Candara" w:eastAsia="Candara" w:hAnsi="Candara" w:cs="Candara"/>
          <w:b/>
        </w:rPr>
        <w:t xml:space="preserve">2017.gada 15.martā Ministru kabinetā apstiprināto </w:t>
      </w:r>
      <w:r w:rsidRPr="00042324">
        <w:rPr>
          <w:rFonts w:ascii="Candara" w:eastAsia="Candara" w:hAnsi="Candara" w:cs="Candara"/>
          <w:b/>
          <w:i/>
        </w:rPr>
        <w:t>Uzņēmējdarbības vides pilnveidošanas pasākumu plānu</w:t>
      </w:r>
      <w:r w:rsidRPr="00042324">
        <w:rPr>
          <w:rFonts w:ascii="Candara" w:eastAsia="Candara" w:hAnsi="Candara" w:cs="Candara"/>
          <w:b/>
          <w:highlight w:val="white"/>
        </w:rPr>
        <w:t xml:space="preserve"> </w:t>
      </w:r>
      <w:r w:rsidRPr="00516C5D">
        <w:rPr>
          <w:rFonts w:ascii="Candara" w:eastAsia="Candara" w:hAnsi="Candara" w:cs="Candara"/>
          <w:highlight w:val="white"/>
        </w:rPr>
        <w:t xml:space="preserve">(būtiskākās plāna prioritātes: “konsultē vispirms” principa ieviešana, īpaši uzņēmējdarbības uzsākšanas posmā, vienkārši un kvalitatīvi valsts publiskie e-pakalpojumi, biznesa videi draudzīgu infrastruktūras pakalpojumu ieviešana, administratīvo prasību vienkāršošana, īpaši nodokļu un grāmatvedības jomā, birokrātiskā sloga mazināšana un tiesiskās paļāvības stiprināšana normatīvajā regulējumā) . </w:t>
      </w:r>
    </w:p>
    <w:p w:rsidR="00921BC7" w:rsidRPr="00516C5D" w:rsidP="009F2C2C" w14:paraId="2F0A7767" w14:textId="77777777">
      <w:pPr>
        <w:spacing w:line="240" w:lineRule="auto"/>
        <w:ind w:firstLine="426"/>
        <w:jc w:val="both"/>
        <w:rPr>
          <w:rFonts w:ascii="Candara" w:eastAsia="Arial" w:hAnsi="Candara" w:cs="Arial"/>
        </w:rPr>
      </w:pPr>
      <w:r w:rsidRPr="00516C5D">
        <w:rPr>
          <w:rFonts w:ascii="Candara" w:eastAsia="Candara" w:hAnsi="Candara" w:cs="Candara"/>
          <w:b/>
        </w:rPr>
        <w:t>0% UIN likme reinvestētajai peļņai</w:t>
      </w:r>
      <w:r w:rsidRPr="00516C5D">
        <w:rPr>
          <w:rFonts w:ascii="Candara" w:eastAsia="Candara" w:hAnsi="Candara" w:cs="Candara"/>
        </w:rPr>
        <w:t xml:space="preserve">. </w:t>
      </w:r>
      <w:r w:rsidRPr="00516C5D">
        <w:rPr>
          <w:rFonts w:ascii="Candara" w:eastAsia="Arial" w:hAnsi="Candara" w:cs="Arial"/>
        </w:rPr>
        <w:t xml:space="preserve">09.05.2017. Ministru kabineta sēdē atbalstīts pamatnostādņu projekts “Valsts nodokļu politikas pamatnostādnes 2018. - 2021.gadam”, kas paredz ar 01.01.2018. reformēt UIN sistēmu, ieviešot 0% UIN reinvestētajai peļņai, tādējādi ļaujot veidot uzņēmumiem kapitāla uzkrājumus, ieguldot tos uzņēmumu attīstībā. </w:t>
      </w:r>
    </w:p>
    <w:p w:rsidR="00921BC7" w:rsidRPr="00516C5D" w:rsidP="009F2C2C" w14:paraId="3F937BB7" w14:textId="77777777">
      <w:pPr>
        <w:spacing w:line="240" w:lineRule="auto"/>
        <w:ind w:firstLine="426"/>
        <w:jc w:val="both"/>
        <w:rPr>
          <w:rFonts w:ascii="Candara" w:eastAsia="Verdana" w:hAnsi="Candara" w:cs="Verdana"/>
          <w:sz w:val="20"/>
          <w:szCs w:val="20"/>
        </w:rPr>
      </w:pPr>
      <w:r w:rsidRPr="00516C5D">
        <w:rPr>
          <w:rFonts w:ascii="Candara" w:eastAsia="Candara" w:hAnsi="Candara" w:cs="Candara"/>
          <w:b/>
        </w:rPr>
        <w:t xml:space="preserve">Viedās imigrācijas veicināšana. </w:t>
      </w:r>
      <w:r w:rsidRPr="00516C5D">
        <w:rPr>
          <w:rFonts w:ascii="Candara" w:eastAsia="Candara" w:hAnsi="Candara" w:cs="Candara"/>
        </w:rPr>
        <w:t xml:space="preserve">2017.gada 2.februārī Saeima galīgajā lasījumā atbalstīja likumprojektu “Grozījumi Imigrācijas likumā”, kurā, cita starpā, iekļauti vairāki EM sniegtie priekšlikumi ar mērķi atvieglot ieceļošanas nosacījumus augsti kvalificētiem nodarbinātajiem, t.sk. </w:t>
      </w:r>
      <w:r w:rsidRPr="007030FD">
        <w:rPr>
          <w:rFonts w:ascii="Candara" w:eastAsia="Candara" w:hAnsi="Candara" w:cs="Candara"/>
        </w:rPr>
        <w:t>nodarbinātajiem profesijās ar būtisku darbaspēka trūkumu. Grozījumi nosaka, ka sākot ar 2017.gada 1.septembri tiks atvieglota procedūra ES zilās kartes saņemšanai</w:t>
      </w:r>
      <w:r>
        <w:rPr>
          <w:rFonts w:ascii="Candara" w:eastAsia="Candara" w:hAnsi="Candara" w:cs="Candara"/>
          <w:vertAlign w:val="superscript"/>
        </w:rPr>
        <w:footnoteReference w:id="40"/>
      </w:r>
      <w:r w:rsidRPr="007030FD">
        <w:rPr>
          <w:rFonts w:ascii="Candara" w:eastAsia="Candara" w:hAnsi="Candara" w:cs="Candara"/>
        </w:rPr>
        <w:t xml:space="preserve">, kā arī paredz MK apstiprināt sarakstu ar profesijām, kurās vērojams būtisks darbaspēka trūkums.  </w:t>
      </w:r>
      <w:r w:rsidRPr="007030FD">
        <w:rPr>
          <w:rFonts w:ascii="Candara" w:eastAsia="Verdana" w:hAnsi="Candara" w:cs="Verdana"/>
        </w:rPr>
        <w:t xml:space="preserve">Turpmāk uz šo profesiju pārstāvjiem, kas pieprasīs ES zilo karti, tiks attiecināts zemāks minimālās algas kritērijs - vidējai darba samaksai iepriekšējā gadā piemērojot koeficientu 1.2 pašreizējā koeficienta 1.5 vietā. Savukārt, attiecībā uz pārējiem nodarbinātajiem tiks saīsināts termiņš, kādā jābūt brīvai Nodarbinātības valsts aģentūrā reģistrētajai brīvajai darbavietai līdz darba devējs var pieņemt darbā ārvalstnieku ( līdz 10 darba dienām). Tāpat, grozījumi  precizē dažādus tiesību uz nodarbinātību piešķiršanas pamatus, nosakot, kā atsevišķu tiesību veidu tiesības veikt komercdarbību, paredz nepieprasīt saņemt tiesības uz nodarbinātību personām, kuras tiek </w:t>
      </w:r>
      <w:r w:rsidR="0016422D">
        <w:rPr>
          <w:rFonts w:ascii="Candara" w:eastAsia="Verdana" w:hAnsi="Candara" w:cs="Verdana"/>
        </w:rPr>
        <w:t>nodarbinātas īslaicīgi (līdz 14 </w:t>
      </w:r>
      <w:r w:rsidRPr="007030FD">
        <w:rPr>
          <w:rFonts w:ascii="Candara" w:eastAsia="Verdana" w:hAnsi="Candara" w:cs="Verdana"/>
        </w:rPr>
        <w:t>dienām jebkurā 180 dienu periodā).</w:t>
      </w:r>
    </w:p>
    <w:p w:rsidR="008B6124" w:rsidP="009F2C2C" w14:paraId="17FDF865" w14:textId="77777777">
      <w:pPr>
        <w:spacing w:line="240" w:lineRule="auto"/>
        <w:ind w:firstLine="426"/>
        <w:jc w:val="both"/>
        <w:rPr>
          <w:rFonts w:ascii="Candara" w:eastAsia="Candara" w:hAnsi="Candara" w:cs="Candara"/>
        </w:rPr>
      </w:pPr>
      <w:r w:rsidRPr="00516C5D">
        <w:rPr>
          <w:rFonts w:ascii="Candara" w:eastAsia="Candara" w:hAnsi="Candara" w:cs="Candara"/>
          <w:b/>
        </w:rPr>
        <w:t xml:space="preserve">Darbs ar Latvijas diasporu ārvalstīs. </w:t>
      </w:r>
      <w:r w:rsidRPr="00516C5D">
        <w:rPr>
          <w:rFonts w:ascii="Candara" w:eastAsia="Candara" w:hAnsi="Candara" w:cs="Candara"/>
        </w:rPr>
        <w:t>LIAA 2017.gadā uzsākusi darbu pie stratēģijas darbam ar diasporu izstrādes. Stratēģijas mērķis ir identificēt un ieviest vai pastiprināt LIAA aktivitātes, kas veicinātu diasporas iesaisti Latvijas valsts tautsaimniecības izaugsmē, fokusējoties uz iesaistes veicināšanu ārvalstu investīciju piesais</w:t>
      </w:r>
      <w:r w:rsidR="0016422D">
        <w:rPr>
          <w:rFonts w:ascii="Candara" w:eastAsia="Candara" w:hAnsi="Candara" w:cs="Candara"/>
        </w:rPr>
        <w:t>tē, eksporta un tehnoloģiju pār</w:t>
      </w:r>
      <w:r w:rsidRPr="00516C5D">
        <w:rPr>
          <w:rFonts w:ascii="Candara" w:eastAsia="Candara" w:hAnsi="Candara" w:cs="Candara"/>
        </w:rPr>
        <w:t xml:space="preserve">neses veicināšanā. Stratēģijas mērķis ir identificēt un aprakstīt iespējamos LIAA pasākumus, kas, piemēram, nodrošina diasporas pārstāvju līdzdalību eksporta konsultāciju sniegšanā vai LIAA īstenotajā Tehnoloģiju pārneses programmā. Stratēģijas izstrādes gala </w:t>
      </w:r>
      <w:r w:rsidR="003F7800">
        <w:rPr>
          <w:rFonts w:ascii="Candara" w:eastAsia="Candara" w:hAnsi="Candara" w:cs="Candara"/>
        </w:rPr>
        <w:t xml:space="preserve">termiņš – 2017.gada 1.augusts. </w:t>
      </w:r>
    </w:p>
    <w:p w:rsidR="001E5381" w:rsidRPr="005721A2" w:rsidP="009F2C2C" w14:paraId="052EF72A" w14:textId="77777777">
      <w:pPr>
        <w:spacing w:line="240" w:lineRule="auto"/>
        <w:ind w:firstLine="426"/>
        <w:jc w:val="both"/>
        <w:rPr>
          <w:rFonts w:ascii="Candara" w:eastAsia="Candara" w:hAnsi="Candara" w:cs="Candara"/>
        </w:rPr>
      </w:pPr>
      <w:r w:rsidRPr="00516C5D">
        <w:rPr>
          <w:rFonts w:ascii="Candara" w:eastAsia="Candara" w:hAnsi="Candara" w:cs="Candara"/>
          <w:b/>
        </w:rPr>
        <w:t>Uzņēmējdarbības atklājuma principa</w:t>
      </w:r>
      <w:r>
        <w:rPr>
          <w:rFonts w:ascii="Candara" w:eastAsia="Candara" w:hAnsi="Candara" w:cs="Candara"/>
          <w:b/>
          <w:vertAlign w:val="superscript"/>
        </w:rPr>
        <w:footnoteReference w:id="41"/>
      </w:r>
      <w:r w:rsidRPr="00516C5D">
        <w:rPr>
          <w:rFonts w:ascii="Candara" w:eastAsia="Candara" w:hAnsi="Candara" w:cs="Candara"/>
          <w:b/>
        </w:rPr>
        <w:t xml:space="preserve"> īstenošana</w:t>
      </w:r>
      <w:r w:rsidRPr="00516C5D">
        <w:rPr>
          <w:rFonts w:ascii="Candara" w:eastAsia="Candara" w:hAnsi="Candara" w:cs="Candara"/>
        </w:rPr>
        <w:t>. Uzņēmējdarbības atklājuma principa nodrošināšanai RIS3 monitoringa procesa ietvaros EM veiktas strukturālās izmaiņas un sākot ar 2017.gada aprīli darbu uzsācis Nozaru politikas departaments, kura uzdevums ir nodrošināt mikro līmeņa nozaru analīzi, piemēram, uzņēmumu intervijas, lai noteiktu pastāvošos attīstības šķēršļus produktu/ nišu līmenī, t.sk. identificētu eksportspējīgākos produktus un nišas ar augstāko pievienoto vērtību, novērtētu esošo resursu bāzi (cilvēkresursi, infrastruktūra), veiktu padziļinātu ražotāju analīzi, noskaidrojot izaicinājumus, kas kavē uzņēmumu attīstības iespējas un produktu ar augstāku pievieno</w:t>
      </w:r>
      <w:r w:rsidR="005721A2">
        <w:rPr>
          <w:rFonts w:ascii="Candara" w:eastAsia="Candara" w:hAnsi="Candara" w:cs="Candara"/>
        </w:rPr>
        <w:t>to vērtību izstrādi un ražošanu.</w:t>
      </w:r>
      <w:r w:rsidR="00552465">
        <w:rPr>
          <w:rFonts w:ascii="Candara" w:eastAsia="Candara" w:hAnsi="Candara" w:cs="Candara"/>
        </w:rPr>
        <w:t xml:space="preserve"> Sīkāku aprakstu par EM un IZM aktivitātēm </w:t>
      </w:r>
      <w:r w:rsidR="00552465">
        <w:rPr>
          <w:rFonts w:ascii="Candara" w:eastAsia="Candara" w:hAnsi="Candara" w:cs="Candara"/>
        </w:rPr>
        <w:t>uzņēmējdarbības atklājuma principa īstenošanā skat. pielikums Nr.4 “Nozaru diskusiju platforma</w:t>
      </w:r>
      <w:r w:rsidRPr="00552465" w:rsidR="00552465">
        <w:rPr>
          <w:rFonts w:ascii="Candara" w:eastAsia="Candara" w:hAnsi="Candara" w:cs="Candara"/>
        </w:rPr>
        <w:t xml:space="preserve"> – </w:t>
      </w:r>
      <w:r w:rsidR="00552465">
        <w:rPr>
          <w:rFonts w:ascii="Candara" w:eastAsia="Candara" w:hAnsi="Candara" w:cs="Candara"/>
        </w:rPr>
        <w:t xml:space="preserve">uzņēmējdarbības atklājuma principa ieviešana”. </w:t>
      </w:r>
      <w:r w:rsidR="00921BC7">
        <w:rPr>
          <w:rFonts w:ascii="Arial Narrow" w:eastAsia="Times New Roman" w:hAnsi="Arial Narrow" w:cs="Times New Roman"/>
          <w:spacing w:val="-6"/>
          <w:lang w:bidi="lo-LA"/>
        </w:rPr>
        <w:br w:type="page"/>
      </w:r>
    </w:p>
    <w:p w:rsidR="001E5381" w:rsidP="001E5381" w14:paraId="75CCA9C5" w14:textId="77777777">
      <w:pPr>
        <w:pStyle w:val="Heading1"/>
        <w:shd w:val="clear" w:color="auto" w:fill="6D1D6A" w:themeFill="accent1" w:themeFillShade="BF"/>
        <w:rPr>
          <w:rFonts w:ascii="Candara" w:eastAsia="Times New Roman" w:hAnsi="Candara"/>
          <w:b/>
          <w:color w:val="FFFFFF" w:themeColor="background1"/>
          <w:lang w:eastAsia="lv-LV"/>
        </w:rPr>
      </w:pPr>
      <w:bookmarkStart w:id="48" w:name="_Toc480993960"/>
      <w:bookmarkStart w:id="49" w:name="_Toc484445196"/>
      <w:bookmarkStart w:id="50" w:name="_Toc256000012"/>
      <w:bookmarkStart w:id="51" w:name="_Toc256000028"/>
      <w:r>
        <w:rPr>
          <w:rFonts w:ascii="Candara" w:eastAsia="Times New Roman" w:hAnsi="Candara"/>
          <w:b/>
          <w:color w:val="FFFFFF" w:themeColor="background1"/>
          <w:lang w:eastAsia="lv-LV"/>
        </w:rPr>
        <w:t>PASĀKUMU PLĀNS</w:t>
      </w:r>
      <w:bookmarkEnd w:id="51"/>
      <w:bookmarkEnd w:id="50"/>
      <w:bookmarkEnd w:id="48"/>
      <w:bookmarkEnd w:id="49"/>
    </w:p>
    <w:p w:rsidR="007C2C17" w:rsidP="00AB73E1" w14:paraId="4799EE84" w14:textId="77777777">
      <w:pPr>
        <w:spacing w:before="60" w:after="0" w:line="240" w:lineRule="auto"/>
        <w:ind w:firstLine="425"/>
        <w:jc w:val="both"/>
        <w:rPr>
          <w:rFonts w:ascii="Candara" w:eastAsia="Times New Roman" w:hAnsi="Candara"/>
          <w:lang w:eastAsia="lv-LV"/>
        </w:rPr>
      </w:pPr>
      <w:r>
        <w:rPr>
          <w:rFonts w:ascii="Candara" w:eastAsia="Times New Roman" w:hAnsi="Candara"/>
          <w:lang w:eastAsia="lv-LV"/>
        </w:rPr>
        <w:t>Ekonomikas izaugsmes nodrošināšanai identificētie pasākumi ir iedalīti sešos virzienos – “</w:t>
      </w:r>
      <w:r w:rsidRPr="00427776">
        <w:rPr>
          <w:rFonts w:ascii="Candara" w:eastAsia="Times New Roman" w:hAnsi="Candara"/>
          <w:lang w:eastAsia="lv-LV"/>
        </w:rPr>
        <w:t xml:space="preserve">Inovāciju sistēmas </w:t>
      </w:r>
      <w:r>
        <w:rPr>
          <w:rFonts w:ascii="Candara" w:eastAsia="Times New Roman" w:hAnsi="Candara"/>
          <w:lang w:eastAsia="lv-LV"/>
        </w:rPr>
        <w:t>pilnveide”, “</w:t>
      </w:r>
      <w:r w:rsidRPr="00427776">
        <w:rPr>
          <w:rFonts w:ascii="Candara" w:eastAsia="Times New Roman" w:hAnsi="Candara"/>
          <w:lang w:eastAsia="lv-LV"/>
        </w:rPr>
        <w:t>Konkurētspējas stiprināšana</w:t>
      </w:r>
      <w:r>
        <w:rPr>
          <w:rFonts w:ascii="Candara" w:eastAsia="Times New Roman" w:hAnsi="Candara"/>
          <w:lang w:eastAsia="lv-LV"/>
        </w:rPr>
        <w:t>”, “</w:t>
      </w:r>
      <w:r w:rsidRPr="00427776">
        <w:rPr>
          <w:rFonts w:ascii="Candara" w:eastAsia="Times New Roman" w:hAnsi="Candara"/>
          <w:lang w:eastAsia="lv-LV"/>
        </w:rPr>
        <w:t>Eksporta veicināšana</w:t>
      </w:r>
      <w:r>
        <w:rPr>
          <w:rFonts w:ascii="Candara" w:eastAsia="Times New Roman" w:hAnsi="Candara"/>
          <w:lang w:eastAsia="lv-LV"/>
        </w:rPr>
        <w:t>”, “</w:t>
      </w:r>
      <w:r w:rsidRPr="00427776">
        <w:rPr>
          <w:rFonts w:ascii="Candara" w:eastAsia="Times New Roman" w:hAnsi="Candara"/>
          <w:lang w:eastAsia="lv-LV"/>
        </w:rPr>
        <w:t>Investīciju stimulēšana</w:t>
      </w:r>
      <w:r>
        <w:rPr>
          <w:rFonts w:ascii="Candara" w:eastAsia="Times New Roman" w:hAnsi="Candara"/>
          <w:lang w:eastAsia="lv-LV"/>
        </w:rPr>
        <w:t>”, “</w:t>
      </w:r>
      <w:r w:rsidRPr="00427776">
        <w:rPr>
          <w:rFonts w:ascii="Candara" w:eastAsia="Times New Roman" w:hAnsi="Candara"/>
          <w:lang w:eastAsia="lv-LV"/>
        </w:rPr>
        <w:t>Institucionālās un uzņēmējdarbības vides uzlabošana</w:t>
      </w:r>
      <w:r>
        <w:rPr>
          <w:rFonts w:ascii="Candara" w:eastAsia="Times New Roman" w:hAnsi="Candara"/>
          <w:lang w:eastAsia="lv-LV"/>
        </w:rPr>
        <w:t>”, “</w:t>
      </w:r>
      <w:r w:rsidR="003751D8">
        <w:rPr>
          <w:rFonts w:ascii="Candara" w:eastAsia="Times New Roman" w:hAnsi="Candara"/>
          <w:lang w:eastAsia="lv-LV"/>
        </w:rPr>
        <w:t>Zināšanu bāzes un c</w:t>
      </w:r>
      <w:r w:rsidRPr="00427776">
        <w:rPr>
          <w:rFonts w:ascii="Candara" w:eastAsia="Times New Roman" w:hAnsi="Candara"/>
          <w:lang w:eastAsia="lv-LV"/>
        </w:rPr>
        <w:t>ilvēkkapitāla attīstība</w:t>
      </w:r>
      <w:r>
        <w:rPr>
          <w:rFonts w:ascii="Candara" w:eastAsia="Times New Roman" w:hAnsi="Candara"/>
          <w:lang w:eastAsia="lv-LV"/>
        </w:rPr>
        <w:t>” un šajā nodaļā izklāst</w:t>
      </w:r>
      <w:r w:rsidR="00956676">
        <w:rPr>
          <w:rFonts w:ascii="Candara" w:eastAsia="Times New Roman" w:hAnsi="Candara"/>
          <w:lang w:eastAsia="lv-LV"/>
        </w:rPr>
        <w:t xml:space="preserve">īts </w:t>
      </w:r>
      <w:r>
        <w:rPr>
          <w:rFonts w:ascii="Candara" w:eastAsia="Times New Roman" w:hAnsi="Candara"/>
          <w:lang w:eastAsia="lv-LV"/>
        </w:rPr>
        <w:t xml:space="preserve">turpmākajā periodā </w:t>
      </w:r>
      <w:r w:rsidR="00956676">
        <w:rPr>
          <w:rFonts w:ascii="Candara" w:eastAsia="Times New Roman" w:hAnsi="Candara"/>
          <w:lang w:eastAsia="lv-LV"/>
        </w:rPr>
        <w:t>veicamo pasākumu plāns</w:t>
      </w:r>
      <w:r>
        <w:rPr>
          <w:rFonts w:ascii="Candara" w:eastAsia="Times New Roman" w:hAnsi="Candara"/>
          <w:lang w:eastAsia="lv-LV"/>
        </w:rPr>
        <w:t xml:space="preserve"> </w:t>
      </w:r>
      <w:r w:rsidR="00956676">
        <w:rPr>
          <w:rFonts w:ascii="Candara" w:eastAsia="Times New Roman" w:hAnsi="Candara"/>
          <w:lang w:eastAsia="lv-LV"/>
        </w:rPr>
        <w:t>katrā no virzieniem, detalizēti definējot konkrētus atbalsta instrumentus un politikas iniciatīvas</w:t>
      </w:r>
      <w:r>
        <w:rPr>
          <w:rFonts w:ascii="Candara" w:eastAsia="Times New Roman" w:hAnsi="Candara"/>
          <w:lang w:eastAsia="lv-LV"/>
        </w:rPr>
        <w:t xml:space="preserve">. </w:t>
      </w:r>
      <w:r w:rsidR="00956676">
        <w:rPr>
          <w:rFonts w:ascii="Candara" w:eastAsia="Times New Roman" w:hAnsi="Candara"/>
          <w:lang w:eastAsia="lv-LV"/>
        </w:rPr>
        <w:t>V</w:t>
      </w:r>
      <w:r>
        <w:rPr>
          <w:rFonts w:ascii="Candara" w:eastAsia="Times New Roman" w:hAnsi="Candara"/>
          <w:lang w:eastAsia="lv-LV"/>
        </w:rPr>
        <w:t>irzien</w:t>
      </w:r>
      <w:r w:rsidR="00956676">
        <w:rPr>
          <w:rFonts w:ascii="Candara" w:eastAsia="Times New Roman" w:hAnsi="Candara"/>
          <w:lang w:eastAsia="lv-LV"/>
        </w:rPr>
        <w:t>u</w:t>
      </w:r>
      <w:r>
        <w:rPr>
          <w:rFonts w:ascii="Candara" w:eastAsia="Times New Roman" w:hAnsi="Candara"/>
          <w:lang w:eastAsia="lv-LV"/>
        </w:rPr>
        <w:t xml:space="preserve"> ieguldījumu zināšanu ietilpīgas tautsaimniecības izaugsmes</w:t>
      </w:r>
      <w:r w:rsidR="0016422D">
        <w:rPr>
          <w:rFonts w:ascii="Candara" w:eastAsia="Times New Roman" w:hAnsi="Candara"/>
          <w:lang w:eastAsia="lv-LV"/>
        </w:rPr>
        <w:t xml:space="preserve"> nodrošināšanā skat. attēls Nr.</w:t>
      </w:r>
      <w:r>
        <w:rPr>
          <w:rFonts w:ascii="Candara" w:eastAsia="Times New Roman" w:hAnsi="Candara"/>
          <w:lang w:eastAsia="lv-LV"/>
        </w:rPr>
        <w:t xml:space="preserve">58. </w:t>
      </w:r>
    </w:p>
    <w:p w:rsidR="007C2C17" w:rsidP="00AB73E1" w14:paraId="776012D8" w14:textId="13867713">
      <w:pPr>
        <w:spacing w:before="60" w:after="0" w:line="240" w:lineRule="auto"/>
        <w:ind w:firstLine="425"/>
        <w:jc w:val="both"/>
        <w:rPr>
          <w:rFonts w:ascii="Candara" w:eastAsia="Times New Roman" w:hAnsi="Candara"/>
          <w:lang w:eastAsia="lv-LV"/>
        </w:rPr>
      </w:pPr>
      <w:r>
        <w:rPr>
          <w:rFonts w:ascii="Candara" w:eastAsia="Times New Roman" w:hAnsi="Candara"/>
          <w:lang w:eastAsia="lv-LV"/>
        </w:rPr>
        <w:t xml:space="preserve">Saskaņā ar iepriekšējās nodaļās minēto, </w:t>
      </w:r>
      <w:r w:rsidR="00D92FF7">
        <w:rPr>
          <w:rFonts w:ascii="Candara" w:eastAsia="Times New Roman" w:hAnsi="Candara"/>
          <w:lang w:eastAsia="lv-LV"/>
        </w:rPr>
        <w:t>IZM laika</w:t>
      </w:r>
      <w:r w:rsidR="0016422D">
        <w:rPr>
          <w:rFonts w:ascii="Candara" w:eastAsia="Times New Roman" w:hAnsi="Candara"/>
          <w:lang w:eastAsia="lv-LV"/>
        </w:rPr>
        <w:t xml:space="preserve"> posmā no 2014. gada līdz 2017.</w:t>
      </w:r>
      <w:r w:rsidR="00D92FF7">
        <w:rPr>
          <w:rFonts w:ascii="Candara" w:eastAsia="Times New Roman" w:hAnsi="Candara"/>
          <w:lang w:eastAsia="lv-LV"/>
        </w:rPr>
        <w:t xml:space="preserve">gada </w:t>
      </w:r>
      <w:r w:rsidR="00173A38">
        <w:rPr>
          <w:rFonts w:ascii="Candara" w:eastAsia="Times New Roman" w:hAnsi="Candara"/>
          <w:lang w:eastAsia="lv-LV"/>
        </w:rPr>
        <w:t xml:space="preserve">nogalei </w:t>
      </w:r>
      <w:r w:rsidR="00D92FF7">
        <w:rPr>
          <w:rFonts w:ascii="Candara" w:eastAsia="Times New Roman" w:hAnsi="Candara"/>
          <w:lang w:eastAsia="lv-LV"/>
        </w:rPr>
        <w:t>ir īstenojusi nozīmīg</w:t>
      </w:r>
      <w:r w:rsidR="00665190">
        <w:rPr>
          <w:rFonts w:ascii="Candara" w:eastAsia="Times New Roman" w:hAnsi="Candara"/>
          <w:lang w:eastAsia="lv-LV"/>
        </w:rPr>
        <w:t>u darbu</w:t>
      </w:r>
      <w:r>
        <w:rPr>
          <w:rFonts w:ascii="Candara" w:eastAsia="Times New Roman" w:hAnsi="Candara"/>
          <w:lang w:eastAsia="lv-LV"/>
        </w:rPr>
        <w:t>, lai nodrošinātu</w:t>
      </w:r>
      <w:r w:rsidR="00D92FF7">
        <w:rPr>
          <w:rFonts w:ascii="Candara" w:eastAsia="Times New Roman" w:hAnsi="Candara"/>
          <w:lang w:eastAsia="lv-LV"/>
        </w:rPr>
        <w:t xml:space="preserve"> </w:t>
      </w:r>
      <w:r w:rsidRPr="00665190" w:rsidR="00665190">
        <w:rPr>
          <w:rFonts w:ascii="Candara" w:eastAsia="Times New Roman" w:hAnsi="Candara"/>
          <w:lang w:eastAsia="lv-LV"/>
        </w:rPr>
        <w:t xml:space="preserve">RIS3 ekosistēmas </w:t>
      </w:r>
      <w:r>
        <w:rPr>
          <w:rFonts w:ascii="Candara" w:eastAsia="Times New Roman" w:hAnsi="Candara"/>
          <w:lang w:eastAsia="lv-LV"/>
        </w:rPr>
        <w:t>pilnveidi</w:t>
      </w:r>
      <w:r w:rsidR="00665190">
        <w:rPr>
          <w:rFonts w:ascii="Candara" w:eastAsia="Times New Roman" w:hAnsi="Candara"/>
          <w:lang w:eastAsia="lv-LV"/>
        </w:rPr>
        <w:t xml:space="preserve">, </w:t>
      </w:r>
      <w:r>
        <w:rPr>
          <w:rFonts w:ascii="Candara" w:eastAsia="Times New Roman" w:hAnsi="Candara"/>
          <w:lang w:eastAsia="lv-LV"/>
        </w:rPr>
        <w:t>ar mērķi sekmēt</w:t>
      </w:r>
      <w:r w:rsidR="00D92FF7">
        <w:rPr>
          <w:rFonts w:ascii="Candara" w:eastAsia="Times New Roman" w:hAnsi="Candara"/>
          <w:lang w:eastAsia="lv-LV"/>
        </w:rPr>
        <w:t xml:space="preserve"> zinātnes un tehnoloģiju</w:t>
      </w:r>
      <w:r w:rsidR="001E5AD0">
        <w:rPr>
          <w:rFonts w:ascii="Candara" w:eastAsia="Times New Roman" w:hAnsi="Candara"/>
          <w:lang w:eastAsia="lv-LV"/>
        </w:rPr>
        <w:t xml:space="preserve"> </w:t>
      </w:r>
      <w:r w:rsidR="00D92FF7">
        <w:rPr>
          <w:rFonts w:ascii="Candara" w:eastAsia="Times New Roman" w:hAnsi="Candara"/>
          <w:lang w:eastAsia="lv-LV"/>
        </w:rPr>
        <w:t>nozares konkurētspējas paaugstināšanu un tās sasaisti ar sabiedrības un tautsaimniecības attīstības vajadzībām gan veicot virkni normatīvā regulējuma izmaiņu, gan izst</w:t>
      </w:r>
      <w:r>
        <w:rPr>
          <w:rFonts w:ascii="Candara" w:eastAsia="Times New Roman" w:hAnsi="Candara"/>
          <w:lang w:eastAsia="lv-LV"/>
        </w:rPr>
        <w:t xml:space="preserve">rādājot ieviešanas nosacījumus </w:t>
      </w:r>
      <w:r w:rsidR="00D92FF7">
        <w:rPr>
          <w:rFonts w:ascii="Candara" w:eastAsia="Times New Roman" w:hAnsi="Candara"/>
          <w:lang w:eastAsia="lv-LV"/>
        </w:rPr>
        <w:t>ES struktūrfondu</w:t>
      </w:r>
      <w:r>
        <w:rPr>
          <w:rFonts w:ascii="Candara" w:eastAsia="Times New Roman" w:hAnsi="Candara"/>
          <w:lang w:eastAsia="lv-LV"/>
        </w:rPr>
        <w:t xml:space="preserve"> un valsts budžeta</w:t>
      </w:r>
      <w:r w:rsidR="00D92FF7">
        <w:rPr>
          <w:rFonts w:ascii="Candara" w:eastAsia="Times New Roman" w:hAnsi="Candara"/>
          <w:lang w:eastAsia="lv-LV"/>
        </w:rPr>
        <w:t xml:space="preserve"> ieguldījumiem zinātnē. Tālākā periodā nepieciešams turpināt uzsākto. </w:t>
      </w:r>
      <w:r>
        <w:rPr>
          <w:rFonts w:ascii="Candara" w:eastAsia="Times New Roman" w:hAnsi="Candara"/>
          <w:lang w:eastAsia="lv-LV"/>
        </w:rPr>
        <w:t xml:space="preserve">Vienlaikus </w:t>
      </w:r>
      <w:r w:rsidR="00956676">
        <w:rPr>
          <w:rFonts w:ascii="Candara" w:eastAsia="Times New Roman" w:hAnsi="Candara"/>
          <w:lang w:eastAsia="lv-LV"/>
        </w:rPr>
        <w:t xml:space="preserve">izvērtējot IZM ES struktūrfondu programmu pašreiz projektu ietvaros uzņemtās saistības pret programmās izvirzītajiem sasniedzamajiem rezultātiem </w:t>
      </w:r>
      <w:r>
        <w:rPr>
          <w:rFonts w:ascii="Candara" w:eastAsia="Times New Roman" w:hAnsi="Candara"/>
          <w:lang w:eastAsia="lv-LV"/>
        </w:rPr>
        <w:t xml:space="preserve">RIS3 mikro līmeņa rādītāju kontekstā, vairākas uzņemtās saistības </w:t>
      </w:r>
      <w:r w:rsidR="0016422D">
        <w:rPr>
          <w:rFonts w:ascii="Candara" w:eastAsia="Times New Roman" w:hAnsi="Candara"/>
          <w:lang w:eastAsia="lv-LV"/>
        </w:rPr>
        <w:t>1.1.1.1.pasākumā un 1.1.1.2.p</w:t>
      </w:r>
      <w:r w:rsidR="00956676">
        <w:rPr>
          <w:rFonts w:ascii="Candara" w:eastAsia="Times New Roman" w:hAnsi="Candara"/>
          <w:lang w:eastAsia="lv-LV"/>
        </w:rPr>
        <w:t xml:space="preserve">asākumā </w:t>
      </w:r>
      <w:r>
        <w:rPr>
          <w:rFonts w:ascii="Candara" w:eastAsia="Times New Roman" w:hAnsi="Candara"/>
          <w:lang w:eastAsia="lv-LV"/>
        </w:rPr>
        <w:t xml:space="preserve">attiecībā uz privātā sektora iesaisti pētniecībā, signalizē par risku nesasniegt plānotos rezultātus. Lai </w:t>
      </w:r>
      <w:r w:rsidR="00956676">
        <w:rPr>
          <w:rFonts w:ascii="Candara" w:eastAsia="Times New Roman" w:hAnsi="Candara"/>
          <w:lang w:eastAsia="lv-LV"/>
        </w:rPr>
        <w:t>nodrošinātu pārdomātu un analīzē balstītu iespējamu konkrēto programmu ieviešanas nosacījumu izmaiņu</w:t>
      </w:r>
      <w:r w:rsidR="0016422D">
        <w:rPr>
          <w:rFonts w:ascii="Candara" w:eastAsia="Times New Roman" w:hAnsi="Candara"/>
          <w:lang w:eastAsia="lv-LV"/>
        </w:rPr>
        <w:t xml:space="preserve"> veikšanu, IZM</w:t>
      </w:r>
      <w:r w:rsidR="00D07C56">
        <w:rPr>
          <w:rFonts w:ascii="Candara" w:eastAsia="Times New Roman" w:hAnsi="Candara"/>
          <w:lang w:eastAsia="lv-LV"/>
        </w:rPr>
        <w:t xml:space="preserve"> izstrādā </w:t>
      </w:r>
      <w:r w:rsidRPr="00D07C56" w:rsidR="00D07C56">
        <w:rPr>
          <w:rFonts w:ascii="Candara" w:eastAsia="Times New Roman" w:hAnsi="Candara"/>
          <w:lang w:eastAsia="lv-LV"/>
        </w:rPr>
        <w:t>informatīvā ziņojuma projektu “Darbības programmas “Izaugsme un nodarbinātība” 1.1.1.specifiskā atbalsta mērķa “Palielināt Latvijas zinātnisko institūciju pētniecisko un inovatīvo kapacitāti un spēju piesaistīt ārējo finansējumu, ieguldot cilvēkresursos un infrastruktūrā” pasākumu pirmās projektu iesniegumu atlases kārtas rezultātu analīze un priekšlikumi turpmāko atlases kārtu saturiskiem un procedurāliem uzlabojumiem”</w:t>
      </w:r>
      <w:r w:rsidR="00D07C56">
        <w:rPr>
          <w:rFonts w:ascii="Candara" w:eastAsia="Times New Roman" w:hAnsi="Candara"/>
          <w:lang w:eastAsia="lv-LV"/>
        </w:rPr>
        <w:t xml:space="preserve"> projektu</w:t>
      </w:r>
      <w:r>
        <w:rPr>
          <w:rStyle w:val="FootnoteReference"/>
          <w:rFonts w:ascii="Candara" w:eastAsia="Times New Roman" w:hAnsi="Candara"/>
          <w:lang w:eastAsia="lv-LV"/>
        </w:rPr>
        <w:footnoteReference w:id="42"/>
      </w:r>
      <w:r w:rsidR="00956676">
        <w:rPr>
          <w:rFonts w:ascii="Candara" w:eastAsia="Times New Roman" w:hAnsi="Candara"/>
          <w:lang w:eastAsia="lv-LV"/>
        </w:rPr>
        <w:t>, indikatīvi – turpmākajās 1.1</w:t>
      </w:r>
      <w:r w:rsidR="0016422D">
        <w:rPr>
          <w:rFonts w:ascii="Candara" w:eastAsia="Times New Roman" w:hAnsi="Candara"/>
          <w:lang w:eastAsia="lv-LV"/>
        </w:rPr>
        <w:t>.1.1. un 1.1.1.2.</w:t>
      </w:r>
      <w:r w:rsidR="00956676">
        <w:rPr>
          <w:rFonts w:ascii="Candara" w:eastAsia="Times New Roman" w:hAnsi="Candara"/>
          <w:lang w:eastAsia="lv-LV"/>
        </w:rPr>
        <w:t xml:space="preserve">pasākuma atlases kārtās plānojot </w:t>
      </w:r>
      <w:r w:rsidRPr="00B33B9F" w:rsidR="00B33B9F">
        <w:rPr>
          <w:rFonts w:ascii="Candara" w:eastAsia="Times New Roman" w:hAnsi="Candara"/>
          <w:lang w:eastAsia="lv-LV"/>
        </w:rPr>
        <w:t xml:space="preserve">tematiskas projektu pieteikumu atlases kārtas RIS3 jomās un prioritātēs un veicot </w:t>
      </w:r>
      <w:r w:rsidR="006F24AE">
        <w:rPr>
          <w:rFonts w:ascii="Candara" w:eastAsia="Times New Roman" w:hAnsi="Candara"/>
          <w:lang w:eastAsia="lv-LV"/>
        </w:rPr>
        <w:t xml:space="preserve">papildu </w:t>
      </w:r>
      <w:r w:rsidRPr="00B33B9F" w:rsidR="00B33B9F">
        <w:rPr>
          <w:rFonts w:ascii="Candara" w:eastAsia="Times New Roman" w:hAnsi="Candara"/>
          <w:lang w:eastAsia="lv-LV"/>
        </w:rPr>
        <w:t>pasākumus ārvalstu un diasporas jauno zinātnieku piesaistei</w:t>
      </w:r>
      <w:r w:rsidR="00D07C56">
        <w:rPr>
          <w:rFonts w:ascii="Candara" w:eastAsia="Times New Roman" w:hAnsi="Candara"/>
          <w:lang w:eastAsia="lv-LV"/>
        </w:rPr>
        <w:t>, privātā līdzfinansējuma un komersantu piesaistei investīciju programmu īstenošanā</w:t>
      </w:r>
      <w:r w:rsidR="006D4322">
        <w:rPr>
          <w:rFonts w:ascii="Candara" w:eastAsia="Times New Roman" w:hAnsi="Candara"/>
          <w:lang w:eastAsia="lv-LV"/>
        </w:rPr>
        <w:t xml:space="preserve">. </w:t>
      </w:r>
      <w:r>
        <w:rPr>
          <w:rFonts w:ascii="Candara" w:eastAsia="Times New Roman" w:hAnsi="Candara"/>
          <w:lang w:eastAsia="lv-LV"/>
        </w:rPr>
        <w:t>Papildu pieminams, ka</w:t>
      </w:r>
      <w:r>
        <w:rPr>
          <w:rFonts w:ascii="Candara" w:eastAsia="Times New Roman" w:hAnsi="Candara"/>
          <w:lang w:eastAsia="lv-LV"/>
        </w:rPr>
        <w:t xml:space="preserve">, ievērojot ka, lai izvērtētu Latvijas zinātnes finansēšanas sistēmas efektivitāti, IZM ir piesaistījusi </w:t>
      </w:r>
      <w:r>
        <w:rPr>
          <w:rFonts w:ascii="Candara" w:eastAsia="Times New Roman" w:hAnsi="Candara"/>
          <w:i/>
          <w:lang w:eastAsia="lv-LV"/>
        </w:rPr>
        <w:t xml:space="preserve">Horizon 2020 Support Facility </w:t>
      </w:r>
      <w:r>
        <w:rPr>
          <w:rFonts w:ascii="Candara" w:eastAsia="Times New Roman" w:hAnsi="Candara"/>
          <w:lang w:eastAsia="lv-LV"/>
        </w:rPr>
        <w:t xml:space="preserve">ekspertus, kas laika posmā līdz 2017.gada </w:t>
      </w:r>
      <w:r w:rsidR="00D07C56">
        <w:rPr>
          <w:rFonts w:ascii="Candara" w:eastAsia="Times New Roman" w:hAnsi="Candara"/>
          <w:lang w:eastAsia="lv-LV"/>
        </w:rPr>
        <w:t xml:space="preserve">nogailei </w:t>
      </w:r>
      <w:r>
        <w:rPr>
          <w:rFonts w:ascii="Candara" w:eastAsia="Times New Roman" w:hAnsi="Candara"/>
          <w:lang w:eastAsia="lv-LV"/>
        </w:rPr>
        <w:t xml:space="preserve">veic darbu pie nacionālās zinātnes </w:t>
      </w:r>
      <w:r w:rsidR="00B554AC">
        <w:rPr>
          <w:rFonts w:ascii="Candara" w:eastAsia="Times New Roman" w:hAnsi="Candara"/>
          <w:lang w:eastAsia="lv-LV"/>
        </w:rPr>
        <w:t xml:space="preserve">un inovāciju </w:t>
      </w:r>
      <w:r>
        <w:rPr>
          <w:rFonts w:ascii="Candara" w:eastAsia="Times New Roman" w:hAnsi="Candara"/>
          <w:lang w:eastAsia="lv-LV"/>
        </w:rPr>
        <w:t xml:space="preserve">finansēšanas sistēmas izvērtējuma, kas tai skaitā </w:t>
      </w:r>
      <w:r w:rsidR="000C7C90">
        <w:rPr>
          <w:rFonts w:ascii="Candara" w:eastAsia="Times New Roman" w:hAnsi="Candara"/>
          <w:lang w:eastAsia="lv-LV"/>
        </w:rPr>
        <w:t>iekļaus</w:t>
      </w:r>
      <w:r>
        <w:rPr>
          <w:rFonts w:ascii="Candara" w:eastAsia="Times New Roman" w:hAnsi="Candara"/>
          <w:lang w:eastAsia="lv-LV"/>
        </w:rPr>
        <w:t xml:space="preserve"> rekomendācijas tās uzlabošanai,</w:t>
      </w:r>
      <w:r w:rsidR="000C7C90">
        <w:rPr>
          <w:rFonts w:ascii="Candara" w:eastAsia="Times New Roman" w:hAnsi="Candara"/>
          <w:lang w:eastAsia="lv-LV"/>
        </w:rPr>
        <w:t xml:space="preserve"> tāpēc</w:t>
      </w:r>
      <w:r>
        <w:rPr>
          <w:rFonts w:ascii="Candara" w:eastAsia="Times New Roman" w:hAnsi="Candara"/>
          <w:lang w:eastAsia="lv-LV"/>
        </w:rPr>
        <w:t xml:space="preserve"> iespējami tālākās likumdošanas u.c. normatīvā regulējuma sakārtošanas da</w:t>
      </w:r>
      <w:r w:rsidR="009A650D">
        <w:rPr>
          <w:rFonts w:ascii="Candara" w:eastAsia="Times New Roman" w:hAnsi="Candara"/>
          <w:lang w:eastAsia="lv-LV"/>
        </w:rPr>
        <w:t xml:space="preserve">rbi, kas gan šobrīd vēl nav identificējami. </w:t>
      </w:r>
    </w:p>
    <w:p w:rsidR="006F24AE" w:rsidP="00AB73E1" w14:paraId="3BBFE0F4" w14:textId="77777777">
      <w:pPr>
        <w:spacing w:before="60" w:after="0" w:line="240" w:lineRule="auto"/>
        <w:ind w:firstLine="426"/>
        <w:jc w:val="both"/>
        <w:rPr>
          <w:rFonts w:ascii="Candara" w:eastAsia="Times New Roman" w:hAnsi="Candara"/>
          <w:lang w:eastAsia="lv-LV"/>
        </w:rPr>
      </w:pPr>
      <w:r>
        <w:rPr>
          <w:rFonts w:ascii="Candara" w:eastAsia="Times New Roman" w:hAnsi="Candara"/>
          <w:lang w:eastAsia="lv-LV"/>
        </w:rPr>
        <w:t>Vienlaikus Ekonomikas ministrija īstenojusi un plāno turpināt būtiskas aktivitātes (atbalsta instrumenti, normatīvā ietvara pilnveidošana u.c. proaktīvas rīcības), kurām ir ietekme uz RIS3 ekosistēmas pilnveidošanu. Šie pasākumi vērsti gan uz privātā sektora investīciju piesaisti P&amp;A un inovācijas darbībām, jaunu inovatīvu uzņēmumam skaita pieaugumu, t.sk. jaunu tehnoloģiski orientētu jaunuzņēmumu (</w:t>
      </w:r>
      <w:r w:rsidRPr="00484132">
        <w:rPr>
          <w:rFonts w:ascii="Candara" w:eastAsia="Times New Roman" w:hAnsi="Candara"/>
          <w:i/>
          <w:lang w:eastAsia="lv-LV"/>
        </w:rPr>
        <w:t>start-up</w:t>
      </w:r>
      <w:r>
        <w:rPr>
          <w:rFonts w:ascii="Candara" w:eastAsia="Times New Roman" w:hAnsi="Candara"/>
          <w:lang w:eastAsia="lv-LV"/>
        </w:rPr>
        <w:t xml:space="preserve">) vides sakārtošanu, gan nodokļu stimulu pieejamību, eksporta sekmēšanu un ārvalstu tiešo investīciju piesaisti, kā arī pasākumiem, kas vērsti uz cilvēkresursu attīstību un produktivitātes celšanu. </w:t>
      </w:r>
      <w:r w:rsidR="005B7152">
        <w:rPr>
          <w:rFonts w:ascii="Candara" w:eastAsia="Times New Roman" w:hAnsi="Candara"/>
          <w:lang w:eastAsia="lv-LV"/>
        </w:rPr>
        <w:t xml:space="preserve">Turklāt, vadoties no pieprasījuma un lietderības aspektiem, būtiski nodrošināt pasākumus, kas paredz valsts intervenci uzņēmējdarbības aktivitātes pieaugumam un ražošanu atbalstošas infrastruktūras izveidei, attiecīgi uzņēmumiem ļaujot fokusēties uz investīcijām produktivitātes kāpināšanai, šim nolūkam atbrīvojot finanšu resursus. Esošajā situācijā šādu pasākumu īstenošanai trūkst finansiāla seguma un ir nepieciešams attiecīgu pasākumu kopums, lai to īstenotu. </w:t>
      </w:r>
      <w:r>
        <w:rPr>
          <w:rFonts w:ascii="Candara" w:eastAsia="Times New Roman" w:hAnsi="Candara"/>
          <w:lang w:eastAsia="lv-LV"/>
        </w:rPr>
        <w:t>Visu šo aktivitāšu kopums ir cieši saistīts un tiem ir ietekme uz RIS3 izvirzīto rādītāju uzlabošanu. Paralēli jānorāda, ka 2018.gadā paredzēta ES struktūrfondu inovācijas atbalsta aktivitāšu vidusposma izvērtēšana, lai tādējādi iegūtu</w:t>
      </w:r>
      <w:r w:rsidRPr="00B608EB">
        <w:rPr>
          <w:rFonts w:ascii="Candara" w:eastAsia="Times New Roman" w:hAnsi="Candara"/>
          <w:lang w:eastAsia="lv-LV"/>
        </w:rPr>
        <w:t xml:space="preserve"> kvantitatīvu</w:t>
      </w:r>
      <w:r>
        <w:rPr>
          <w:rFonts w:ascii="Candara" w:eastAsia="Times New Roman" w:hAnsi="Candara"/>
          <w:lang w:eastAsia="lv-LV"/>
        </w:rPr>
        <w:t xml:space="preserve"> un kval</w:t>
      </w:r>
      <w:r w:rsidR="0016422D">
        <w:rPr>
          <w:rFonts w:ascii="Candara" w:eastAsia="Times New Roman" w:hAnsi="Candara"/>
          <w:lang w:eastAsia="lv-LV"/>
        </w:rPr>
        <w:t>itatīvu analīzi par 2014.</w:t>
      </w:r>
      <w:r w:rsidR="000C7C90">
        <w:rPr>
          <w:rFonts w:ascii="Candara" w:eastAsia="Times New Roman" w:hAnsi="Candara"/>
          <w:lang w:eastAsia="lv-LV"/>
        </w:rPr>
        <w:t xml:space="preserve"> – </w:t>
      </w:r>
      <w:r w:rsidR="0016422D">
        <w:rPr>
          <w:rFonts w:ascii="Candara" w:eastAsia="Times New Roman" w:hAnsi="Candara"/>
          <w:lang w:eastAsia="lv-LV"/>
        </w:rPr>
        <w:t>2020.</w:t>
      </w:r>
      <w:r>
        <w:rPr>
          <w:rFonts w:ascii="Candara" w:eastAsia="Times New Roman" w:hAnsi="Candara"/>
          <w:lang w:eastAsia="lv-LV"/>
        </w:rPr>
        <w:t>gada</w:t>
      </w:r>
      <w:r w:rsidRPr="00B608EB">
        <w:rPr>
          <w:rFonts w:ascii="Candara" w:eastAsia="Times New Roman" w:hAnsi="Candara"/>
          <w:lang w:eastAsia="lv-LV"/>
        </w:rPr>
        <w:t xml:space="preserve"> plānošanas perioda ieguldījumiem </w:t>
      </w:r>
      <w:r>
        <w:rPr>
          <w:rFonts w:ascii="Candara" w:eastAsia="Times New Roman" w:hAnsi="Candara"/>
          <w:lang w:eastAsia="lv-LV"/>
        </w:rPr>
        <w:t xml:space="preserve">pētniecības, attīstības, inovācijas un </w:t>
      </w:r>
      <w:r w:rsidRPr="00B608EB">
        <w:rPr>
          <w:rFonts w:ascii="Candara" w:eastAsia="Times New Roman" w:hAnsi="Candara"/>
          <w:lang w:eastAsia="lv-LV"/>
        </w:rPr>
        <w:t xml:space="preserve">uzņēmējdarbības </w:t>
      </w:r>
      <w:r>
        <w:rPr>
          <w:rFonts w:ascii="Candara" w:eastAsia="Times New Roman" w:hAnsi="Candara"/>
          <w:lang w:eastAsia="lv-LV"/>
        </w:rPr>
        <w:t>jomā</w:t>
      </w:r>
      <w:r w:rsidRPr="00B608EB">
        <w:rPr>
          <w:rFonts w:ascii="Candara" w:eastAsia="Times New Roman" w:hAnsi="Candara"/>
          <w:lang w:eastAsia="lv-LV"/>
        </w:rPr>
        <w:t xml:space="preserve">, </w:t>
      </w:r>
      <w:r>
        <w:rPr>
          <w:rFonts w:ascii="Candara" w:eastAsia="Times New Roman" w:hAnsi="Candara"/>
          <w:lang w:eastAsia="lv-LV"/>
        </w:rPr>
        <w:t xml:space="preserve">kas </w:t>
      </w:r>
      <w:r w:rsidRPr="00B608EB">
        <w:rPr>
          <w:rFonts w:ascii="Candara" w:eastAsia="Times New Roman" w:hAnsi="Candara"/>
          <w:lang w:eastAsia="lv-LV"/>
        </w:rPr>
        <w:t xml:space="preserve">nodrošinātu uz pierādījumiem balstītu politikas plānošanu, </w:t>
      </w:r>
      <w:r>
        <w:rPr>
          <w:rFonts w:ascii="Candara" w:eastAsia="Times New Roman" w:hAnsi="Candara"/>
          <w:lang w:eastAsia="lv-LV"/>
        </w:rPr>
        <w:t>pārskatot 2014.-2020.</w:t>
      </w:r>
      <w:r w:rsidRPr="00B608EB">
        <w:rPr>
          <w:rFonts w:ascii="Candara" w:eastAsia="Times New Roman" w:hAnsi="Candara"/>
          <w:lang w:eastAsia="lv-LV"/>
        </w:rPr>
        <w:t xml:space="preserve">gada plānošanas perioda </w:t>
      </w:r>
      <w:r>
        <w:rPr>
          <w:rFonts w:ascii="Candara" w:eastAsia="Times New Roman" w:hAnsi="Candara"/>
          <w:lang w:eastAsia="lv-LV"/>
        </w:rPr>
        <w:t>ieguldījumu virzienus un piedāvātu pielāgotas atbalsta formas</w:t>
      </w:r>
      <w:r w:rsidRPr="00B608EB">
        <w:rPr>
          <w:rFonts w:ascii="Candara" w:eastAsia="Times New Roman" w:hAnsi="Candara"/>
          <w:lang w:eastAsia="lv-LV"/>
        </w:rPr>
        <w:t>.</w:t>
      </w:r>
      <w:r>
        <w:rPr>
          <w:rFonts w:ascii="Candara" w:eastAsia="Times New Roman" w:hAnsi="Candara"/>
          <w:lang w:eastAsia="lv-LV"/>
        </w:rPr>
        <w:t xml:space="preserve"> Paralēli Ekonomikas ministrija nodrošinās </w:t>
      </w:r>
      <w:r w:rsidRPr="00CD3D31">
        <w:rPr>
          <w:rFonts w:ascii="Candara" w:eastAsia="Times New Roman" w:hAnsi="Candara"/>
          <w:lang w:eastAsia="lv-LV"/>
        </w:rPr>
        <w:t xml:space="preserve">mikro </w:t>
      </w:r>
      <w:r>
        <w:rPr>
          <w:rFonts w:ascii="Candara" w:eastAsia="Times New Roman" w:hAnsi="Candara"/>
          <w:lang w:eastAsia="lv-LV"/>
        </w:rPr>
        <w:t xml:space="preserve">(uzņēmumu) </w:t>
      </w:r>
      <w:r w:rsidRPr="00CD3D31">
        <w:rPr>
          <w:rFonts w:ascii="Candara" w:eastAsia="Times New Roman" w:hAnsi="Candara"/>
          <w:lang w:eastAsia="lv-LV"/>
        </w:rPr>
        <w:t>līmeņa nozaru analīzi,</w:t>
      </w:r>
      <w:r>
        <w:rPr>
          <w:rFonts w:ascii="Candara" w:eastAsia="Times New Roman" w:hAnsi="Candara"/>
          <w:lang w:eastAsia="lv-LV"/>
        </w:rPr>
        <w:t xml:space="preserve"> tādējādi stiprinot atgriezenisko saiti ar nozaru uzņēmumiem, identificējot atbilstošus intervences </w:t>
      </w:r>
      <w:r>
        <w:rPr>
          <w:rFonts w:ascii="Candara" w:eastAsia="Times New Roman" w:hAnsi="Candara"/>
          <w:lang w:eastAsia="lv-LV"/>
        </w:rPr>
        <w:t>pasākumus Latvijas uzņēmumu inovācijas spējas, produktivitātes un ārējās konkurētspējas uzlabošanai.</w:t>
      </w:r>
    </w:p>
    <w:p w:rsidR="00AB73E1" w:rsidP="00AB73E1" w14:paraId="4B25CD7A" w14:textId="77777777">
      <w:pPr>
        <w:spacing w:before="60" w:after="0" w:line="240" w:lineRule="auto"/>
        <w:ind w:firstLine="426"/>
        <w:jc w:val="both"/>
        <w:rPr>
          <w:rFonts w:ascii="Candara" w:eastAsia="Times New Roman" w:hAnsi="Candara"/>
          <w:lang w:eastAsia="lv-LV"/>
        </w:rPr>
      </w:pPr>
      <w:r>
        <w:rPr>
          <w:rFonts w:ascii="Candara" w:eastAsia="Times New Roman" w:hAnsi="Candara"/>
          <w:lang w:eastAsia="lv-LV"/>
        </w:rPr>
        <w:t>Saskaņā ar 2015. gada 15. septembrī Ministru kabinetā izskatīto</w:t>
      </w:r>
      <w:r w:rsidRPr="00301FD8">
        <w:rPr>
          <w:rFonts w:ascii="Candara" w:eastAsia="Times New Roman" w:hAnsi="Candara"/>
          <w:lang w:eastAsia="lv-LV"/>
        </w:rPr>
        <w:t xml:space="preserve"> informatīv</w:t>
      </w:r>
      <w:r>
        <w:rPr>
          <w:rFonts w:ascii="Candara" w:eastAsia="Times New Roman" w:hAnsi="Candara"/>
          <w:lang w:eastAsia="lv-LV"/>
        </w:rPr>
        <w:t>o</w:t>
      </w:r>
      <w:r w:rsidRPr="00301FD8">
        <w:rPr>
          <w:rFonts w:ascii="Candara" w:eastAsia="Times New Roman" w:hAnsi="Candara"/>
          <w:lang w:eastAsia="lv-LV"/>
        </w:rPr>
        <w:t xml:space="preserve"> ziņojum</w:t>
      </w:r>
      <w:r>
        <w:rPr>
          <w:rFonts w:ascii="Candara" w:eastAsia="Times New Roman" w:hAnsi="Candara"/>
          <w:lang w:eastAsia="lv-LV"/>
        </w:rPr>
        <w:t>u</w:t>
      </w:r>
      <w:r w:rsidRPr="00301FD8">
        <w:rPr>
          <w:rFonts w:ascii="Candara" w:eastAsia="Times New Roman" w:hAnsi="Candara"/>
          <w:lang w:eastAsia="lv-LV"/>
        </w:rPr>
        <w:t xml:space="preserve"> “Viedās specializācijas stratēģijas monitoringa sistēma” (</w:t>
      </w:r>
      <w:r>
        <w:rPr>
          <w:rFonts w:ascii="Candara" w:eastAsia="Times New Roman" w:hAnsi="Candara"/>
          <w:lang w:eastAsia="lv-LV"/>
        </w:rPr>
        <w:t xml:space="preserve">protokols Nr. 47; 35 §), </w:t>
      </w:r>
      <w:r w:rsidRPr="00AB73E1">
        <w:rPr>
          <w:rFonts w:ascii="Candara" w:eastAsia="Times New Roman" w:hAnsi="Candara"/>
          <w:lang w:eastAsia="lv-LV"/>
        </w:rPr>
        <w:t xml:space="preserve">RIS3 monitoringa ziņojums ir izstrādājams reizi divos gados, proti,  </w:t>
      </w:r>
      <w:r>
        <w:rPr>
          <w:rFonts w:ascii="Candara" w:eastAsia="Times New Roman" w:hAnsi="Candara"/>
          <w:lang w:eastAsia="lv-LV"/>
        </w:rPr>
        <w:t xml:space="preserve">tālākie ziņojumi izstrādājami </w:t>
      </w:r>
      <w:r w:rsidRPr="00AB73E1">
        <w:rPr>
          <w:rFonts w:ascii="Candara" w:eastAsia="Times New Roman" w:hAnsi="Candara"/>
          <w:lang w:eastAsia="lv-LV"/>
        </w:rPr>
        <w:t>u</w:t>
      </w:r>
      <w:r>
        <w:rPr>
          <w:rFonts w:ascii="Candara" w:eastAsia="Times New Roman" w:hAnsi="Candara"/>
          <w:lang w:eastAsia="lv-LV"/>
        </w:rPr>
        <w:t>z 2019., 2021. un 2023. gada 1. </w:t>
      </w:r>
      <w:r w:rsidRPr="00AB73E1">
        <w:rPr>
          <w:rFonts w:ascii="Candara" w:eastAsia="Times New Roman" w:hAnsi="Candara"/>
          <w:lang w:eastAsia="lv-LV"/>
        </w:rPr>
        <w:t xml:space="preserve">jūniju. </w:t>
      </w:r>
      <w:r>
        <w:rPr>
          <w:rFonts w:ascii="Candara" w:eastAsia="Times New Roman" w:hAnsi="Candara"/>
          <w:lang w:eastAsia="lv-LV"/>
        </w:rPr>
        <w:t>Monitoringa z</w:t>
      </w:r>
      <w:r w:rsidRPr="00AB73E1">
        <w:rPr>
          <w:rFonts w:ascii="Candara" w:eastAsia="Times New Roman" w:hAnsi="Candara"/>
          <w:lang w:eastAsia="lv-LV"/>
        </w:rPr>
        <w:t>iņojumu, kas ietvers informāciju pasākumu plāna</w:t>
      </w:r>
      <w:r>
        <w:rPr>
          <w:rFonts w:ascii="Candara" w:eastAsia="Times New Roman" w:hAnsi="Candara"/>
          <w:lang w:eastAsia="lv-LV"/>
        </w:rPr>
        <w:t xml:space="preserve"> 2017. – 2020. gadam</w:t>
      </w:r>
      <w:r w:rsidRPr="00AB73E1">
        <w:rPr>
          <w:rFonts w:ascii="Candara" w:eastAsia="Times New Roman" w:hAnsi="Candara"/>
          <w:lang w:eastAsia="lv-LV"/>
        </w:rPr>
        <w:t xml:space="preserve"> izpildi konkrētajā laikā periodā, kā arī iespējamām korektīvām darbībām, sagatavos IZM sadarbībā ar EM un iesniegs </w:t>
      </w:r>
      <w:r>
        <w:rPr>
          <w:rFonts w:ascii="Candara" w:eastAsia="Times New Roman" w:hAnsi="Candara"/>
          <w:lang w:eastAsia="lv-LV"/>
        </w:rPr>
        <w:t xml:space="preserve">Latvijas </w:t>
      </w:r>
      <w:r w:rsidR="00B74E14">
        <w:rPr>
          <w:rFonts w:ascii="Candara" w:eastAsia="Times New Roman" w:hAnsi="Candara"/>
          <w:lang w:eastAsia="lv-LV"/>
        </w:rPr>
        <w:t>P</w:t>
      </w:r>
      <w:r>
        <w:rPr>
          <w:rFonts w:ascii="Candara" w:eastAsia="Times New Roman" w:hAnsi="Candara"/>
          <w:lang w:eastAsia="lv-LV"/>
        </w:rPr>
        <w:t>ētniecības un inovācijas stratēģiskajā padomē (turpmāk – LPISP)</w:t>
      </w:r>
      <w:r w:rsidRPr="00AB73E1">
        <w:rPr>
          <w:rFonts w:ascii="Candara" w:eastAsia="Times New Roman" w:hAnsi="Candara"/>
          <w:lang w:eastAsia="lv-LV"/>
        </w:rPr>
        <w:t>. LPISP izvērtēs ziņojumu, un, ja nepieciešams, ierosinās stratēģiskas izmaiņas, sniedzot rekomendācijas nozaru ministrijām RIS3 programmu ieviešanas pilnveidei.</w:t>
      </w:r>
    </w:p>
    <w:p w:rsidR="00301FD8" w:rsidP="00AB73E1" w14:paraId="04489D30" w14:textId="77777777">
      <w:pPr>
        <w:spacing w:before="60" w:after="0" w:line="240" w:lineRule="auto"/>
        <w:ind w:firstLine="426"/>
        <w:jc w:val="both"/>
        <w:rPr>
          <w:rFonts w:ascii="Candara" w:eastAsia="Times New Roman" w:hAnsi="Candara"/>
          <w:lang w:eastAsia="lv-LV"/>
        </w:rPr>
      </w:pPr>
    </w:p>
    <w:p w:rsidR="007C2C17" w:rsidP="00301FD8" w14:paraId="70C2E212" w14:textId="77777777">
      <w:pPr>
        <w:spacing w:before="60" w:after="0"/>
        <w:jc w:val="center"/>
        <w:rPr>
          <w:rFonts w:ascii="Candara" w:eastAsia="Times New Roman" w:hAnsi="Candara"/>
          <w:b/>
          <w:lang w:eastAsia="lv-LV"/>
        </w:rPr>
      </w:pPr>
      <w:r>
        <w:rPr>
          <w:rFonts w:ascii="Candara" w:eastAsia="Times New Roman" w:hAnsi="Candara"/>
          <w:b/>
          <w:lang w:eastAsia="lv-LV"/>
        </w:rPr>
        <w:t xml:space="preserve">Attēls </w:t>
      </w:r>
      <w:r w:rsidRPr="007C2C17">
        <w:rPr>
          <w:rFonts w:ascii="Candara" w:eastAsia="Times New Roman" w:hAnsi="Candara"/>
          <w:b/>
          <w:lang w:eastAsia="lv-LV"/>
        </w:rPr>
        <w:t>Nr.</w:t>
      </w:r>
      <w:r>
        <w:rPr>
          <w:rFonts w:ascii="Candara" w:eastAsia="Times New Roman" w:hAnsi="Candara"/>
          <w:b/>
          <w:lang w:eastAsia="lv-LV"/>
        </w:rPr>
        <w:t>58 Zināšanu ietilpīgas ekonomikas izaugsmes rīcības virzieni</w:t>
      </w:r>
    </w:p>
    <w:p w:rsidR="007C2C17" w:rsidP="0016422D" w14:paraId="7F67D01C" w14:textId="77777777">
      <w:pPr>
        <w:spacing w:after="0" w:line="240" w:lineRule="auto"/>
        <w:ind w:left="-993"/>
        <w:jc w:val="center"/>
        <w:rPr>
          <w:rFonts w:ascii="Candara" w:eastAsia="Times New Roman" w:hAnsi="Candara"/>
          <w:b/>
          <w:lang w:eastAsia="lv-LV"/>
        </w:rPr>
      </w:pPr>
      <w:r>
        <w:rPr>
          <w:rFonts w:ascii="Candara" w:eastAsia="Times New Roman" w:hAnsi="Candara"/>
          <w:noProof/>
          <w:lang w:eastAsia="lv-LV"/>
        </w:rPr>
        <mc:AlternateContent>
          <mc:Choice Requires="wpg">
            <w:drawing>
              <wp:anchor distT="0" distB="0" distL="114300" distR="114300" simplePos="0" relativeHeight="251860992" behindDoc="0" locked="0" layoutInCell="1" allowOverlap="1">
                <wp:simplePos x="0" y="0"/>
                <wp:positionH relativeFrom="column">
                  <wp:posOffset>-172085</wp:posOffset>
                </wp:positionH>
                <wp:positionV relativeFrom="paragraph">
                  <wp:posOffset>93345</wp:posOffset>
                </wp:positionV>
                <wp:extent cx="6523356" cy="6828790"/>
                <wp:effectExtent l="0" t="0" r="0" b="0"/>
                <wp:wrapNone/>
                <wp:docPr id="21" name="Group 21"/>
                <wp:cNvGraphicFramePr/>
                <a:graphic xmlns:a="http://schemas.openxmlformats.org/drawingml/2006/main">
                  <a:graphicData uri="http://schemas.microsoft.com/office/word/2010/wordprocessingGroup">
                    <wpg:wgp xmlns:wpg="http://schemas.microsoft.com/office/word/2010/wordprocessingGroup">
                      <wpg:cNvGrpSpPr/>
                      <wpg:grpSpPr>
                        <a:xfrm>
                          <a:off x="0" y="0"/>
                          <a:ext cx="6523356" cy="6828790"/>
                          <a:chOff x="0" y="0"/>
                          <a:chExt cx="6936304" cy="7219315"/>
                        </a:xfrm>
                      </wpg:grpSpPr>
                      <pic:pic xmlns:pic="http://schemas.openxmlformats.org/drawingml/2006/picture">
                        <pic:nvPicPr>
                          <pic:cNvPr id="18" name="Picture 18"/>
                          <pic:cNvPicPr>
                            <a:picLocks noChangeAspect="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rcRect l="43954" t="32563" r="15550" b="11675"/>
                          <a:stretch>
                            <a:fillRect/>
                          </a:stretch>
                        </pic:blipFill>
                        <pic:spPr bwMode="auto">
                          <a:xfrm>
                            <a:off x="0" y="3086100"/>
                            <a:ext cx="2134870" cy="165354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34906" name="Picture 34906"/>
                          <pic:cNvPicPr>
                            <a:picLocks noChangeAspect="1"/>
                          </pic:cNvPicPr>
                        </pic:nvPicPr>
                        <pic:blipFill>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rcRect l="14083" t="34334" r="47652" b="11337"/>
                          <a:stretch>
                            <a:fillRect/>
                          </a:stretch>
                        </pic:blipFill>
                        <pic:spPr bwMode="auto">
                          <a:xfrm>
                            <a:off x="2381250" y="0"/>
                            <a:ext cx="2303780" cy="1795145"/>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34908" name="Picture 34908"/>
                          <pic:cNvPicPr>
                            <a:picLocks noChangeAspect="1"/>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rcRect l="24778" t="17324" r="49056" b="45158"/>
                          <a:stretch>
                            <a:fillRect/>
                          </a:stretch>
                        </pic:blipFill>
                        <pic:spPr bwMode="auto">
                          <a:xfrm>
                            <a:off x="4744189" y="1141234"/>
                            <a:ext cx="2192115" cy="1725064"/>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34911" name="Picture 34911"/>
                          <pic:cNvPicPr>
                            <a:picLocks noChangeAspect="1"/>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rcRect l="24778" t="54590" r="49056" b="2571"/>
                          <a:stretch>
                            <a:fillRect/>
                          </a:stretch>
                        </pic:blipFill>
                        <pic:spPr bwMode="auto">
                          <a:xfrm>
                            <a:off x="4705451" y="4991100"/>
                            <a:ext cx="2162243" cy="1942337"/>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34912" name="Picture 34912"/>
                          <pic:cNvPicPr>
                            <a:picLocks noChangeAspect="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rcRect l="51673" t="54590" r="22161" b="2571"/>
                          <a:stretch>
                            <a:fillRect/>
                          </a:stretch>
                        </pic:blipFill>
                        <pic:spPr bwMode="auto">
                          <a:xfrm>
                            <a:off x="0" y="819150"/>
                            <a:ext cx="2303780" cy="2069465"/>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34913" name="Picture 34913"/>
                          <pic:cNvPicPr>
                            <a:picLocks noChangeAspect="1"/>
                          </pic:cNvPicPr>
                        </pic:nvPicPr>
                        <pic:blipFill>
                          <a:blip xmlns:r="http://schemas.openxmlformats.org/officeDocument/2006/relationships" r:embed="rId106" cstate="print">
                            <a:extLst>
                              <a:ext xmlns:a="http://schemas.openxmlformats.org/drawingml/2006/main" uri="{28A0092B-C50C-407E-A947-70E740481C1C}">
                                <a14:useLocalDpi xmlns:a14="http://schemas.microsoft.com/office/drawing/2010/main" val="0"/>
                              </a:ext>
                            </a:extLst>
                          </a:blip>
                          <a:srcRect l="17941" t="31983" r="49151" b="23907"/>
                          <a:stretch>
                            <a:fillRect/>
                          </a:stretch>
                        </pic:blipFill>
                        <pic:spPr bwMode="auto">
                          <a:xfrm>
                            <a:off x="2381250" y="5524500"/>
                            <a:ext cx="2303780" cy="1694815"/>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a:blip xmlns:r="http://schemas.openxmlformats.org/officeDocument/2006/relationships" r:embed="rId107" cstate="print">
                            <a:extLst>
                              <a:ext xmlns:a="http://schemas.openxmlformats.org/drawingml/2006/main" uri="{28A0092B-C50C-407E-A947-70E740481C1C}">
                                <a14:useLocalDpi xmlns:a14="http://schemas.microsoft.com/office/drawing/2010/main" val="0"/>
                              </a:ext>
                            </a:extLst>
                          </a:blip>
                          <a:srcRect l="39246" t="21901" r="10253" b="5347"/>
                          <a:stretch>
                            <a:fillRect/>
                          </a:stretch>
                        </pic:blipFill>
                        <pic:spPr bwMode="auto">
                          <a:xfrm>
                            <a:off x="4828347" y="3142920"/>
                            <a:ext cx="2107956" cy="1666377"/>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rcRect l="32457" t="18772" r="12670" b="4730"/>
                          <a:stretch>
                            <a:fillRect/>
                          </a:stretch>
                        </pic:blipFill>
                        <pic:spPr bwMode="auto">
                          <a:xfrm>
                            <a:off x="47625" y="4991100"/>
                            <a:ext cx="2303780" cy="1762760"/>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1" o:spid="_x0000_s1305" style="width:513.65pt;height:537.7pt;margin-top:7.35pt;margin-left:-13.55pt;mso-height-relative:margin;mso-width-relative:margin;position:absolute;z-index:251862016" coordsize="69363,72193">
                <v:shape id="Picture 18" o:spid="_x0000_s1306" type="#_x0000_t75" style="width:21348;height:16535;mso-wrap-style:square;position:absolute;top:30861;visibility:visible">
                  <v:imagedata r:id="rId103" o:title="" croptop="21340f" cropbottom="7651f" cropleft="28806f" cropright="10191f"/>
                  <v:path arrowok="t"/>
                </v:shape>
                <v:shape id="Picture 34906" o:spid="_x0000_s1307" type="#_x0000_t75" style="width:23038;height:17951;left:23812;mso-wrap-style:square;position:absolute;visibility:visible">
                  <v:imagedata r:id="rId104" o:title="" croptop="22501f" cropbottom="7430f" cropleft="9229f" cropright="31229f"/>
                  <v:path arrowok="t"/>
                </v:shape>
                <v:shape id="Picture 34908" o:spid="_x0000_s1308" type="#_x0000_t75" style="width:21922;height:17250;left:47441;mso-wrap-style:square;position:absolute;top:11412;visibility:visible">
                  <v:imagedata r:id="rId105" o:title="" croptop="11353f" cropbottom="29595f" cropleft="16239f" cropright="32149f"/>
                  <v:path arrowok="t"/>
                </v:shape>
                <v:shape id="Picture 34911" o:spid="_x0000_s1309" type="#_x0000_t75" style="width:21622;height:19423;left:47054;mso-wrap-style:square;position:absolute;top:49911;visibility:visible">
                  <v:imagedata r:id="rId105" o:title="" croptop="35776f" cropbottom="1685f" cropleft="16239f" cropright="32149f"/>
                  <v:path arrowok="t"/>
                </v:shape>
                <v:shape id="Picture 34912" o:spid="_x0000_s1310" type="#_x0000_t75" style="width:23037;height:20695;mso-wrap-style:square;position:absolute;top:8191;visibility:visible">
                  <v:imagedata r:id="rId105" o:title="" croptop="35776f" cropbottom="1685f" cropleft="33864f" cropright="14523f"/>
                  <v:path arrowok="t"/>
                </v:shape>
                <v:shape id="Picture 34913" o:spid="_x0000_s1311" type="#_x0000_t75" style="width:23038;height:16948;left:23812;mso-wrap-style:square;position:absolute;top:55245;visibility:visible">
                  <v:imagedata r:id="rId106" o:title="" croptop="20960f" cropbottom="15668f" cropleft="11758f" cropright="32212f"/>
                  <v:path arrowok="t"/>
                </v:shape>
                <v:shape id="Picture 48" o:spid="_x0000_s1312" type="#_x0000_t75" style="width:21080;height:16663;left:48283;mso-wrap-style:square;position:absolute;top:31429;visibility:visible">
                  <v:imagedata r:id="rId107" o:title="" croptop="14353f" cropbottom="3504f" cropleft="25720f" cropright="6719f"/>
                  <v:path arrowok="t"/>
                </v:shape>
                <v:shape id="Picture 49" o:spid="_x0000_s1313" type="#_x0000_t75" style="width:23038;height:17627;left:476;mso-wrap-style:square;position:absolute;top:49911;visibility:visible">
                  <v:imagedata r:id="rId108" o:title="" croptop="12302f" cropbottom="3100f" cropleft="21271f" cropright="8303f"/>
                  <v:path arrowok="t"/>
                </v:shape>
              </v:group>
            </w:pict>
          </mc:Fallback>
        </mc:AlternateContent>
      </w:r>
    </w:p>
    <w:p w:rsidR="007C2C17" w:rsidP="007C2C17" w14:paraId="4CA7C0E0" w14:textId="77777777">
      <w:pPr>
        <w:spacing w:after="0" w:line="240" w:lineRule="auto"/>
        <w:jc w:val="center"/>
        <w:rPr>
          <w:rFonts w:ascii="Candara" w:eastAsia="Times New Roman" w:hAnsi="Candara"/>
          <w:b/>
          <w:lang w:eastAsia="lv-LV"/>
        </w:rPr>
      </w:pPr>
    </w:p>
    <w:p w:rsidR="007C2C17" w:rsidRPr="007C2C17" w:rsidP="007C2C17" w14:paraId="5A9F3135" w14:textId="77777777">
      <w:pPr>
        <w:spacing w:after="0" w:line="240" w:lineRule="auto"/>
        <w:jc w:val="center"/>
        <w:rPr>
          <w:rFonts w:ascii="Candara" w:eastAsia="Times New Roman" w:hAnsi="Candara"/>
          <w:b/>
          <w:lang w:eastAsia="lv-LV"/>
        </w:rPr>
      </w:pPr>
    </w:p>
    <w:p w:rsidR="001E5381" w:rsidRPr="004D1AA9" w:rsidP="001E5381" w14:paraId="282FA44F" w14:textId="77777777">
      <w:pPr>
        <w:spacing w:after="0" w:line="240" w:lineRule="auto"/>
        <w:rPr>
          <w:rFonts w:ascii="Candara" w:eastAsia="Times New Roman" w:hAnsi="Candara"/>
          <w:lang w:eastAsia="lv-LV"/>
        </w:rPr>
      </w:pPr>
    </w:p>
    <w:p w:rsidR="001E5381" w:rsidP="001E5381" w14:paraId="46BF2D4F" w14:textId="77777777">
      <w:pPr>
        <w:spacing w:after="0" w:line="240" w:lineRule="auto"/>
        <w:rPr>
          <w:rFonts w:ascii="Candara" w:eastAsia="Times New Roman" w:hAnsi="Candara"/>
          <w:lang w:eastAsia="lv-LV"/>
        </w:rPr>
      </w:pPr>
    </w:p>
    <w:p w:rsidR="001E5381" w:rsidP="001E5381" w14:paraId="2F3A1BE6" w14:textId="77777777">
      <w:pPr>
        <w:spacing w:after="0" w:line="240" w:lineRule="auto"/>
        <w:rPr>
          <w:rFonts w:ascii="Candara" w:eastAsia="Times New Roman" w:hAnsi="Candara"/>
          <w:lang w:eastAsia="lv-LV"/>
        </w:rPr>
      </w:pPr>
    </w:p>
    <w:p w:rsidR="001E5381" w:rsidP="001E5381" w14:paraId="634D051E" w14:textId="77777777">
      <w:pPr>
        <w:spacing w:after="0" w:line="240" w:lineRule="auto"/>
        <w:rPr>
          <w:rFonts w:ascii="Candara" w:eastAsia="Times New Roman" w:hAnsi="Candara"/>
          <w:lang w:eastAsia="lv-LV"/>
        </w:rPr>
      </w:pPr>
    </w:p>
    <w:p w:rsidR="001E5381" w:rsidP="001E5381" w14:paraId="1CCA4371" w14:textId="77777777">
      <w:pPr>
        <w:spacing w:after="0" w:line="240" w:lineRule="auto"/>
        <w:rPr>
          <w:rFonts w:ascii="Candara" w:eastAsia="Times New Roman" w:hAnsi="Candara"/>
          <w:lang w:eastAsia="lv-LV"/>
        </w:rPr>
      </w:pPr>
    </w:p>
    <w:p w:rsidR="001E5381" w:rsidP="001E5381" w14:paraId="1689FCFA" w14:textId="77777777">
      <w:pPr>
        <w:spacing w:after="0" w:line="240" w:lineRule="auto"/>
        <w:rPr>
          <w:rFonts w:ascii="Candara" w:eastAsia="Times New Roman" w:hAnsi="Candara"/>
          <w:lang w:eastAsia="lv-LV"/>
        </w:rPr>
      </w:pPr>
    </w:p>
    <w:p w:rsidR="001E5381" w:rsidP="001E5381" w14:paraId="46BABBC4" w14:textId="77777777">
      <w:pPr>
        <w:spacing w:after="0" w:line="240" w:lineRule="auto"/>
        <w:rPr>
          <w:rFonts w:ascii="Candara" w:eastAsia="Times New Roman" w:hAnsi="Candara"/>
          <w:lang w:eastAsia="lv-LV"/>
        </w:rPr>
      </w:pPr>
    </w:p>
    <w:p w:rsidR="001E5381" w:rsidP="001E5381" w14:paraId="04C229D8" w14:textId="77777777">
      <w:pPr>
        <w:spacing w:after="0" w:line="240" w:lineRule="auto"/>
        <w:rPr>
          <w:rFonts w:ascii="Candara" w:eastAsia="Times New Roman" w:hAnsi="Candara"/>
          <w:lang w:eastAsia="lv-LV"/>
        </w:rPr>
      </w:pPr>
    </w:p>
    <w:p w:rsidR="001E5381" w:rsidP="001E5381" w14:paraId="27CBFC91" w14:textId="77777777">
      <w:pPr>
        <w:spacing w:after="0" w:line="240" w:lineRule="auto"/>
        <w:rPr>
          <w:rFonts w:ascii="Candara" w:eastAsia="Times New Roman" w:hAnsi="Candara"/>
          <w:lang w:eastAsia="lv-LV"/>
        </w:rPr>
      </w:pPr>
    </w:p>
    <w:p w:rsidR="001E5381" w:rsidP="001E5381" w14:paraId="57A509E3" w14:textId="77777777">
      <w:pPr>
        <w:spacing w:after="0" w:line="240" w:lineRule="auto"/>
        <w:rPr>
          <w:rFonts w:ascii="Candara" w:eastAsia="Times New Roman" w:hAnsi="Candara"/>
          <w:lang w:eastAsia="lv-LV"/>
        </w:rPr>
      </w:pPr>
      <w:r w:rsidRPr="004D1AA9">
        <w:rPr>
          <w:rFonts w:ascii="Candara" w:eastAsia="Times New Roman" w:hAnsi="Candara"/>
          <w:noProof/>
          <w:lang w:eastAsia="lv-LV"/>
        </w:rPr>
        <mc:AlternateContent>
          <mc:Choice Requires="wps">
            <w:drawing>
              <wp:anchor distT="0" distB="0" distL="114300" distR="114300" simplePos="0" relativeHeight="251710464" behindDoc="0" locked="0" layoutInCell="1" allowOverlap="1">
                <wp:simplePos x="0" y="0"/>
                <wp:positionH relativeFrom="margin">
                  <wp:posOffset>2438642</wp:posOffset>
                </wp:positionH>
                <wp:positionV relativeFrom="paragraph">
                  <wp:posOffset>163243</wp:posOffset>
                </wp:positionV>
                <wp:extent cx="1248355" cy="484505"/>
                <wp:effectExtent l="0" t="0" r="0" b="0"/>
                <wp:wrapNone/>
                <wp:docPr id="34900" name="Content Placeholder 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24835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062477" w:rsidP="001E5381"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Konkurētspējas stiprināšana</w:t>
                            </w:r>
                          </w:p>
                        </w:txbxContent>
                      </wps:txbx>
                      <wps:bodyPr vert="horz" wrap="square" lIns="93957" tIns="46979" rIns="93957" bIns="4697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ntent Placeholder 1" o:spid="_x0000_s1314" type="#_x0000_t202" style="width:98.3pt;height:38.15pt;margin-top:12.85pt;margin-left:192pt;mso-height-percent:0;mso-height-relative:margin;mso-position-horizontal-relative:margin;mso-width-percent:0;mso-width-relative:margin;mso-wrap-distance-bottom:0;mso-wrap-distance-left:9pt;mso-wrap-distance-right:9pt;mso-wrap-distance-top:0;mso-wrap-style:square;position:absolute;visibility:visible;v-text-anchor:top;z-index:251711488" filled="f" stroked="f">
                <v:path arrowok="t" textboxrect="0,0,21600,21600"/>
                <v:textbox inset="7.4pt,3.7pt,7.4pt,3.7pt">
                  <w:txbxContent>
                    <w:p w:rsidR="00B55C40" w:rsidRPr="00062477" w:rsidP="001E5381" w14:paraId="07459E91"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Konkurētspējas stiprināšana</w:t>
                      </w:r>
                    </w:p>
                  </w:txbxContent>
                </v:textbox>
                <w10:wrap anchorx="margin"/>
              </v:shape>
            </w:pict>
          </mc:Fallback>
        </mc:AlternateContent>
      </w:r>
    </w:p>
    <w:p w:rsidR="001E5381" w:rsidP="001E5381" w14:paraId="717920AE" w14:textId="77777777">
      <w:pPr>
        <w:spacing w:after="0" w:line="240" w:lineRule="auto"/>
        <w:rPr>
          <w:rFonts w:ascii="Candara" w:eastAsia="Times New Roman" w:hAnsi="Candara"/>
          <w:lang w:eastAsia="lv-LV"/>
        </w:rPr>
      </w:pPr>
    </w:p>
    <w:p w:rsidR="001E5381" w:rsidP="001E5381" w14:paraId="4EE79D89" w14:textId="77777777">
      <w:pPr>
        <w:spacing w:after="0" w:line="240" w:lineRule="auto"/>
        <w:rPr>
          <w:rFonts w:ascii="Candara" w:eastAsia="Times New Roman" w:hAnsi="Candara"/>
          <w:lang w:eastAsia="lv-LV"/>
        </w:rPr>
      </w:pPr>
      <w:r w:rsidRPr="004D1AA9">
        <w:rPr>
          <w:rFonts w:ascii="Candara" w:eastAsia="Times New Roman" w:hAnsi="Candara"/>
          <w:noProof/>
          <w:lang w:eastAsia="lv-LV"/>
        </w:rPr>
        <mc:AlternateContent>
          <mc:Choice Requires="wps">
            <w:drawing>
              <wp:anchor distT="0" distB="0" distL="114300" distR="114300" simplePos="0" relativeHeight="251716608" behindDoc="0" locked="0" layoutInCell="1" allowOverlap="1">
                <wp:simplePos x="0" y="0"/>
                <wp:positionH relativeFrom="margin">
                  <wp:posOffset>1859280</wp:posOffset>
                </wp:positionH>
                <wp:positionV relativeFrom="paragraph">
                  <wp:posOffset>147955</wp:posOffset>
                </wp:positionV>
                <wp:extent cx="914400" cy="447473"/>
                <wp:effectExtent l="0" t="0" r="0" b="0"/>
                <wp:wrapNone/>
                <wp:docPr id="34903" name="Content Placeholder 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914400" cy="44747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062477" w:rsidP="001E5381"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Eksporta veicināšana</w:t>
                            </w:r>
                          </w:p>
                        </w:txbxContent>
                      </wps:txbx>
                      <wps:bodyPr vert="horz" wrap="square" lIns="93957" tIns="46979" rIns="93957" bIns="4697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315" type="#_x0000_t202" style="width:1in;height:35.25pt;margin-top:11.65pt;margin-left:146.4pt;mso-height-percent:0;mso-height-relative:margin;mso-position-horizontal-relative:margin;mso-width-percent:0;mso-width-relative:margin;mso-wrap-distance-bottom:0;mso-wrap-distance-left:9pt;mso-wrap-distance-right:9pt;mso-wrap-distance-top:0;mso-wrap-style:square;position:absolute;visibility:visible;v-text-anchor:top;z-index:251717632" filled="f" stroked="f">
                <v:path arrowok="t" textboxrect="0,0,21600,21600"/>
                <v:textbox inset="7.4pt,3.7pt,7.4pt,3.7pt">
                  <w:txbxContent>
                    <w:p w:rsidR="00B55C40" w:rsidRPr="00062477" w:rsidP="001E5381" w14:paraId="113A6234"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Eksporta veicināšana</w:t>
                      </w:r>
                    </w:p>
                  </w:txbxContent>
                </v:textbox>
                <w10:wrap anchorx="margin"/>
              </v:shape>
            </w:pict>
          </mc:Fallback>
        </mc:AlternateContent>
      </w:r>
      <w:r>
        <w:rPr>
          <w:rFonts w:ascii="Candara" w:eastAsia="Times New Roman" w:hAnsi="Candara"/>
          <w:noProof/>
          <w:lang w:eastAsia="lv-LV"/>
        </w:rPr>
        <mc:AlternateContent>
          <mc:Choice Requires="wpg">
            <w:drawing>
              <wp:anchor distT="0" distB="0" distL="114300" distR="114300" simplePos="0" relativeHeight="251708416" behindDoc="1" locked="0" layoutInCell="1" allowOverlap="1">
                <wp:simplePos x="0" y="0"/>
                <wp:positionH relativeFrom="margin">
                  <wp:posOffset>2200910</wp:posOffset>
                </wp:positionH>
                <wp:positionV relativeFrom="paragraph">
                  <wp:posOffset>147955</wp:posOffset>
                </wp:positionV>
                <wp:extent cx="1997710" cy="2104390"/>
                <wp:effectExtent l="0" t="0" r="2540" b="0"/>
                <wp:wrapNone/>
                <wp:docPr id="34899" name="Group 34899"/>
                <wp:cNvGraphicFramePr/>
                <a:graphic xmlns:a="http://schemas.openxmlformats.org/drawingml/2006/main">
                  <a:graphicData uri="http://schemas.microsoft.com/office/word/2010/wordprocessingGroup">
                    <wpg:wgp xmlns:wpg="http://schemas.microsoft.com/office/word/2010/wordprocessingGroup">
                      <wpg:cNvGrpSpPr/>
                      <wpg:grpSpPr>
                        <a:xfrm>
                          <a:off x="0" y="0"/>
                          <a:ext cx="1997710" cy="2104390"/>
                          <a:chOff x="768583" y="232713"/>
                          <a:chExt cx="2889016" cy="2712522"/>
                        </a:xfrm>
                      </wpg:grpSpPr>
                      <pic:pic xmlns:pic="http://schemas.openxmlformats.org/drawingml/2006/picture">
                        <pic:nvPicPr>
                          <pic:cNvPr id="34889" name="Picture 34889" descr="Attēlu rezultāti vaicājumam “cube”"/>
                          <pic:cNvPicPr>
                            <a:picLocks noChangeAspect="1"/>
                          </pic:cNvPicPr>
                        </pic:nvPicPr>
                        <pic:blipFill>
                          <a:blip xmlns:r="http://schemas.openxmlformats.org/officeDocument/2006/relationships" r:embed="rId109"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1488037" y="906448"/>
                            <a:ext cx="1450048" cy="1404344"/>
                          </a:xfrm>
                          <a:prstGeom prst="rect">
                            <a:avLst/>
                          </a:prstGeom>
                          <a:noFill/>
                          <a:ln>
                            <a:noFill/>
                          </a:ln>
                        </pic:spPr>
                      </pic:pic>
                      <wpg:grpSp>
                        <wpg:cNvPr id="34898" name="Group 34898"/>
                        <wpg:cNvGrpSpPr/>
                        <wpg:grpSpPr>
                          <a:xfrm>
                            <a:off x="768583" y="232713"/>
                            <a:ext cx="2889016" cy="2712522"/>
                            <a:chOff x="768583" y="232713"/>
                            <a:chExt cx="2889016" cy="2712522"/>
                          </a:xfrm>
                        </wpg:grpSpPr>
                        <pic:pic xmlns:pic="http://schemas.openxmlformats.org/drawingml/2006/picture">
                          <pic:nvPicPr>
                            <pic:cNvPr id="34892" name="Picture 34892"/>
                            <pic:cNvPicPr>
                              <a:picLocks noChangeAspect="1"/>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a:xfrm>
                              <a:off x="768583" y="688170"/>
                              <a:ext cx="719455" cy="678816"/>
                            </a:xfrm>
                            <a:prstGeom prst="rect">
                              <a:avLst/>
                            </a:prstGeom>
                          </pic:spPr>
                        </pic:pic>
                        <pic:pic xmlns:pic="http://schemas.openxmlformats.org/drawingml/2006/picture">
                          <pic:nvPicPr>
                            <pic:cNvPr id="34893" name="Picture 34893"/>
                            <pic:cNvPicPr>
                              <a:picLocks noChangeAspect="1"/>
                            </pic:cNvPicPr>
                          </pic:nvPicPr>
                          <pic:blipFill>
                            <a:blip xmlns:r="http://schemas.openxmlformats.org/officeDocument/2006/relationships" r:embed="rId111" cstate="print">
                              <a:extLst>
                                <a:ext xmlns:a="http://schemas.openxmlformats.org/drawingml/2006/main" uri="{28A0092B-C50C-407E-A947-70E740481C1C}">
                                  <a14:useLocalDpi xmlns:a14="http://schemas.microsoft.com/office/drawing/2010/main" val="0"/>
                                </a:ext>
                              </a:extLst>
                            </a:blip>
                            <a:stretch>
                              <a:fillRect/>
                            </a:stretch>
                          </pic:blipFill>
                          <pic:spPr>
                            <a:xfrm>
                              <a:off x="2938144" y="1644314"/>
                              <a:ext cx="719455" cy="673736"/>
                            </a:xfrm>
                            <a:prstGeom prst="rect">
                              <a:avLst/>
                            </a:prstGeom>
                          </pic:spPr>
                        </pic:pic>
                        <pic:pic xmlns:pic="http://schemas.openxmlformats.org/drawingml/2006/picture">
                          <pic:nvPicPr>
                            <pic:cNvPr id="34894" name="Picture 34894"/>
                            <pic:cNvPicPr>
                              <a:picLocks noChangeAspect="1"/>
                            </pic:cNvPicPr>
                          </pic:nvPicPr>
                          <pic:blipFill>
                            <a:blip xmlns:r="http://schemas.openxmlformats.org/officeDocument/2006/relationships" r:embed="rId112" cstate="print">
                              <a:extLst>
                                <a:ext xmlns:a="http://schemas.openxmlformats.org/drawingml/2006/main" uri="{28A0092B-C50C-407E-A947-70E740481C1C}">
                                  <a14:useLocalDpi xmlns:a14="http://schemas.microsoft.com/office/drawing/2010/main" val="0"/>
                                </a:ext>
                              </a:extLst>
                            </a:blip>
                            <a:stretch>
                              <a:fillRect/>
                            </a:stretch>
                          </pic:blipFill>
                          <pic:spPr>
                            <a:xfrm>
                              <a:off x="1859232" y="2271500"/>
                              <a:ext cx="719455" cy="673735"/>
                            </a:xfrm>
                            <a:prstGeom prst="rect">
                              <a:avLst/>
                            </a:prstGeom>
                          </pic:spPr>
                        </pic:pic>
                        <pic:pic xmlns:pic="http://schemas.openxmlformats.org/drawingml/2006/picture">
                          <pic:nvPicPr>
                            <pic:cNvPr id="34895" name="Picture 34895"/>
                            <pic:cNvPicPr>
                              <a:picLocks noChangeAspect="1"/>
                            </pic:cNvPicPr>
                          </pic:nvPicPr>
                          <pic:blipFill>
                            <a:blip xmlns:r="http://schemas.openxmlformats.org/officeDocument/2006/relationships" r:embed="rId113" cstate="print">
                              <a:extLst>
                                <a:ext xmlns:a="http://schemas.openxmlformats.org/drawingml/2006/main" uri="{28A0092B-C50C-407E-A947-70E740481C1C}">
                                  <a14:useLocalDpi xmlns:a14="http://schemas.microsoft.com/office/drawing/2010/main" val="0"/>
                                </a:ext>
                              </a:extLst>
                            </a:blip>
                            <a:stretch>
                              <a:fillRect/>
                            </a:stretch>
                          </pic:blipFill>
                          <pic:spPr>
                            <a:xfrm>
                              <a:off x="777938" y="1579292"/>
                              <a:ext cx="719455" cy="673735"/>
                            </a:xfrm>
                            <a:prstGeom prst="rect">
                              <a:avLst/>
                            </a:prstGeom>
                          </pic:spPr>
                        </pic:pic>
                        <pic:pic xmlns:pic="http://schemas.openxmlformats.org/drawingml/2006/picture">
                          <pic:nvPicPr>
                            <pic:cNvPr id="34896" name="Picture 34896"/>
                            <pic:cNvPicPr>
                              <a:picLocks noChangeAspect="1"/>
                            </pic:cNvPicPr>
                          </pic:nvPicPr>
                          <pic:blipFill>
                            <a:blip xmlns:r="http://schemas.openxmlformats.org/officeDocument/2006/relationships" r:embed="rId114" cstate="print">
                              <a:extLst>
                                <a:ext xmlns:a="http://schemas.openxmlformats.org/drawingml/2006/main" uri="{28A0092B-C50C-407E-A947-70E740481C1C}">
                                  <a14:useLocalDpi xmlns:a14="http://schemas.microsoft.com/office/drawing/2010/main" val="0"/>
                                </a:ext>
                              </a:extLst>
                            </a:blip>
                            <a:stretch>
                              <a:fillRect/>
                            </a:stretch>
                          </pic:blipFill>
                          <pic:spPr>
                            <a:xfrm>
                              <a:off x="1817417" y="232713"/>
                              <a:ext cx="719455" cy="673735"/>
                            </a:xfrm>
                            <a:prstGeom prst="rect">
                              <a:avLst/>
                            </a:prstGeom>
                          </pic:spPr>
                        </pic:pic>
                        <pic:pic xmlns:pic="http://schemas.openxmlformats.org/drawingml/2006/picture">
                          <pic:nvPicPr>
                            <pic:cNvPr id="34897" name="Picture 34897"/>
                            <pic:cNvPicPr>
                              <a:picLocks noChangeAspect="1"/>
                            </pic:cNvPicPr>
                          </pic:nvPicPr>
                          <pic:blipFill>
                            <a:blip xmlns:r="http://schemas.openxmlformats.org/officeDocument/2006/relationships" r:embed="rId115" cstate="print">
                              <a:extLst>
                                <a:ext xmlns:a="http://schemas.openxmlformats.org/drawingml/2006/main" uri="{28A0092B-C50C-407E-A947-70E740481C1C}">
                                  <a14:useLocalDpi xmlns:a14="http://schemas.microsoft.com/office/drawing/2010/main" val="0"/>
                                </a:ext>
                              </a:extLst>
                            </a:blip>
                            <a:stretch>
                              <a:fillRect/>
                            </a:stretch>
                          </pic:blipFill>
                          <pic:spPr>
                            <a:xfrm>
                              <a:off x="2926052" y="734022"/>
                              <a:ext cx="719455" cy="67373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34899" o:spid="_x0000_s1316" style="width:157.3pt;height:165.7pt;margin-top:11.65pt;margin-left:173.3pt;mso-height-relative:margin;mso-position-horizontal-relative:margin;mso-width-relative:margin;position:absolute;z-index:-251607040" coordorigin="7685,2327" coordsize="28890,27125">
                <v:shape id="Picture 34889" o:spid="_x0000_s1317" type="#_x0000_t75" alt="Attēlu rezultāti vaicājumam “cube”" style="width:14500;height:14043;flip:x;left:14880;mso-wrap-style:square;position:absolute;top:9064;visibility:visible">
                  <v:imagedata r:id="rId109" o:title="Attēlu rezultāti vaicājumam “cube”"/>
                  <v:path arrowok="t"/>
                </v:shape>
                <v:group id="Group 34898" o:spid="_x0000_s1318" style="width:28890;height:27125;left:7685;position:absolute;top:2327" coordorigin="7685,2327" coordsize="28890,27125">
                  <v:shape id="Picture 34892" o:spid="_x0000_s1319" type="#_x0000_t75" style="width:7195;height:6788;left:7685;mso-wrap-style:square;position:absolute;top:6881;visibility:visible">
                    <v:imagedata r:id="rId110" o:title=""/>
                    <v:path arrowok="t"/>
                  </v:shape>
                  <v:shape id="Picture 34893" o:spid="_x0000_s1320" type="#_x0000_t75" style="width:7194;height:6737;left:29381;mso-wrap-style:square;position:absolute;top:16443;visibility:visible">
                    <v:imagedata r:id="rId111" o:title=""/>
                    <v:path arrowok="t"/>
                  </v:shape>
                  <v:shape id="Picture 34894" o:spid="_x0000_s1321" type="#_x0000_t75" style="width:7194;height:6737;left:18592;mso-wrap-style:square;position:absolute;top:22715;visibility:visible">
                    <v:imagedata r:id="rId112" o:title=""/>
                    <v:path arrowok="t"/>
                  </v:shape>
                  <v:shape id="Picture 34895" o:spid="_x0000_s1322" type="#_x0000_t75" style="width:7194;height:6738;left:7779;mso-wrap-style:square;position:absolute;top:15792;visibility:visible">
                    <v:imagedata r:id="rId113" o:title=""/>
                    <v:path arrowok="t"/>
                  </v:shape>
                  <v:shape id="Picture 34896" o:spid="_x0000_s1323" type="#_x0000_t75" style="width:7194;height:6737;left:18174;mso-wrap-style:square;position:absolute;top:2327;visibility:visible">
                    <v:imagedata r:id="rId114" o:title=""/>
                    <v:path arrowok="t"/>
                  </v:shape>
                  <v:shape id="Picture 34897" o:spid="_x0000_s1324" type="#_x0000_t75" style="width:7195;height:6737;left:29260;mso-wrap-style:square;position:absolute;top:7340;visibility:visible">
                    <v:imagedata r:id="rId115" o:title=""/>
                    <v:path arrowok="t"/>
                  </v:shape>
                </v:group>
                <w10:wrap anchorx="margin"/>
              </v:group>
            </w:pict>
          </mc:Fallback>
        </mc:AlternateContent>
      </w:r>
      <w:r w:rsidRPr="004D1AA9" w:rsidR="001E5381">
        <w:rPr>
          <w:rFonts w:ascii="Candara" w:eastAsia="Times New Roman" w:hAnsi="Candara"/>
          <w:noProof/>
          <w:lang w:eastAsia="lv-LV"/>
        </w:rPr>
        <mc:AlternateContent>
          <mc:Choice Requires="wps">
            <w:drawing>
              <wp:anchor distT="0" distB="0" distL="114300" distR="114300" simplePos="0" relativeHeight="251712512" behindDoc="0" locked="0" layoutInCell="1" allowOverlap="1">
                <wp:simplePos x="0" y="0"/>
                <wp:positionH relativeFrom="margin">
                  <wp:posOffset>3376930</wp:posOffset>
                </wp:positionH>
                <wp:positionV relativeFrom="paragraph">
                  <wp:posOffset>74295</wp:posOffset>
                </wp:positionV>
                <wp:extent cx="875665" cy="484505"/>
                <wp:effectExtent l="0" t="0" r="0" b="0"/>
                <wp:wrapNone/>
                <wp:docPr id="34901" name="Content Placeholder 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875665" cy="4845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062477" w:rsidP="001E5381"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Investīciju stimulēšana</w:t>
                            </w:r>
                          </w:p>
                        </w:txbxContent>
                      </wps:txbx>
                      <wps:bodyPr vert="horz" wrap="square" lIns="93957" tIns="46979" rIns="93957" bIns="4697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325" type="#_x0000_t202" style="width:68.95pt;height:38.15pt;margin-top:5.85pt;margin-left:265.9pt;mso-height-percent:0;mso-height-relative:margin;mso-position-horizontal-relative:margin;mso-width-percent:0;mso-width-relative:margin;mso-wrap-distance-bottom:0;mso-wrap-distance-left:9pt;mso-wrap-distance-right:9pt;mso-wrap-distance-top:0;mso-wrap-style:square;position:absolute;visibility:visible;v-text-anchor:top;z-index:251713536" filled="f" stroked="f">
                <v:path arrowok="t" textboxrect="0,0,21600,21600"/>
                <v:textbox inset="7.4pt,3.7pt,7.4pt,3.7pt">
                  <w:txbxContent>
                    <w:p w:rsidR="00B55C40" w:rsidRPr="00062477" w:rsidP="001E5381" w14:paraId="3D490A9C"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Investīciju stimulēšana</w:t>
                      </w:r>
                    </w:p>
                  </w:txbxContent>
                </v:textbox>
                <w10:wrap anchorx="margin"/>
              </v:shape>
            </w:pict>
          </mc:Fallback>
        </mc:AlternateContent>
      </w:r>
    </w:p>
    <w:p w:rsidR="001E5381" w:rsidP="001E5381" w14:paraId="26936105" w14:textId="77777777">
      <w:pPr>
        <w:spacing w:after="0" w:line="240" w:lineRule="auto"/>
        <w:rPr>
          <w:rFonts w:ascii="Candara" w:eastAsia="Times New Roman" w:hAnsi="Candara"/>
          <w:lang w:eastAsia="lv-LV"/>
        </w:rPr>
      </w:pPr>
    </w:p>
    <w:p w:rsidR="001E5381" w:rsidP="001E5381" w14:paraId="7EFDC4E5" w14:textId="77777777">
      <w:pPr>
        <w:spacing w:after="0" w:line="240" w:lineRule="auto"/>
        <w:rPr>
          <w:rFonts w:ascii="Candara" w:eastAsia="Times New Roman" w:hAnsi="Candara"/>
          <w:lang w:eastAsia="lv-LV"/>
        </w:rPr>
      </w:pPr>
    </w:p>
    <w:p w:rsidR="001E5381" w:rsidP="001E5381" w14:paraId="68777B5A" w14:textId="77777777">
      <w:pPr>
        <w:spacing w:after="0" w:line="240" w:lineRule="auto"/>
        <w:rPr>
          <w:rFonts w:ascii="Candara" w:eastAsia="Times New Roman" w:hAnsi="Candara"/>
          <w:lang w:eastAsia="lv-LV"/>
        </w:rPr>
      </w:pPr>
    </w:p>
    <w:p w:rsidR="001E5381" w:rsidP="001E5381" w14:paraId="4AC416C4" w14:textId="77777777">
      <w:pPr>
        <w:spacing w:after="0" w:line="240" w:lineRule="auto"/>
        <w:rPr>
          <w:rFonts w:ascii="Candara" w:eastAsia="Times New Roman" w:hAnsi="Candara"/>
          <w:lang w:eastAsia="lv-LV"/>
        </w:rPr>
      </w:pPr>
    </w:p>
    <w:p w:rsidR="001E5381" w:rsidP="001E5381" w14:paraId="5FAA4CB2" w14:textId="77777777">
      <w:pPr>
        <w:spacing w:after="0" w:line="240" w:lineRule="auto"/>
        <w:rPr>
          <w:rFonts w:ascii="Candara" w:eastAsia="Times New Roman" w:hAnsi="Candara"/>
          <w:lang w:eastAsia="lv-LV"/>
        </w:rPr>
      </w:pPr>
      <w:r>
        <w:rPr>
          <w:noProof/>
          <w:lang w:eastAsia="lv-LV"/>
        </w:rPr>
        <mc:AlternateContent>
          <mc:Choice Requires="wps">
            <w:drawing>
              <wp:anchor distT="0" distB="0" distL="114300" distR="114300" simplePos="0" relativeHeight="251706368" behindDoc="0" locked="0" layoutInCell="1" allowOverlap="1">
                <wp:simplePos x="0" y="0"/>
                <wp:positionH relativeFrom="page">
                  <wp:posOffset>3681517</wp:posOffset>
                </wp:positionH>
                <wp:positionV relativeFrom="paragraph">
                  <wp:posOffset>65596</wp:posOffset>
                </wp:positionV>
                <wp:extent cx="691995" cy="798738"/>
                <wp:effectExtent l="0" t="0" r="0" b="1905"/>
                <wp:wrapNone/>
                <wp:docPr id="34891" name="Text Box 34891"/>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995" cy="798738"/>
                        </a:xfrm>
                        <a:prstGeom prst="rect">
                          <a:avLst/>
                        </a:prstGeom>
                        <a:noFill/>
                        <a:ln>
                          <a:noFill/>
                        </a:ln>
                        <a:effectLst/>
                      </wps:spPr>
                      <wps:txbx>
                        <w:txbxContent>
                          <w:p w:rsidR="00B55C40" w:rsidRPr="004659DE" w:rsidP="001E5381" w14:textId="77777777">
                            <w:pPr>
                              <w:jc w:val="center"/>
                              <w:rPr>
                                <w:rFonts w:ascii="Candara" w:hAnsi="Candara"/>
                                <w:b/>
                                <w:noProof/>
                                <w:color w:val="EAE5EB" w:themeColor="background2"/>
                                <w:spacing w:val="10"/>
                                <w:sz w:val="72"/>
                                <w:szCs w:val="72"/>
                                <w14:shadow w14:blurRad="63500" w14:dist="50800" w14:dir="13500000" w14:sx="0" w14:sy="0" w14:kx="0" w14:ky="0" w14:algn="none">
                                  <w14:srgbClr w14:val="000000">
                                    <w14:alpha w14:val="50000"/>
                                  </w14:srgbClr>
                                </w14:shadow>
                                <w14:textOutline>
                                  <w14:noFill/>
                                  <w14:round/>
                                </w14:textOutline>
                              </w:rPr>
                            </w:pPr>
                            <w:r>
                              <w:rPr>
                                <w:rFonts w:ascii="Candara" w:hAnsi="Candara"/>
                                <w:b/>
                                <w:noProof/>
                                <w:color w:val="EAE5EB" w:themeColor="background2"/>
                                <w:spacing w:val="10"/>
                                <w:sz w:val="72"/>
                                <w:szCs w:val="72"/>
                                <w14:shadow w14:blurRad="63500" w14:dist="50800" w14:dir="13500000" w14:sx="0" w14:sy="0" w14:kx="0" w14:ky="0" w14:algn="none">
                                  <w14:srgbClr w14:val="000000">
                                    <w14:alpha w14:val="50000"/>
                                  </w14:srgbClr>
                                </w14:shadow>
                                <w14:textOutline>
                                  <w14:noFill/>
                                  <w14:round/>
                                </w14:textOutline>
                              </w:rPr>
                              <w:t>5%</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891" o:spid="_x0000_s1326" type="#_x0000_t202" style="width:54.5pt;height:62.9pt;margin-top:5.15pt;margin-left:289.9pt;mso-height-percent:0;mso-height-relative:margin;mso-position-horizontal-relative:page;mso-width-percent:0;mso-width-relative:margin;mso-wrap-distance-bottom:0;mso-wrap-distance-left:9pt;mso-wrap-distance-right:9pt;mso-wrap-distance-top:0;mso-wrap-style:square;position:absolute;visibility:visible;v-text-anchor:top;z-index:251707392" filled="f" stroked="f">
                <v:textbox>
                  <w:txbxContent>
                    <w:p w:rsidR="00B55C40" w:rsidRPr="004659DE" w:rsidP="001E5381" w14:paraId="5AC286B0" w14:textId="77777777">
                      <w:pPr>
                        <w:jc w:val="center"/>
                        <w:rPr>
                          <w:rFonts w:ascii="Candara" w:hAnsi="Candara"/>
                          <w:b/>
                          <w:noProof/>
                          <w:color w:val="EAE5EB" w:themeColor="background2"/>
                          <w:spacing w:val="10"/>
                          <w:sz w:val="72"/>
                          <w:szCs w:val="72"/>
                          <w14:shadow w14:blurRad="63500" w14:dist="50800" w14:dir="13500000" w14:sx="0" w14:sy="0" w14:kx="0" w14:ky="0" w14:algn="none">
                            <w14:srgbClr w14:val="000000">
                              <w14:alpha w14:val="50000"/>
                            </w14:srgbClr>
                          </w14:shadow>
                          <w14:textOutline>
                            <w14:noFill/>
                            <w14:round/>
                          </w14:textOutline>
                        </w:rPr>
                      </w:pPr>
                      <w:r>
                        <w:rPr>
                          <w:rFonts w:ascii="Candara" w:hAnsi="Candara"/>
                          <w:b/>
                          <w:noProof/>
                          <w:color w:val="EAE5EB" w:themeColor="background2"/>
                          <w:spacing w:val="10"/>
                          <w:sz w:val="72"/>
                          <w:szCs w:val="72"/>
                          <w14:shadow w14:blurRad="63500" w14:dist="50800" w14:dir="13500000" w14:sx="0" w14:sy="0" w14:kx="0" w14:ky="0" w14:algn="none">
                            <w14:srgbClr w14:val="000000">
                              <w14:alpha w14:val="50000"/>
                            </w14:srgbClr>
                          </w14:shadow>
                          <w14:textOutline>
                            <w14:noFill/>
                            <w14:round/>
                          </w14:textOutline>
                        </w:rPr>
                        <w:t>5%</w:t>
                      </w:r>
                    </w:p>
                  </w:txbxContent>
                </v:textbox>
              </v:shape>
            </w:pict>
          </mc:Fallback>
        </mc:AlternateContent>
      </w:r>
      <w:r>
        <w:rPr>
          <w:noProof/>
          <w:lang w:eastAsia="lv-LV"/>
        </w:rPr>
        <mc:AlternateContent>
          <mc:Choice Requires="wps">
            <w:drawing>
              <wp:anchor distT="0" distB="0" distL="114300" distR="114300" simplePos="0" relativeHeight="251704320" behindDoc="0" locked="0" layoutInCell="1" allowOverlap="1">
                <wp:simplePos x="0" y="0"/>
                <wp:positionH relativeFrom="margin">
                  <wp:posOffset>2543312</wp:posOffset>
                </wp:positionH>
                <wp:positionV relativeFrom="paragraph">
                  <wp:posOffset>12645</wp:posOffset>
                </wp:positionV>
                <wp:extent cx="1017491" cy="447413"/>
                <wp:effectExtent l="0" t="0" r="0" b="0"/>
                <wp:wrapNone/>
                <wp:docPr id="34890" name="Text Box 3489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17491" cy="447413"/>
                        </a:xfrm>
                        <a:prstGeom prst="rect">
                          <a:avLst/>
                        </a:prstGeom>
                        <a:noFill/>
                        <a:ln>
                          <a:noFill/>
                        </a:ln>
                        <a:effectLst/>
                      </wps:spPr>
                      <wps:txbx>
                        <w:txbxContent>
                          <w:p w:rsidR="00B55C40" w:rsidRPr="004D1AA9" w:rsidP="001E5381" w14:textId="77777777">
                            <w:pPr>
                              <w:jc w:val="center"/>
                              <w:rPr>
                                <w:rFonts w:ascii="Candara" w:hAnsi="Candara"/>
                                <w:b/>
                                <w:noProof/>
                                <w:color w:val="EAE5EB" w:themeColor="background2"/>
                                <w:spacing w:val="10"/>
                                <w:sz w:val="24"/>
                                <w:szCs w:val="24"/>
                                <w14:shadow w14:blurRad="63500" w14:dist="50800" w14:dir="13500000" w14:sx="0" w14:sy="0" w14:kx="0" w14:ky="0" w14:algn="none">
                                  <w14:srgbClr w14:val="000000">
                                    <w14:alpha w14:val="50000"/>
                                  </w14:srgbClr>
                                </w14:shadow>
                                <w14:textOutline>
                                  <w14:noFill/>
                                  <w14:round/>
                                </w14:textOutline>
                              </w:rPr>
                            </w:pPr>
                            <w:r w:rsidRPr="004D1AA9">
                              <w:rPr>
                                <w:rFonts w:ascii="Candara" w:hAnsi="Candara"/>
                                <w:b/>
                                <w:noProof/>
                                <w:color w:val="EAE5EB" w:themeColor="background2"/>
                                <w:spacing w:val="10"/>
                                <w:sz w:val="24"/>
                                <w:szCs w:val="24"/>
                                <w14:shadow w14:blurRad="63500" w14:dist="50800" w14:dir="13500000" w14:sx="0" w14:sy="0" w14:kx="0" w14:ky="0" w14:algn="none">
                                  <w14:srgbClr w14:val="000000">
                                    <w14:alpha w14:val="50000"/>
                                  </w14:srgbClr>
                                </w14:shadow>
                                <w14:textOutline>
                                  <w14:noFill/>
                                  <w14:round/>
                                </w14:textOutline>
                              </w:rPr>
                              <w:t>izaugsme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4890" o:spid="_x0000_s1327" type="#_x0000_t202" style="width:80.1pt;height:35.25pt;margin-top:1pt;margin-left:200.25pt;mso-height-percent:0;mso-height-relative:margin;mso-position-horizontal-relative:margin;mso-width-percent:0;mso-width-relative:margin;mso-wrap-distance-bottom:0;mso-wrap-distance-left:9pt;mso-wrap-distance-right:9pt;mso-wrap-distance-top:0;mso-wrap-style:square;position:absolute;visibility:visible;v-text-anchor:top;z-index:251705344" filled="f" stroked="f">
                <v:textbox>
                  <w:txbxContent>
                    <w:p w:rsidR="00B55C40" w:rsidRPr="004D1AA9" w:rsidP="001E5381" w14:paraId="27DC68B0" w14:textId="77777777">
                      <w:pPr>
                        <w:jc w:val="center"/>
                        <w:rPr>
                          <w:rFonts w:ascii="Candara" w:hAnsi="Candara"/>
                          <w:b/>
                          <w:noProof/>
                          <w:color w:val="EAE5EB" w:themeColor="background2"/>
                          <w:spacing w:val="10"/>
                          <w:sz w:val="24"/>
                          <w:szCs w:val="24"/>
                          <w14:shadow w14:blurRad="63500" w14:dist="50800" w14:dir="13500000" w14:sx="0" w14:sy="0" w14:kx="0" w14:ky="0" w14:algn="none">
                            <w14:srgbClr w14:val="000000">
                              <w14:alpha w14:val="50000"/>
                            </w14:srgbClr>
                          </w14:shadow>
                          <w14:textOutline>
                            <w14:noFill/>
                            <w14:round/>
                          </w14:textOutline>
                        </w:rPr>
                      </w:pPr>
                      <w:r w:rsidRPr="004D1AA9">
                        <w:rPr>
                          <w:rFonts w:ascii="Candara" w:hAnsi="Candara"/>
                          <w:b/>
                          <w:noProof/>
                          <w:color w:val="EAE5EB" w:themeColor="background2"/>
                          <w:spacing w:val="10"/>
                          <w:sz w:val="24"/>
                          <w:szCs w:val="24"/>
                          <w14:shadow w14:blurRad="63500" w14:dist="50800" w14:dir="13500000" w14:sx="0" w14:sy="0" w14:kx="0" w14:ky="0" w14:algn="none">
                            <w14:srgbClr w14:val="000000">
                              <w14:alpha w14:val="50000"/>
                            </w14:srgbClr>
                          </w14:shadow>
                          <w14:textOutline>
                            <w14:noFill/>
                            <w14:round/>
                          </w14:textOutline>
                        </w:rPr>
                        <w:t>izaugsme</w:t>
                      </w:r>
                    </w:p>
                  </w:txbxContent>
                </v:textbox>
                <w10:wrap anchorx="margin"/>
              </v:shape>
            </w:pict>
          </mc:Fallback>
        </mc:AlternateContent>
      </w:r>
    </w:p>
    <w:p w:rsidR="001E5381" w:rsidP="001E5381" w14:paraId="234D2D4B" w14:textId="77777777">
      <w:pPr>
        <w:spacing w:after="0" w:line="240" w:lineRule="auto"/>
        <w:rPr>
          <w:rFonts w:ascii="Candara" w:eastAsia="Times New Roman" w:hAnsi="Candara"/>
          <w:lang w:eastAsia="lv-LV"/>
        </w:rPr>
      </w:pPr>
    </w:p>
    <w:p w:rsidR="001E5381" w:rsidP="001E5381" w14:paraId="62CF6DE9" w14:textId="77777777">
      <w:pPr>
        <w:spacing w:after="0" w:line="240" w:lineRule="auto"/>
        <w:rPr>
          <w:rFonts w:ascii="Candara" w:eastAsia="Times New Roman" w:hAnsi="Candara"/>
          <w:lang w:eastAsia="lv-LV"/>
        </w:rPr>
      </w:pPr>
    </w:p>
    <w:p w:rsidR="001E5381" w:rsidP="001E5381" w14:paraId="4AB8716A" w14:textId="77777777">
      <w:pPr>
        <w:spacing w:after="0" w:line="240" w:lineRule="auto"/>
        <w:rPr>
          <w:rFonts w:ascii="Candara" w:eastAsia="Times New Roman" w:hAnsi="Candara"/>
          <w:lang w:eastAsia="lv-LV"/>
        </w:rPr>
      </w:pPr>
    </w:p>
    <w:p w:rsidR="001E5381" w:rsidP="001E5381" w14:paraId="20E3CD52" w14:textId="77777777">
      <w:pPr>
        <w:spacing w:after="0" w:line="240" w:lineRule="auto"/>
        <w:rPr>
          <w:rFonts w:ascii="Candara" w:eastAsia="Times New Roman" w:hAnsi="Candara"/>
          <w:lang w:eastAsia="lv-LV"/>
        </w:rPr>
      </w:pPr>
      <w:r w:rsidRPr="004D1AA9">
        <w:rPr>
          <w:rFonts w:ascii="Candara" w:eastAsia="Times New Roman" w:hAnsi="Candara"/>
          <w:noProof/>
          <w:lang w:eastAsia="lv-LV"/>
        </w:rPr>
        <mc:AlternateContent>
          <mc:Choice Requires="wps">
            <w:drawing>
              <wp:anchor distT="0" distB="0" distL="114300" distR="114300" simplePos="0" relativeHeight="251867136" behindDoc="0" locked="0" layoutInCell="1" allowOverlap="1">
                <wp:simplePos x="0" y="0"/>
                <wp:positionH relativeFrom="page">
                  <wp:posOffset>2771775</wp:posOffset>
                </wp:positionH>
                <wp:positionV relativeFrom="paragraph">
                  <wp:posOffset>128904</wp:posOffset>
                </wp:positionV>
                <wp:extent cx="829945" cy="606577"/>
                <wp:effectExtent l="0" t="0" r="0" b="3175"/>
                <wp:wrapNone/>
                <wp:docPr id="34904" name="Content Placeholder 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829945" cy="60657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062477" w:rsidP="001E5381"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Uzņēmējdarbības vides uzlabošana</w:t>
                            </w:r>
                          </w:p>
                        </w:txbxContent>
                      </wps:txbx>
                      <wps:bodyPr vert="horz" wrap="square" lIns="93957" tIns="46979" rIns="93957" bIns="4697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328" type="#_x0000_t202" style="width:65.35pt;height:47.75pt;margin-top:10.15pt;margin-left:218.25pt;mso-height-percent:0;mso-height-relative:margin;mso-position-horizontal-relative:page;mso-width-percent:0;mso-width-relative:margin;mso-wrap-distance-bottom:0;mso-wrap-distance-left:9pt;mso-wrap-distance-right:9pt;mso-wrap-distance-top:0;mso-wrap-style:square;position:absolute;visibility:visible;v-text-anchor:top;z-index:251868160" filled="f" stroked="f">
                <v:path arrowok="t" textboxrect="0,0,21600,21600"/>
                <v:textbox inset="7.4pt,3.7pt,7.4pt,3.7pt">
                  <w:txbxContent>
                    <w:p w:rsidR="00B55C40" w:rsidRPr="00062477" w:rsidP="001E5381" w14:paraId="6315B63F"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Uzņēmējdarbības vides uzlabošana</w:t>
                      </w:r>
                    </w:p>
                  </w:txbxContent>
                </v:textbox>
              </v:shape>
            </w:pict>
          </mc:Fallback>
        </mc:AlternateContent>
      </w:r>
    </w:p>
    <w:p w:rsidR="001E5381" w:rsidP="001E5381" w14:paraId="5E488626" w14:textId="77777777">
      <w:pPr>
        <w:spacing w:after="0" w:line="240" w:lineRule="auto"/>
        <w:rPr>
          <w:rFonts w:ascii="Candara" w:eastAsia="Times New Roman" w:hAnsi="Candara"/>
          <w:lang w:eastAsia="lv-LV"/>
        </w:rPr>
      </w:pPr>
      <w:r w:rsidRPr="004D1AA9">
        <w:rPr>
          <w:rFonts w:ascii="Candara" w:eastAsia="Times New Roman" w:hAnsi="Candara"/>
          <w:noProof/>
          <w:lang w:eastAsia="lv-LV"/>
        </w:rPr>
        <mc:AlternateContent>
          <mc:Choice Requires="wps">
            <w:drawing>
              <wp:anchor distT="0" distB="0" distL="114300" distR="114300" simplePos="0" relativeHeight="251714560" behindDoc="0" locked="0" layoutInCell="1" allowOverlap="1">
                <wp:simplePos x="0" y="0"/>
                <wp:positionH relativeFrom="margin">
                  <wp:posOffset>3390900</wp:posOffset>
                </wp:positionH>
                <wp:positionV relativeFrom="paragraph">
                  <wp:posOffset>11430</wp:posOffset>
                </wp:positionV>
                <wp:extent cx="1019175" cy="683260"/>
                <wp:effectExtent l="0" t="0" r="0" b="2540"/>
                <wp:wrapNone/>
                <wp:docPr id="34902" name="Content Placeholder 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019175" cy="6832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062477" w:rsidP="001E5381"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Inovāciju sistēmas pilnveidošana</w:t>
                            </w:r>
                          </w:p>
                        </w:txbxContent>
                      </wps:txbx>
                      <wps:bodyPr vert="horz" wrap="square" lIns="93957" tIns="46979" rIns="93957" bIns="4697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329" type="#_x0000_t202" style="width:80.25pt;height:53.8pt;margin-top:0.9pt;margin-left:267pt;mso-height-percent:0;mso-height-relative:margin;mso-position-horizontal-relative:margin;mso-width-percent:0;mso-width-relative:margin;mso-wrap-distance-bottom:0;mso-wrap-distance-left:9pt;mso-wrap-distance-right:9pt;mso-wrap-distance-top:0;mso-wrap-style:square;position:absolute;visibility:visible;v-text-anchor:top;z-index:251715584" filled="f" stroked="f">
                <v:path arrowok="t" textboxrect="0,0,21600,21600"/>
                <v:textbox inset="7.4pt,3.7pt,7.4pt,3.7pt">
                  <w:txbxContent>
                    <w:p w:rsidR="00B55C40" w:rsidRPr="00062477" w:rsidP="001E5381" w14:paraId="6011A8F2"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Inovāciju sistēmas pilnveidošana</w:t>
                      </w:r>
                    </w:p>
                  </w:txbxContent>
                </v:textbox>
                <w10:wrap anchorx="margin"/>
              </v:shape>
            </w:pict>
          </mc:Fallback>
        </mc:AlternateContent>
      </w:r>
    </w:p>
    <w:p w:rsidR="001E5381" w:rsidP="001E5381" w14:paraId="1F4F44F6" w14:textId="77777777">
      <w:pPr>
        <w:spacing w:after="0" w:line="240" w:lineRule="auto"/>
        <w:rPr>
          <w:rFonts w:ascii="Candara" w:eastAsia="Times New Roman" w:hAnsi="Candara"/>
          <w:lang w:eastAsia="lv-LV"/>
        </w:rPr>
      </w:pPr>
    </w:p>
    <w:p w:rsidR="001E5381" w:rsidP="001E5381" w14:paraId="3F154D16" w14:textId="77777777">
      <w:pPr>
        <w:spacing w:after="0" w:line="240" w:lineRule="auto"/>
        <w:rPr>
          <w:rFonts w:ascii="Candara" w:eastAsia="Times New Roman" w:hAnsi="Candara"/>
          <w:lang w:eastAsia="lv-LV"/>
        </w:rPr>
      </w:pPr>
      <w:r w:rsidRPr="004D1AA9">
        <w:rPr>
          <w:rFonts w:ascii="Candara" w:eastAsia="Times New Roman" w:hAnsi="Candara"/>
          <w:noProof/>
          <w:lang w:eastAsia="lv-LV"/>
        </w:rPr>
        <mc:AlternateContent>
          <mc:Choice Requires="wps">
            <w:drawing>
              <wp:anchor distT="0" distB="0" distL="114300" distR="114300" simplePos="0" relativeHeight="251718656" behindDoc="0" locked="0" layoutInCell="1" allowOverlap="1">
                <wp:simplePos x="0" y="0"/>
                <wp:positionH relativeFrom="margin">
                  <wp:posOffset>2465070</wp:posOffset>
                </wp:positionH>
                <wp:positionV relativeFrom="paragraph">
                  <wp:posOffset>171450</wp:posOffset>
                </wp:positionV>
                <wp:extent cx="1263650" cy="524317"/>
                <wp:effectExtent l="0" t="0" r="0" b="9525"/>
                <wp:wrapNone/>
                <wp:docPr id="34905" name="Content Placeholder 1"/>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263650" cy="52431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B55C40" w:rsidRPr="00062477" w:rsidP="001E5381"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Cilvēkkapitāla attīstība</w:t>
                            </w:r>
                          </w:p>
                        </w:txbxContent>
                      </wps:txbx>
                      <wps:bodyPr vert="horz" wrap="square" lIns="93957" tIns="46979" rIns="93957" bIns="4697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330" type="#_x0000_t202" style="width:99.5pt;height:41.3pt;margin-top:13.5pt;margin-left:194.1pt;mso-height-percent:0;mso-height-relative:margin;mso-position-horizontal-relative:margin;mso-width-percent:0;mso-width-relative:margin;mso-wrap-distance-bottom:0;mso-wrap-distance-left:9pt;mso-wrap-distance-right:9pt;mso-wrap-distance-top:0;mso-wrap-style:square;position:absolute;visibility:visible;v-text-anchor:top;z-index:251719680" filled="f" stroked="f">
                <v:path arrowok="t" textboxrect="0,0,21600,21600"/>
                <v:textbox inset="7.4pt,3.7pt,7.4pt,3.7pt">
                  <w:txbxContent>
                    <w:p w:rsidR="00B55C40" w:rsidRPr="00062477" w:rsidP="001E5381" w14:paraId="17CF10C9" w14:textId="77777777">
                      <w:pPr>
                        <w:pStyle w:val="NormalWeb"/>
                        <w:spacing w:before="0" w:beforeAutospacing="0" w:after="0" w:afterAutospacing="0"/>
                        <w:jc w:val="center"/>
                        <w:textAlignment w:val="baseline"/>
                        <w:rPr>
                          <w:sz w:val="20"/>
                        </w:rPr>
                      </w:pPr>
                      <w:r w:rsidRPr="00062477">
                        <w:rPr>
                          <w:rFonts w:ascii="Calibri Light" w:hAnsi="Calibri Light" w:cs="Arial"/>
                          <w:b/>
                          <w:bCs/>
                          <w:kern w:val="24"/>
                          <w:sz w:val="20"/>
                        </w:rPr>
                        <w:t>Cilvēkkapitāla attīstība</w:t>
                      </w:r>
                    </w:p>
                  </w:txbxContent>
                </v:textbox>
                <w10:wrap anchorx="margin"/>
              </v:shape>
            </w:pict>
          </mc:Fallback>
        </mc:AlternateContent>
      </w:r>
    </w:p>
    <w:p w:rsidR="001E5381" w:rsidP="001E5381" w14:paraId="2F3B15EB" w14:textId="77777777">
      <w:pPr>
        <w:spacing w:after="0" w:line="240" w:lineRule="auto"/>
        <w:rPr>
          <w:rFonts w:ascii="Candara" w:eastAsia="Times New Roman" w:hAnsi="Candara"/>
          <w:lang w:eastAsia="lv-LV"/>
        </w:rPr>
      </w:pPr>
    </w:p>
    <w:p w:rsidR="001E5381" w:rsidP="001E5381" w14:paraId="08C49272" w14:textId="77777777">
      <w:pPr>
        <w:spacing w:after="0" w:line="240" w:lineRule="auto"/>
        <w:rPr>
          <w:rFonts w:ascii="Candara" w:eastAsia="Times New Roman" w:hAnsi="Candara"/>
          <w:lang w:eastAsia="lv-LV"/>
        </w:rPr>
      </w:pPr>
    </w:p>
    <w:p w:rsidR="001E5381" w:rsidP="001E5381" w14:paraId="7832CA1F" w14:textId="77777777">
      <w:pPr>
        <w:spacing w:after="0" w:line="240" w:lineRule="auto"/>
        <w:rPr>
          <w:rFonts w:ascii="Candara" w:eastAsia="Times New Roman" w:hAnsi="Candara"/>
          <w:lang w:eastAsia="lv-LV"/>
        </w:rPr>
      </w:pPr>
    </w:p>
    <w:p w:rsidR="001E5381" w:rsidP="001E5381" w14:paraId="4F80F5A1" w14:textId="77777777">
      <w:pPr>
        <w:spacing w:after="0" w:line="240" w:lineRule="auto"/>
        <w:rPr>
          <w:rFonts w:ascii="Candara" w:eastAsia="Times New Roman" w:hAnsi="Candara"/>
          <w:lang w:eastAsia="lv-LV"/>
        </w:rPr>
      </w:pPr>
    </w:p>
    <w:p w:rsidR="001E5381" w:rsidRPr="004D1AA9" w:rsidP="001E5381" w14:paraId="215C10C2" w14:textId="77777777">
      <w:pPr>
        <w:spacing w:after="0" w:line="240" w:lineRule="auto"/>
        <w:rPr>
          <w:rFonts w:ascii="Candara" w:eastAsia="Times New Roman" w:hAnsi="Candara"/>
          <w:lang w:eastAsia="lv-LV"/>
        </w:rPr>
      </w:pPr>
    </w:p>
    <w:p w:rsidR="001E5381" w:rsidRPr="004D1AA9" w:rsidP="001E5381" w14:paraId="63FBB233" w14:textId="77777777">
      <w:pPr>
        <w:spacing w:after="0" w:line="240" w:lineRule="auto"/>
        <w:rPr>
          <w:rFonts w:ascii="Candara" w:eastAsia="Times New Roman" w:hAnsi="Candara"/>
          <w:lang w:eastAsia="lv-LV"/>
        </w:rPr>
      </w:pPr>
    </w:p>
    <w:p w:rsidR="001E5381" w:rsidRPr="004D1AA9" w:rsidP="001E5381" w14:paraId="49F0328E" w14:textId="77777777">
      <w:pPr>
        <w:spacing w:after="0" w:line="240" w:lineRule="auto"/>
        <w:rPr>
          <w:rFonts w:ascii="Candara" w:eastAsia="Times New Roman" w:hAnsi="Candara"/>
          <w:lang w:eastAsia="lv-LV"/>
        </w:rPr>
      </w:pPr>
    </w:p>
    <w:p w:rsidR="001E5381" w:rsidRPr="004D1AA9" w:rsidP="001E5381" w14:paraId="1ED05E3C" w14:textId="77777777">
      <w:pPr>
        <w:spacing w:after="0" w:line="240" w:lineRule="auto"/>
        <w:rPr>
          <w:rFonts w:ascii="Candara" w:eastAsia="Times New Roman" w:hAnsi="Candara"/>
          <w:lang w:eastAsia="lv-LV"/>
        </w:rPr>
      </w:pPr>
    </w:p>
    <w:p w:rsidR="001E5381" w:rsidRPr="004D1AA9" w:rsidP="001E5381" w14:paraId="3ABBE5CF" w14:textId="77777777">
      <w:pPr>
        <w:spacing w:after="0" w:line="240" w:lineRule="auto"/>
        <w:rPr>
          <w:rFonts w:ascii="Candara" w:eastAsia="Times New Roman" w:hAnsi="Candara"/>
          <w:lang w:eastAsia="lv-LV"/>
        </w:rPr>
      </w:pPr>
    </w:p>
    <w:p w:rsidR="00996CD8" w:rsidRPr="00D92FF7" w:rsidP="00D92FF7" w14:paraId="556C1103" w14:textId="77777777">
      <w:pPr>
        <w:jc w:val="both"/>
        <w:rPr>
          <w:rFonts w:ascii="Candara" w:eastAsia="Times New Roman" w:hAnsi="Candara" w:cstheme="majorBidi"/>
          <w:b/>
          <w:color w:val="FFFFFF" w:themeColor="background1"/>
          <w:sz w:val="32"/>
          <w:szCs w:val="32"/>
          <w:lang w:eastAsia="lv-LV"/>
        </w:rPr>
        <w:sectPr w:rsidSect="00161769">
          <w:type w:val="continuous"/>
          <w:pgSz w:w="11906" w:h="16838"/>
          <w:pgMar w:top="1134" w:right="1134" w:bottom="1134" w:left="1701" w:header="425" w:footer="193" w:gutter="0"/>
          <w:cols w:space="708"/>
          <w:titlePg/>
          <w:docGrid w:linePitch="360"/>
        </w:sectPr>
      </w:pPr>
    </w:p>
    <w:p w:rsidR="00301FD8" w:rsidRPr="009E6743" w:rsidP="00F0137C" w14:paraId="2DD57FA0" w14:textId="77777777">
      <w:pPr>
        <w:pStyle w:val="2limenis"/>
        <w:keepLines w:val="0"/>
        <w:widowControl w:val="0"/>
        <w:numPr>
          <w:ilvl w:val="0"/>
          <w:numId w:val="0"/>
        </w:numPr>
        <w:spacing w:before="0" w:line="240" w:lineRule="auto"/>
        <w:rPr>
          <w:rFonts w:ascii="Candara" w:hAnsi="Candara" w:cstheme="majorBidi"/>
          <w:b/>
          <w:sz w:val="24"/>
          <w:szCs w:val="22"/>
          <w:lang w:eastAsia="lv-LV"/>
        </w:rPr>
      </w:pPr>
      <w:r w:rsidRPr="009E6743">
        <w:rPr>
          <w:rFonts w:ascii="Candara" w:hAnsi="Candara" w:cstheme="majorBidi"/>
          <w:b/>
          <w:sz w:val="24"/>
          <w:szCs w:val="22"/>
          <w:lang w:eastAsia="lv-LV"/>
        </w:rPr>
        <w:t>PASĀKUMU PLĀNS 2017. – 2020. GADAM</w:t>
      </w:r>
    </w:p>
    <w:p w:rsidR="00196854" w:rsidRPr="00301FD8" w:rsidP="00301FD8" w14:paraId="728DE74D" w14:textId="77777777">
      <w:pPr>
        <w:pStyle w:val="2limenis"/>
        <w:keepLines w:val="0"/>
        <w:widowControl w:val="0"/>
        <w:numPr>
          <w:ilvl w:val="0"/>
          <w:numId w:val="0"/>
        </w:numPr>
        <w:spacing w:before="0" w:line="240" w:lineRule="auto"/>
        <w:rPr>
          <w:rFonts w:eastAsia="Calibri"/>
          <w:sz w:val="12"/>
          <w:szCs w:val="12"/>
        </w:rPr>
      </w:pPr>
      <w:bookmarkStart w:id="53" w:name="_gjdgxs" w:colFirst="0" w:colLast="0"/>
      <w:bookmarkEnd w:id="53"/>
    </w:p>
    <w:p w:rsidR="005B7152" w:rsidRPr="00B3029A" w:rsidP="005B7152" w14:paraId="48EF6E6E" w14:textId="77777777">
      <w:pPr>
        <w:pStyle w:val="2limenis"/>
        <w:keepLines w:val="0"/>
        <w:widowControl w:val="0"/>
        <w:numPr>
          <w:ilvl w:val="0"/>
          <w:numId w:val="0"/>
        </w:numPr>
        <w:shd w:val="clear" w:color="auto" w:fill="0D558B" w:themeFill="accent5" w:themeFillShade="80"/>
        <w:spacing w:before="0" w:line="240" w:lineRule="auto"/>
        <w:rPr>
          <w:rFonts w:ascii="Candara" w:hAnsi="Candara" w:cstheme="majorBidi"/>
          <w:b/>
          <w:color w:val="FFFFFF" w:themeColor="background1"/>
          <w:sz w:val="24"/>
          <w:lang w:eastAsia="lv-LV"/>
        </w:rPr>
      </w:pPr>
      <w:r w:rsidRPr="00B3029A">
        <w:rPr>
          <w:rFonts w:ascii="Candara" w:eastAsia="Candara" w:hAnsi="Candara"/>
          <w:b/>
          <w:color w:val="FFFFFF" w:themeColor="background1"/>
          <w:sz w:val="24"/>
        </w:rPr>
        <w:t>1. Inovācijas veicināšana</w:t>
      </w:r>
    </w:p>
    <w:p w:rsidR="00B8601C" w:rsidRPr="00301FD8" w:rsidP="00D13CD1" w14:paraId="246C5CBC" w14:textId="77777777">
      <w:pPr>
        <w:pStyle w:val="Caption"/>
        <w:spacing w:before="0" w:after="0"/>
        <w:rPr>
          <w:sz w:val="12"/>
          <w:szCs w:val="12"/>
        </w:rPr>
      </w:pPr>
    </w:p>
    <w:tbl>
      <w:tblPr>
        <w:tblW w:w="146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85"/>
        <w:gridCol w:w="2268"/>
        <w:gridCol w:w="3260"/>
        <w:gridCol w:w="2694"/>
        <w:gridCol w:w="1701"/>
        <w:gridCol w:w="1417"/>
        <w:gridCol w:w="1276"/>
      </w:tblGrid>
      <w:tr w14:paraId="2DC98991" w14:textId="77777777" w:rsidTr="00D13CD1">
        <w:tblPrEx>
          <w:tblW w:w="146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985" w:type="dxa"/>
            <w:shd w:val="clear" w:color="auto" w:fill="D9D9D9"/>
            <w:vAlign w:val="center"/>
          </w:tcPr>
          <w:p w:rsidR="00B8601C" w:rsidRPr="007F3216" w:rsidP="00B8601C" w14:paraId="6C2E6BEA" w14:textId="77777777">
            <w:pPr>
              <w:spacing w:after="0" w:line="240" w:lineRule="auto"/>
              <w:jc w:val="center"/>
              <w:rPr>
                <w:rFonts w:ascii="Candara" w:eastAsia="Candara" w:hAnsi="Candara" w:cs="Candara"/>
                <w:b/>
                <w:sz w:val="16"/>
                <w:szCs w:val="16"/>
              </w:rPr>
            </w:pPr>
            <w:r w:rsidRPr="007F3216">
              <w:rPr>
                <w:rFonts w:ascii="Candara" w:eastAsia="Candara" w:hAnsi="Candara" w:cs="Candara"/>
                <w:b/>
                <w:sz w:val="16"/>
                <w:szCs w:val="16"/>
              </w:rPr>
              <w:t>Atbalsta instrumenti un politikas iniciatīvas</w:t>
            </w:r>
          </w:p>
        </w:tc>
        <w:tc>
          <w:tcPr>
            <w:tcW w:w="2268" w:type="dxa"/>
            <w:shd w:val="clear" w:color="auto" w:fill="D9D9D9"/>
            <w:vAlign w:val="center"/>
          </w:tcPr>
          <w:p w:rsidR="00B8601C" w:rsidRPr="007F3216" w:rsidP="00B8601C" w14:paraId="4BEEE51F" w14:textId="77777777">
            <w:pPr>
              <w:spacing w:after="0" w:line="240" w:lineRule="auto"/>
              <w:jc w:val="center"/>
              <w:rPr>
                <w:rFonts w:ascii="Candara" w:eastAsia="Candara" w:hAnsi="Candara" w:cs="Candara"/>
                <w:b/>
                <w:sz w:val="16"/>
                <w:szCs w:val="16"/>
              </w:rPr>
            </w:pPr>
            <w:r w:rsidRPr="007F3216">
              <w:rPr>
                <w:rFonts w:ascii="Candara" w:eastAsia="Candara" w:hAnsi="Candara" w:cs="Candara"/>
                <w:b/>
                <w:sz w:val="16"/>
                <w:szCs w:val="16"/>
              </w:rPr>
              <w:t xml:space="preserve">Sagaidāmās izmaiņas </w:t>
            </w:r>
          </w:p>
        </w:tc>
        <w:tc>
          <w:tcPr>
            <w:tcW w:w="3260" w:type="dxa"/>
            <w:shd w:val="clear" w:color="auto" w:fill="D9D9D9"/>
            <w:vAlign w:val="center"/>
          </w:tcPr>
          <w:p w:rsidR="00B8601C" w:rsidRPr="007F3216" w:rsidP="00B8601C" w14:paraId="26D8AC82" w14:textId="77777777">
            <w:pPr>
              <w:spacing w:after="0" w:line="240" w:lineRule="auto"/>
              <w:jc w:val="center"/>
              <w:rPr>
                <w:rFonts w:ascii="Candara" w:eastAsia="Candara" w:hAnsi="Candara" w:cs="Candara"/>
                <w:b/>
                <w:sz w:val="16"/>
                <w:szCs w:val="16"/>
              </w:rPr>
            </w:pPr>
            <w:r w:rsidRPr="007F3216">
              <w:rPr>
                <w:rFonts w:ascii="Candara" w:eastAsia="Candara" w:hAnsi="Candara" w:cs="Candara"/>
                <w:b/>
                <w:sz w:val="16"/>
                <w:szCs w:val="16"/>
              </w:rPr>
              <w:t>Rezultāta rādītāji</w:t>
            </w:r>
          </w:p>
        </w:tc>
        <w:tc>
          <w:tcPr>
            <w:tcW w:w="2694" w:type="dxa"/>
            <w:shd w:val="clear" w:color="auto" w:fill="D9D9D9"/>
            <w:vAlign w:val="center"/>
          </w:tcPr>
          <w:p w:rsidR="00B8601C" w:rsidRPr="007F3216" w:rsidP="00B8601C" w14:paraId="615EAD53" w14:textId="77777777">
            <w:pPr>
              <w:spacing w:after="0" w:line="240" w:lineRule="auto"/>
              <w:jc w:val="center"/>
              <w:rPr>
                <w:rFonts w:ascii="Candara" w:eastAsia="Candara" w:hAnsi="Candara" w:cs="Candara"/>
                <w:b/>
                <w:sz w:val="16"/>
                <w:szCs w:val="16"/>
              </w:rPr>
            </w:pPr>
            <w:r w:rsidRPr="007F3216">
              <w:rPr>
                <w:rFonts w:ascii="Candara" w:eastAsia="Candara" w:hAnsi="Candara" w:cs="Candara"/>
                <w:b/>
                <w:sz w:val="16"/>
                <w:szCs w:val="16"/>
              </w:rPr>
              <w:t>Iznākuma rādītāji</w:t>
            </w:r>
          </w:p>
        </w:tc>
        <w:tc>
          <w:tcPr>
            <w:tcW w:w="1701" w:type="dxa"/>
            <w:shd w:val="clear" w:color="auto" w:fill="D9D9D9"/>
          </w:tcPr>
          <w:p w:rsidR="00B8601C" w:rsidRPr="007F3216" w:rsidP="00B8601C" w14:paraId="082C288A" w14:textId="77777777">
            <w:pPr>
              <w:spacing w:after="0" w:line="240" w:lineRule="auto"/>
              <w:jc w:val="center"/>
              <w:rPr>
                <w:rFonts w:ascii="Candara" w:eastAsia="Candara" w:hAnsi="Candara" w:cs="Candara"/>
                <w:b/>
                <w:sz w:val="16"/>
                <w:szCs w:val="16"/>
              </w:rPr>
            </w:pPr>
            <w:r w:rsidRPr="007F3216">
              <w:rPr>
                <w:rFonts w:ascii="Candara" w:eastAsia="Candara" w:hAnsi="Candara" w:cs="Candara"/>
                <w:b/>
                <w:sz w:val="16"/>
                <w:szCs w:val="16"/>
              </w:rPr>
              <w:t>Finansējuma avots un apmērs</w:t>
            </w:r>
          </w:p>
        </w:tc>
        <w:tc>
          <w:tcPr>
            <w:tcW w:w="1417" w:type="dxa"/>
            <w:shd w:val="clear" w:color="auto" w:fill="D9D9D9"/>
          </w:tcPr>
          <w:p w:rsidR="00B8601C" w:rsidRPr="007F3216" w:rsidP="00B8601C" w14:paraId="211BF261" w14:textId="77777777">
            <w:pPr>
              <w:spacing w:after="0" w:line="240" w:lineRule="auto"/>
              <w:jc w:val="center"/>
              <w:rPr>
                <w:rFonts w:ascii="Candara" w:eastAsia="Candara" w:hAnsi="Candara" w:cs="Candara"/>
                <w:b/>
                <w:sz w:val="16"/>
                <w:szCs w:val="16"/>
              </w:rPr>
            </w:pPr>
            <w:r w:rsidRPr="007F3216">
              <w:rPr>
                <w:rFonts w:ascii="Candara" w:eastAsia="Candara" w:hAnsi="Candara" w:cs="Candara"/>
                <w:b/>
                <w:sz w:val="16"/>
                <w:szCs w:val="16"/>
              </w:rPr>
              <w:t>Par uzdevuma izpildi atbildīgās institūcijas</w:t>
            </w:r>
          </w:p>
        </w:tc>
        <w:tc>
          <w:tcPr>
            <w:tcW w:w="1276" w:type="dxa"/>
            <w:shd w:val="clear" w:color="auto" w:fill="D9D9D9"/>
          </w:tcPr>
          <w:p w:rsidR="00B8601C" w:rsidRPr="00600185" w:rsidP="00B8601C" w14:paraId="482E2836" w14:textId="77777777">
            <w:pPr>
              <w:spacing w:after="0" w:line="240" w:lineRule="auto"/>
              <w:jc w:val="center"/>
              <w:rPr>
                <w:rFonts w:ascii="Candara" w:eastAsia="Candara" w:hAnsi="Candara" w:cs="Candara"/>
                <w:b/>
                <w:sz w:val="16"/>
                <w:szCs w:val="16"/>
              </w:rPr>
            </w:pPr>
            <w:r w:rsidRPr="00600185">
              <w:rPr>
                <w:rFonts w:ascii="Candara" w:eastAsia="Candara" w:hAnsi="Candara" w:cs="Candara"/>
                <w:b/>
                <w:sz w:val="16"/>
                <w:szCs w:val="16"/>
              </w:rPr>
              <w:t>Uzdevuma izpildes termiņš (gads)</w:t>
            </w:r>
          </w:p>
        </w:tc>
      </w:tr>
      <w:tr w14:paraId="017F9D45" w14:textId="77777777" w:rsidTr="00D13CD1">
        <w:tblPrEx>
          <w:tblW w:w="14601" w:type="dxa"/>
          <w:tblInd w:w="-147" w:type="dxa"/>
          <w:tblLayout w:type="fixed"/>
          <w:tblLook w:val="0400"/>
        </w:tblPrEx>
        <w:tc>
          <w:tcPr>
            <w:tcW w:w="1985" w:type="dxa"/>
          </w:tcPr>
          <w:p w:rsidR="00B8601C" w:rsidRPr="007F3216" w:rsidP="00B8601C" w14:paraId="27AF535F" w14:textId="77777777">
            <w:pPr>
              <w:widowControl w:val="0"/>
              <w:numPr>
                <w:ilvl w:val="1"/>
                <w:numId w:val="22"/>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Atbalstīt jaunu produktu un tehnoloģiju izstrādi Kompetences centru ietvaros</w:t>
            </w:r>
          </w:p>
        </w:tc>
        <w:tc>
          <w:tcPr>
            <w:tcW w:w="2268" w:type="dxa"/>
            <w:shd w:val="clear" w:color="auto" w:fill="auto"/>
          </w:tcPr>
          <w:p w:rsidR="00B8601C" w:rsidRPr="007F3216" w:rsidP="00B8601C" w14:paraId="0C1E393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piesaistīto privātā sektora investīciju apjoms P&amp;A, kā arī tirgū virzīti jauni produkti un tehnoloģijas</w:t>
            </w:r>
          </w:p>
          <w:p w:rsidR="00B8601C" w:rsidRPr="007F3216" w:rsidP="00B8601C" w14:paraId="7E865E7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KC dalībnieki iesaistās augstskolu un zinātnisko institūciju stratēģiju ieviešanas monitoringā, t.sk. studiju programmu piedāvājuma sagatavošanā un prakses vietu nodrošināšanā.</w:t>
            </w:r>
          </w:p>
        </w:tc>
        <w:tc>
          <w:tcPr>
            <w:tcW w:w="3260" w:type="dxa"/>
            <w:shd w:val="clear" w:color="auto" w:fill="auto"/>
          </w:tcPr>
          <w:p w:rsidR="00B8601C" w:rsidRPr="007F3216" w:rsidP="00B8601C" w14:paraId="03E36A8E" w14:textId="77777777">
            <w:pPr>
              <w:widowControl w:val="0"/>
              <w:numPr>
                <w:ilvl w:val="0"/>
                <w:numId w:val="32"/>
              </w:numPr>
              <w:spacing w:after="0" w:line="240" w:lineRule="auto"/>
              <w:ind w:left="222" w:hanging="222"/>
              <w:rPr>
                <w:rFonts w:ascii="Candara" w:hAnsi="Candara"/>
                <w:sz w:val="16"/>
                <w:szCs w:val="16"/>
              </w:rPr>
            </w:pPr>
            <w:r w:rsidRPr="007F3216">
              <w:rPr>
                <w:rFonts w:ascii="Candara" w:eastAsia="Candara" w:hAnsi="Candara" w:cs="Candara"/>
                <w:sz w:val="16"/>
                <w:szCs w:val="16"/>
              </w:rPr>
              <w:t>Privātā sektora investīcijas P&amp;A (% no kopējiem ieguldījumiem)</w:t>
            </w:r>
          </w:p>
          <w:p w:rsidR="00B8601C" w:rsidRPr="007F3216" w:rsidP="00B8601C" w14:paraId="467B835B" w14:textId="77777777">
            <w:pPr>
              <w:widowControl w:val="0"/>
              <w:numPr>
                <w:ilvl w:val="0"/>
                <w:numId w:val="32"/>
              </w:numPr>
              <w:spacing w:after="0" w:line="240" w:lineRule="auto"/>
              <w:ind w:left="222" w:hanging="222"/>
              <w:rPr>
                <w:rFonts w:ascii="Candara" w:hAnsi="Candara"/>
                <w:sz w:val="16"/>
                <w:szCs w:val="16"/>
              </w:rPr>
            </w:pPr>
            <w:r w:rsidRPr="007F3216">
              <w:rPr>
                <w:rFonts w:ascii="Candara" w:eastAsia="Candara" w:hAnsi="Candara" w:cs="Candara"/>
                <w:sz w:val="16"/>
                <w:szCs w:val="16"/>
              </w:rPr>
              <w:t>Inovatīvo uzņēmumu īpatsvars (% no visiem uzņēmumiem</w:t>
            </w:r>
          </w:p>
          <w:p w:rsidR="00B8601C" w:rsidRPr="007F3216" w:rsidP="00B8601C" w14:paraId="0B6B15A0" w14:textId="77777777">
            <w:pPr>
              <w:widowControl w:val="0"/>
              <w:numPr>
                <w:ilvl w:val="0"/>
                <w:numId w:val="32"/>
              </w:numPr>
              <w:spacing w:after="0" w:line="240" w:lineRule="auto"/>
              <w:ind w:left="222" w:hanging="222"/>
              <w:rPr>
                <w:rFonts w:ascii="Candara" w:hAnsi="Candara"/>
                <w:sz w:val="16"/>
                <w:szCs w:val="16"/>
              </w:rPr>
            </w:pPr>
            <w:r w:rsidRPr="007F3216">
              <w:rPr>
                <w:rFonts w:ascii="Candara" w:eastAsia="Candara" w:hAnsi="Candara" w:cs="Candara"/>
                <w:sz w:val="16"/>
                <w:szCs w:val="16"/>
              </w:rPr>
              <w:t>Augsto un vidēji augsto tehnoloģiju nozaru īpatsvars Latvijas preču eksportā</w:t>
            </w:r>
          </w:p>
          <w:p w:rsidR="00B8601C" w:rsidRPr="007F3216" w:rsidP="00B8601C" w14:paraId="26294D41" w14:textId="77777777">
            <w:pPr>
              <w:widowControl w:val="0"/>
              <w:numPr>
                <w:ilvl w:val="0"/>
                <w:numId w:val="32"/>
              </w:numPr>
              <w:spacing w:after="0" w:line="240" w:lineRule="auto"/>
              <w:ind w:left="222" w:hanging="222"/>
              <w:rPr>
                <w:rFonts w:ascii="Candara" w:hAnsi="Candara"/>
                <w:sz w:val="16"/>
                <w:szCs w:val="16"/>
              </w:rPr>
            </w:pPr>
            <w:r w:rsidRPr="007F3216">
              <w:rPr>
                <w:rFonts w:ascii="Candara" w:eastAsia="Candara" w:hAnsi="Candara" w:cs="Candara"/>
                <w:sz w:val="16"/>
                <w:szCs w:val="16"/>
              </w:rPr>
              <w:t>Komersantu, kas iesaistās augstskolu nozares ekspertu padomju darbā, skaits.</w:t>
            </w:r>
          </w:p>
          <w:p w:rsidR="00B8601C" w:rsidRPr="007F3216" w:rsidP="00B8601C" w14:paraId="19857DF3" w14:textId="77777777">
            <w:pPr>
              <w:widowControl w:val="0"/>
              <w:numPr>
                <w:ilvl w:val="0"/>
                <w:numId w:val="32"/>
              </w:numPr>
              <w:spacing w:after="0" w:line="240" w:lineRule="auto"/>
              <w:ind w:left="222" w:hanging="222"/>
              <w:rPr>
                <w:rFonts w:ascii="Candara" w:hAnsi="Candara"/>
                <w:sz w:val="16"/>
                <w:szCs w:val="16"/>
              </w:rPr>
            </w:pPr>
            <w:r w:rsidRPr="007F3216">
              <w:rPr>
                <w:rFonts w:ascii="Candara" w:eastAsia="Candara" w:hAnsi="Candara" w:cs="Candara"/>
                <w:sz w:val="16"/>
                <w:szCs w:val="16"/>
              </w:rPr>
              <w:t>Dalību skaits augstskolu un zinātnisko institūciju stratēģiju ieviešanas monitoringā.</w:t>
            </w:r>
          </w:p>
          <w:p w:rsidR="00B8601C" w:rsidRPr="007F3216" w:rsidP="00B8601C" w14:paraId="313D83C2" w14:textId="77777777">
            <w:pPr>
              <w:widowControl w:val="0"/>
              <w:spacing w:after="0" w:line="240" w:lineRule="auto"/>
              <w:rPr>
                <w:rFonts w:ascii="Candara" w:hAnsi="Candara"/>
                <w:sz w:val="16"/>
                <w:szCs w:val="16"/>
              </w:rPr>
            </w:pPr>
          </w:p>
        </w:tc>
        <w:tc>
          <w:tcPr>
            <w:tcW w:w="2694" w:type="dxa"/>
            <w:shd w:val="clear" w:color="auto" w:fill="auto"/>
          </w:tcPr>
          <w:p w:rsidR="00B8601C" w:rsidRPr="007F3216" w:rsidP="00B8601C" w14:paraId="1FF470F6" w14:textId="77777777">
            <w:pPr>
              <w:widowControl w:val="0"/>
              <w:numPr>
                <w:ilvl w:val="0"/>
                <w:numId w:val="32"/>
              </w:numPr>
              <w:spacing w:after="0" w:line="240" w:lineRule="auto"/>
              <w:ind w:left="199" w:hanging="199"/>
              <w:rPr>
                <w:rFonts w:ascii="Candara" w:hAnsi="Candara"/>
                <w:sz w:val="16"/>
                <w:szCs w:val="16"/>
              </w:rPr>
            </w:pPr>
            <w:r w:rsidRPr="007F3216">
              <w:rPr>
                <w:rFonts w:ascii="Candara" w:eastAsia="Candara" w:hAnsi="Candara" w:cs="Candara"/>
                <w:sz w:val="16"/>
                <w:szCs w:val="16"/>
              </w:rPr>
              <w:t>Atbalstīto kompetences centru skaits – 8</w:t>
            </w:r>
          </w:p>
          <w:p w:rsidR="00B8601C" w:rsidRPr="007F3216" w:rsidP="00B8601C" w14:paraId="7F9E4BC7" w14:textId="77777777">
            <w:pPr>
              <w:widowControl w:val="0"/>
              <w:numPr>
                <w:ilvl w:val="0"/>
                <w:numId w:val="32"/>
              </w:numPr>
              <w:spacing w:after="0" w:line="240" w:lineRule="auto"/>
              <w:ind w:left="199" w:hanging="199"/>
              <w:rPr>
                <w:rFonts w:ascii="Candara" w:hAnsi="Candara"/>
                <w:sz w:val="16"/>
                <w:szCs w:val="16"/>
              </w:rPr>
            </w:pPr>
            <w:r w:rsidRPr="007F3216">
              <w:rPr>
                <w:rFonts w:ascii="Candara" w:eastAsia="Candara" w:hAnsi="Candara" w:cs="Candara"/>
                <w:sz w:val="16"/>
                <w:szCs w:val="16"/>
              </w:rPr>
              <w:t>Atbalstīto komersantu, kas saņem grantus jaunu produktu un tehnoloģiju izstrādei un virzīšanai tirgū skaits (2023.) – 100</w:t>
            </w:r>
          </w:p>
          <w:p w:rsidR="00B8601C" w:rsidRPr="007F3216" w:rsidP="00B8601C" w14:paraId="76CE1D42" w14:textId="77777777">
            <w:pPr>
              <w:widowControl w:val="0"/>
              <w:numPr>
                <w:ilvl w:val="0"/>
                <w:numId w:val="32"/>
              </w:numPr>
              <w:spacing w:after="0" w:line="240" w:lineRule="auto"/>
              <w:ind w:left="199" w:hanging="199"/>
              <w:rPr>
                <w:rFonts w:ascii="Candara" w:hAnsi="Candara"/>
                <w:sz w:val="16"/>
                <w:szCs w:val="16"/>
              </w:rPr>
            </w:pPr>
            <w:r w:rsidRPr="007F3216">
              <w:rPr>
                <w:rFonts w:ascii="Candara" w:eastAsia="Candara" w:hAnsi="Candara" w:cs="Candara"/>
                <w:sz w:val="16"/>
                <w:szCs w:val="16"/>
              </w:rPr>
              <w:t>projektu skaits, kas paredz izstrādāt jaunas tehnoloģijas (2023.) – līdz 129</w:t>
            </w:r>
          </w:p>
          <w:p w:rsidR="00B8601C" w:rsidRPr="007F3216" w:rsidP="00B8601C" w14:paraId="5C455281" w14:textId="77777777">
            <w:pPr>
              <w:widowControl w:val="0"/>
              <w:numPr>
                <w:ilvl w:val="0"/>
                <w:numId w:val="32"/>
              </w:numPr>
              <w:spacing w:after="0" w:line="240" w:lineRule="auto"/>
              <w:ind w:left="199" w:hanging="199"/>
              <w:rPr>
                <w:rFonts w:ascii="Candara" w:hAnsi="Candara"/>
                <w:sz w:val="16"/>
                <w:szCs w:val="16"/>
              </w:rPr>
            </w:pPr>
            <w:r w:rsidRPr="007F3216">
              <w:rPr>
                <w:rFonts w:ascii="Candara" w:eastAsia="Candara" w:hAnsi="Candara" w:cs="Candara"/>
                <w:sz w:val="16"/>
                <w:szCs w:val="16"/>
              </w:rPr>
              <w:t>Piesaistītas privātā sektora investīcijas P&amp;A (2023.) – 12,8 milj. euro</w:t>
            </w:r>
          </w:p>
          <w:p w:rsidR="00B8601C" w:rsidRPr="007F3216" w:rsidP="00B8601C" w14:paraId="6A7AFD7F" w14:textId="77777777">
            <w:pPr>
              <w:widowControl w:val="0"/>
              <w:numPr>
                <w:ilvl w:val="0"/>
                <w:numId w:val="32"/>
              </w:numPr>
              <w:spacing w:after="0" w:line="240" w:lineRule="auto"/>
              <w:ind w:left="199" w:hanging="199"/>
              <w:rPr>
                <w:rFonts w:ascii="Candara" w:hAnsi="Candara"/>
                <w:sz w:val="16"/>
                <w:szCs w:val="16"/>
              </w:rPr>
            </w:pPr>
            <w:r w:rsidRPr="007F3216">
              <w:rPr>
                <w:rFonts w:ascii="Candara" w:eastAsia="Candara" w:hAnsi="Candara" w:cs="Candara"/>
                <w:sz w:val="16"/>
                <w:szCs w:val="16"/>
              </w:rPr>
              <w:t>Samazinājušās darba tirgus disproporcijas</w:t>
            </w:r>
          </w:p>
        </w:tc>
        <w:tc>
          <w:tcPr>
            <w:tcW w:w="1701" w:type="dxa"/>
          </w:tcPr>
          <w:p w:rsidR="00B8601C" w:rsidRPr="00324F94" w:rsidP="00B8601C" w14:paraId="0B5BDACA" w14:textId="77777777">
            <w:pPr>
              <w:pStyle w:val="Heading1"/>
              <w:shd w:val="clear" w:color="auto" w:fill="FFFFFF"/>
              <w:spacing w:before="0"/>
              <w:textAlignment w:val="baseline"/>
              <w:rPr>
                <w:rFonts w:ascii="Candara" w:eastAsia="Candara" w:hAnsi="Candara" w:cs="Candara"/>
                <w:color w:val="auto"/>
                <w:sz w:val="16"/>
                <w:szCs w:val="16"/>
              </w:rPr>
            </w:pPr>
            <w:bookmarkStart w:id="54" w:name="_Toc256000013"/>
            <w:bookmarkStart w:id="55" w:name="_Toc256000029"/>
            <w:r w:rsidRPr="00324F94">
              <w:rPr>
                <w:rFonts w:ascii="Candara" w:eastAsia="Candara" w:hAnsi="Candara" w:cs="Candara"/>
                <w:color w:val="auto"/>
                <w:sz w:val="16"/>
                <w:szCs w:val="16"/>
              </w:rPr>
              <w:t>1.2.1.1. pasākums “Atbalsts jaunu produktu un tehnoloģiju izstrādei kompetences centru ietvaros” (72,3 milj. EUR)</w:t>
            </w:r>
            <w:bookmarkEnd w:id="55"/>
            <w:bookmarkEnd w:id="54"/>
          </w:p>
        </w:tc>
        <w:tc>
          <w:tcPr>
            <w:tcW w:w="1417" w:type="dxa"/>
          </w:tcPr>
          <w:p w:rsidR="00B8601C" w:rsidRPr="00324F94" w:rsidP="00B8601C" w14:paraId="5DE52F34" w14:textId="77777777">
            <w:pPr>
              <w:pStyle w:val="Heading1"/>
              <w:shd w:val="clear" w:color="auto" w:fill="FFFFFF"/>
              <w:spacing w:before="0"/>
              <w:textAlignment w:val="baseline"/>
              <w:rPr>
                <w:rFonts w:ascii="Candara" w:eastAsia="Candara" w:hAnsi="Candara" w:cs="Candara"/>
                <w:color w:val="auto"/>
                <w:sz w:val="16"/>
                <w:szCs w:val="16"/>
              </w:rPr>
            </w:pPr>
            <w:bookmarkStart w:id="56" w:name="_Toc256000014"/>
            <w:bookmarkStart w:id="57" w:name="_Toc256000030"/>
            <w:r w:rsidRPr="00324F94">
              <w:rPr>
                <w:rFonts w:ascii="Candara" w:eastAsia="Candara" w:hAnsi="Candara" w:cs="Candara"/>
                <w:color w:val="auto"/>
                <w:sz w:val="16"/>
                <w:szCs w:val="16"/>
              </w:rPr>
              <w:t>EM</w:t>
            </w:r>
            <w:bookmarkEnd w:id="57"/>
            <w:bookmarkEnd w:id="56"/>
          </w:p>
        </w:tc>
        <w:tc>
          <w:tcPr>
            <w:tcW w:w="1276" w:type="dxa"/>
          </w:tcPr>
          <w:p w:rsidR="00B8601C" w:rsidRPr="00324F94" w:rsidP="00B8601C" w14:paraId="3C50C418" w14:textId="77777777">
            <w:pPr>
              <w:pStyle w:val="Heading1"/>
              <w:shd w:val="clear" w:color="auto" w:fill="FFFFFF"/>
              <w:spacing w:before="0"/>
              <w:textAlignment w:val="baseline"/>
              <w:rPr>
                <w:rFonts w:ascii="Candara" w:eastAsia="Candara" w:hAnsi="Candara" w:cs="Candara"/>
                <w:color w:val="auto"/>
                <w:sz w:val="16"/>
                <w:szCs w:val="16"/>
              </w:rPr>
            </w:pPr>
            <w:bookmarkStart w:id="58" w:name="_Toc256000015"/>
            <w:bookmarkStart w:id="59" w:name="_Toc256000031"/>
            <w:r w:rsidRPr="00324F94">
              <w:rPr>
                <w:rFonts w:ascii="Candara" w:eastAsia="Candara" w:hAnsi="Candara" w:cs="Candara"/>
                <w:color w:val="auto"/>
                <w:sz w:val="16"/>
                <w:szCs w:val="16"/>
              </w:rPr>
              <w:t>2023</w:t>
            </w:r>
            <w:bookmarkEnd w:id="59"/>
            <w:bookmarkEnd w:id="58"/>
          </w:p>
        </w:tc>
      </w:tr>
      <w:tr w14:paraId="233AA984" w14:textId="77777777" w:rsidTr="00D13CD1">
        <w:tblPrEx>
          <w:tblW w:w="14601" w:type="dxa"/>
          <w:tblInd w:w="-147" w:type="dxa"/>
          <w:tblLayout w:type="fixed"/>
          <w:tblLook w:val="0400"/>
        </w:tblPrEx>
        <w:tc>
          <w:tcPr>
            <w:tcW w:w="1985" w:type="dxa"/>
          </w:tcPr>
          <w:p w:rsidR="00B8601C" w:rsidRPr="007F3216" w:rsidP="00B8601C" w14:paraId="17C11DA9" w14:textId="77777777">
            <w:pPr>
              <w:widowControl w:val="0"/>
              <w:numPr>
                <w:ilvl w:val="1"/>
                <w:numId w:val="21"/>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Paaugstināt LIAA kā “tehnoloģiju un inovācijas aģentūras” kapacitāti</w:t>
            </w:r>
          </w:p>
        </w:tc>
        <w:tc>
          <w:tcPr>
            <w:tcW w:w="2268" w:type="dxa"/>
          </w:tcPr>
          <w:p w:rsidR="00B8601C" w:rsidRPr="007F3216" w:rsidP="00B8601C" w14:paraId="669B9BB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LIAA izveidota par “vienas pieturas aģentūru” inovācijas, uzņēmējdarbības un tehnoloģiju pārneses atbalstam un  sekmēšanai</w:t>
            </w:r>
          </w:p>
        </w:tc>
        <w:tc>
          <w:tcPr>
            <w:tcW w:w="3260" w:type="dxa"/>
          </w:tcPr>
          <w:p w:rsidR="00B8601C" w:rsidRPr="007F3216" w:rsidP="00B8601C" w14:paraId="7AB166C0" w14:textId="77777777">
            <w:pPr>
              <w:widowControl w:val="0"/>
              <w:numPr>
                <w:ilvl w:val="0"/>
                <w:numId w:val="24"/>
              </w:numPr>
              <w:spacing w:after="0" w:line="240" w:lineRule="auto"/>
              <w:ind w:left="175" w:hanging="175"/>
              <w:rPr>
                <w:rFonts w:ascii="Candara" w:hAnsi="Candara"/>
                <w:sz w:val="16"/>
                <w:szCs w:val="16"/>
              </w:rPr>
            </w:pPr>
            <w:r w:rsidRPr="007F3216">
              <w:rPr>
                <w:rFonts w:ascii="Candara" w:eastAsia="Candara" w:hAnsi="Candara" w:cs="Candara"/>
                <w:sz w:val="16"/>
                <w:szCs w:val="16"/>
              </w:rPr>
              <w:t>Zinātnisko institūciju licenču/ patentu ieņēmumi (EUR)</w:t>
            </w:r>
          </w:p>
          <w:p w:rsidR="00B8601C" w:rsidRPr="007F3216" w:rsidP="00B8601C" w14:paraId="02BFBCCE" w14:textId="77777777">
            <w:pPr>
              <w:widowControl w:val="0"/>
              <w:numPr>
                <w:ilvl w:val="0"/>
                <w:numId w:val="24"/>
              </w:numPr>
              <w:spacing w:after="0" w:line="240" w:lineRule="auto"/>
              <w:ind w:left="175" w:hanging="175"/>
              <w:rPr>
                <w:rFonts w:ascii="Candara" w:hAnsi="Candara"/>
                <w:sz w:val="16"/>
                <w:szCs w:val="16"/>
              </w:rPr>
            </w:pPr>
            <w:r w:rsidRPr="007F3216">
              <w:rPr>
                <w:rFonts w:ascii="Candara" w:eastAsia="Candara" w:hAnsi="Candara" w:cs="Candara"/>
                <w:sz w:val="16"/>
                <w:szCs w:val="16"/>
              </w:rPr>
              <w:t>Uzņēmumu līdzfinansējums P&amp;A projektiem (EUR);</w:t>
            </w:r>
          </w:p>
          <w:p w:rsidR="00B8601C" w:rsidRPr="007F3216" w:rsidP="00B8601C" w14:paraId="10BAD16D" w14:textId="77777777">
            <w:pPr>
              <w:widowControl w:val="0"/>
              <w:numPr>
                <w:ilvl w:val="0"/>
                <w:numId w:val="24"/>
              </w:numPr>
              <w:spacing w:after="0" w:line="240" w:lineRule="auto"/>
              <w:ind w:left="175" w:hanging="175"/>
              <w:rPr>
                <w:rFonts w:ascii="Candara" w:hAnsi="Candara"/>
                <w:sz w:val="16"/>
                <w:szCs w:val="16"/>
              </w:rPr>
            </w:pPr>
            <w:r w:rsidRPr="007F3216">
              <w:rPr>
                <w:rFonts w:ascii="Candara" w:eastAsia="Candara" w:hAnsi="Candara" w:cs="Candara"/>
                <w:sz w:val="16"/>
                <w:szCs w:val="16"/>
              </w:rPr>
              <w:t>Uzņēmumu skaits, kas saņēmuši atbalstu, lai ieviestu jaunus produktus un tehnoloģijas;</w:t>
            </w:r>
          </w:p>
          <w:p w:rsidR="00B8601C" w:rsidRPr="007F3216" w:rsidP="00B8601C" w14:paraId="6A010AFA" w14:textId="77777777">
            <w:pPr>
              <w:widowControl w:val="0"/>
              <w:numPr>
                <w:ilvl w:val="0"/>
                <w:numId w:val="24"/>
              </w:numPr>
              <w:spacing w:after="0" w:line="240" w:lineRule="auto"/>
              <w:ind w:left="175" w:hanging="175"/>
              <w:rPr>
                <w:rFonts w:ascii="Candara" w:hAnsi="Candara"/>
                <w:sz w:val="16"/>
                <w:szCs w:val="16"/>
              </w:rPr>
            </w:pPr>
            <w:r w:rsidRPr="007F3216">
              <w:rPr>
                <w:rFonts w:ascii="Candara" w:eastAsia="Candara" w:hAnsi="Candara" w:cs="Candara"/>
                <w:sz w:val="16"/>
                <w:szCs w:val="16"/>
              </w:rPr>
              <w:t>Zinātnisko institūciju izveidotie jaundibinātie uzņēmumi (spin-off)</w:t>
            </w:r>
          </w:p>
        </w:tc>
        <w:tc>
          <w:tcPr>
            <w:tcW w:w="2694" w:type="dxa"/>
          </w:tcPr>
          <w:p w:rsidR="00B8601C" w:rsidRPr="007F3216" w:rsidP="00B8601C" w14:paraId="450F1B7F"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LIAA pastāvīgi īsteno “tehnoloģiju un inovācijas aģentūras” atbalsta funkciju</w:t>
            </w:r>
          </w:p>
        </w:tc>
        <w:tc>
          <w:tcPr>
            <w:tcW w:w="1701" w:type="dxa"/>
          </w:tcPr>
          <w:p w:rsidR="00B8601C" w:rsidRPr="007F3216" w:rsidP="00B8601C" w14:paraId="6F9EA89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1.2.1.2. pasākums “Atbalsts tehnoloģiju pārneses sistēmas pilnveidošanai” (40,6 milj. EUR)*</w:t>
            </w:r>
          </w:p>
        </w:tc>
        <w:tc>
          <w:tcPr>
            <w:tcW w:w="1417" w:type="dxa"/>
          </w:tcPr>
          <w:p w:rsidR="00B8601C" w:rsidRPr="007F3216" w:rsidP="00B8601C" w14:paraId="34B646F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EM, LIAA</w:t>
            </w:r>
          </w:p>
        </w:tc>
        <w:tc>
          <w:tcPr>
            <w:tcW w:w="1276" w:type="dxa"/>
          </w:tcPr>
          <w:p w:rsidR="00B8601C" w:rsidRPr="00600185" w:rsidP="00B8601C" w14:paraId="4FCDBF8F" w14:textId="77777777">
            <w:pPr>
              <w:spacing w:after="0" w:line="240" w:lineRule="auto"/>
              <w:rPr>
                <w:rFonts w:ascii="Candara" w:eastAsia="Candara" w:hAnsi="Candara" w:cs="Candara"/>
                <w:sz w:val="16"/>
                <w:szCs w:val="16"/>
              </w:rPr>
            </w:pPr>
            <w:r w:rsidRPr="00600185">
              <w:rPr>
                <w:rFonts w:ascii="Candara" w:eastAsia="Candara" w:hAnsi="Candara" w:cs="Candara"/>
                <w:sz w:val="16"/>
                <w:szCs w:val="16"/>
              </w:rPr>
              <w:t>2023</w:t>
            </w:r>
          </w:p>
        </w:tc>
      </w:tr>
      <w:tr w14:paraId="33582C96" w14:textId="77777777" w:rsidTr="00D13CD1">
        <w:tblPrEx>
          <w:tblW w:w="14601" w:type="dxa"/>
          <w:tblInd w:w="-147" w:type="dxa"/>
          <w:tblLayout w:type="fixed"/>
          <w:tblLook w:val="0400"/>
        </w:tblPrEx>
        <w:tc>
          <w:tcPr>
            <w:tcW w:w="1985" w:type="dxa"/>
          </w:tcPr>
          <w:p w:rsidR="00B8601C" w:rsidRPr="007F3216" w:rsidP="00B8601C" w14:paraId="1C85FB41" w14:textId="77777777">
            <w:pPr>
              <w:widowControl w:val="0"/>
              <w:numPr>
                <w:ilvl w:val="1"/>
                <w:numId w:val="21"/>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Uzsākt pētniecisko izstrādņu auditus zinātniskajās institūcijās</w:t>
            </w:r>
          </w:p>
        </w:tc>
        <w:tc>
          <w:tcPr>
            <w:tcW w:w="2268" w:type="dxa"/>
          </w:tcPr>
          <w:p w:rsidR="00B8601C" w:rsidRPr="007F3216" w:rsidP="00B8601C" w14:paraId="5B04BF5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Nodrošināta patstāvīga pētniecisko organizāciju rīcībā esošo pētniecisko izstrādņu auditēšana</w:t>
            </w:r>
          </w:p>
        </w:tc>
        <w:tc>
          <w:tcPr>
            <w:tcW w:w="3260" w:type="dxa"/>
          </w:tcPr>
          <w:p w:rsidR="00B8601C" w:rsidRPr="007F3216" w:rsidP="00B8601C" w14:paraId="602D0E19" w14:textId="77777777">
            <w:pPr>
              <w:widowControl w:val="0"/>
              <w:numPr>
                <w:ilvl w:val="0"/>
                <w:numId w:val="26"/>
              </w:numPr>
              <w:spacing w:after="0" w:line="240" w:lineRule="auto"/>
              <w:ind w:left="175" w:hanging="175"/>
              <w:rPr>
                <w:rFonts w:ascii="Candara" w:hAnsi="Candara"/>
                <w:sz w:val="16"/>
                <w:szCs w:val="16"/>
              </w:rPr>
            </w:pPr>
            <w:r w:rsidRPr="007F3216">
              <w:rPr>
                <w:rFonts w:ascii="Candara" w:eastAsia="Candara" w:hAnsi="Candara" w:cs="Candara"/>
                <w:sz w:val="16"/>
                <w:szCs w:val="16"/>
              </w:rPr>
              <w:t>Zinātnisko institūciju licenču/ patentu ieņēmumi (EUR)</w:t>
            </w:r>
          </w:p>
          <w:p w:rsidR="00B8601C" w:rsidRPr="007F3216" w:rsidP="00B8601C" w14:paraId="3B82B657" w14:textId="77777777">
            <w:pPr>
              <w:widowControl w:val="0"/>
              <w:numPr>
                <w:ilvl w:val="0"/>
                <w:numId w:val="26"/>
              </w:numPr>
              <w:spacing w:after="0" w:line="240" w:lineRule="auto"/>
              <w:ind w:left="175" w:hanging="175"/>
              <w:rPr>
                <w:rFonts w:ascii="Candara" w:hAnsi="Candara"/>
                <w:sz w:val="16"/>
                <w:szCs w:val="16"/>
              </w:rPr>
            </w:pPr>
            <w:r w:rsidRPr="007F3216">
              <w:rPr>
                <w:rFonts w:ascii="Candara" w:eastAsia="Candara" w:hAnsi="Candara" w:cs="Candara"/>
                <w:sz w:val="16"/>
                <w:szCs w:val="16"/>
              </w:rPr>
              <w:t>Uzņēmumu skaits, kas saņēmuši atbalstu, lai ieviestu jaunus produktus un tehnoloģijas;</w:t>
            </w:r>
          </w:p>
          <w:p w:rsidR="00B8601C" w:rsidRPr="007F3216" w:rsidP="00B8601C" w14:paraId="2099F89B" w14:textId="77777777">
            <w:pPr>
              <w:widowControl w:val="0"/>
              <w:numPr>
                <w:ilvl w:val="0"/>
                <w:numId w:val="26"/>
              </w:numPr>
              <w:spacing w:after="0" w:line="240" w:lineRule="auto"/>
              <w:ind w:left="175" w:hanging="175"/>
              <w:rPr>
                <w:rFonts w:ascii="Candara" w:hAnsi="Candara"/>
                <w:sz w:val="16"/>
                <w:szCs w:val="16"/>
              </w:rPr>
            </w:pPr>
            <w:r w:rsidRPr="007F3216">
              <w:rPr>
                <w:rFonts w:ascii="Candara" w:eastAsia="Candara" w:hAnsi="Candara" w:cs="Candara"/>
                <w:sz w:val="16"/>
                <w:szCs w:val="16"/>
              </w:rPr>
              <w:t>Zinātnisko institūciju izveidotie jaundibinātie uzņēmumi (spin-off)</w:t>
            </w:r>
          </w:p>
        </w:tc>
        <w:tc>
          <w:tcPr>
            <w:tcW w:w="2694" w:type="dxa"/>
          </w:tcPr>
          <w:p w:rsidR="00B8601C" w:rsidRPr="007F3216" w:rsidP="00B8601C" w14:paraId="4DE3135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Auditi lielākajās Latvijas pētniecības organizācijās – regulāri</w:t>
            </w:r>
          </w:p>
        </w:tc>
        <w:tc>
          <w:tcPr>
            <w:tcW w:w="1701" w:type="dxa"/>
          </w:tcPr>
          <w:p w:rsidR="00B8601C" w:rsidRPr="007F3216" w:rsidP="00B8601C" w14:paraId="1B6A0A4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1.2.1.2. pasākums “Atbalsts tehnoloģiju pārneses sistēmas pilnveidošanai” (40,6 milj. EUR)*</w:t>
            </w:r>
          </w:p>
        </w:tc>
        <w:tc>
          <w:tcPr>
            <w:tcW w:w="1417" w:type="dxa"/>
          </w:tcPr>
          <w:p w:rsidR="00B8601C" w:rsidRPr="007F3216" w:rsidP="00B8601C" w14:paraId="4E195AE6"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EM, LIAA</w:t>
            </w:r>
          </w:p>
        </w:tc>
        <w:tc>
          <w:tcPr>
            <w:tcW w:w="1276" w:type="dxa"/>
          </w:tcPr>
          <w:p w:rsidR="00B8601C" w:rsidRPr="00600185" w:rsidP="00B8601C" w14:paraId="3DC1153A" w14:textId="77777777">
            <w:pPr>
              <w:spacing w:after="0" w:line="240" w:lineRule="auto"/>
              <w:rPr>
                <w:rFonts w:ascii="Candara" w:eastAsia="Candara" w:hAnsi="Candara" w:cs="Candara"/>
                <w:sz w:val="16"/>
                <w:szCs w:val="16"/>
              </w:rPr>
            </w:pPr>
            <w:r w:rsidRPr="00600185">
              <w:rPr>
                <w:rFonts w:ascii="Candara" w:eastAsia="Candara" w:hAnsi="Candara" w:cs="Candara"/>
                <w:sz w:val="16"/>
                <w:szCs w:val="16"/>
              </w:rPr>
              <w:t>2</w:t>
            </w:r>
            <w:r>
              <w:rPr>
                <w:rFonts w:ascii="Candara" w:eastAsia="Candara" w:hAnsi="Candara" w:cs="Candara"/>
                <w:sz w:val="16"/>
                <w:szCs w:val="16"/>
              </w:rPr>
              <w:t>018</w:t>
            </w:r>
          </w:p>
        </w:tc>
      </w:tr>
      <w:tr w14:paraId="631C9C98" w14:textId="77777777" w:rsidTr="00D13CD1">
        <w:tblPrEx>
          <w:tblW w:w="14601" w:type="dxa"/>
          <w:tblInd w:w="-147" w:type="dxa"/>
          <w:tblLayout w:type="fixed"/>
          <w:tblLook w:val="0400"/>
        </w:tblPrEx>
        <w:tc>
          <w:tcPr>
            <w:tcW w:w="1985" w:type="dxa"/>
          </w:tcPr>
          <w:p w:rsidR="00B8601C" w:rsidRPr="007F3216" w:rsidP="00B8601C" w14:paraId="58B33A27" w14:textId="77777777">
            <w:pPr>
              <w:widowControl w:val="0"/>
              <w:numPr>
                <w:ilvl w:val="1"/>
                <w:numId w:val="21"/>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Nodrošināt pētniecisko izstrādņu projektu iesniegšanas procesu šo izstrādņu komercializēšanai</w:t>
            </w:r>
          </w:p>
        </w:tc>
        <w:tc>
          <w:tcPr>
            <w:tcW w:w="2268" w:type="dxa"/>
          </w:tcPr>
          <w:p w:rsidR="00B8601C" w:rsidRPr="007F3216" w:rsidP="00B8601C" w14:paraId="6ECAC4D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Īstenotas regulāras projektu atlases  pētniecības rezultātu komercializācijai</w:t>
            </w:r>
          </w:p>
        </w:tc>
        <w:tc>
          <w:tcPr>
            <w:tcW w:w="3260" w:type="dxa"/>
          </w:tcPr>
          <w:p w:rsidR="00B8601C" w:rsidRPr="007F3216" w:rsidP="00B8601C" w14:paraId="73EDF0F9" w14:textId="77777777">
            <w:pPr>
              <w:widowControl w:val="0"/>
              <w:numPr>
                <w:ilvl w:val="0"/>
                <w:numId w:val="26"/>
              </w:numPr>
              <w:spacing w:after="0" w:line="240" w:lineRule="auto"/>
              <w:ind w:left="175" w:hanging="175"/>
              <w:rPr>
                <w:rFonts w:ascii="Candara" w:hAnsi="Candara"/>
                <w:sz w:val="16"/>
                <w:szCs w:val="16"/>
              </w:rPr>
            </w:pPr>
            <w:r w:rsidRPr="007F3216">
              <w:rPr>
                <w:rFonts w:ascii="Candara" w:eastAsia="Candara" w:hAnsi="Candara" w:cs="Candara"/>
                <w:sz w:val="16"/>
                <w:szCs w:val="16"/>
              </w:rPr>
              <w:t>Zinātnisko institūciju licenču/ patentu ieņēmumi (EUR)</w:t>
            </w:r>
          </w:p>
          <w:p w:rsidR="00B8601C" w:rsidRPr="007F3216" w:rsidP="00B8601C" w14:paraId="0A427952" w14:textId="77777777">
            <w:pPr>
              <w:widowControl w:val="0"/>
              <w:numPr>
                <w:ilvl w:val="0"/>
                <w:numId w:val="26"/>
              </w:numPr>
              <w:spacing w:after="0" w:line="240" w:lineRule="auto"/>
              <w:ind w:left="175" w:hanging="175"/>
              <w:rPr>
                <w:rFonts w:ascii="Candara" w:hAnsi="Candara"/>
                <w:sz w:val="16"/>
                <w:szCs w:val="16"/>
              </w:rPr>
            </w:pPr>
            <w:r w:rsidRPr="007F3216">
              <w:rPr>
                <w:rFonts w:ascii="Candara" w:eastAsia="Candara" w:hAnsi="Candara" w:cs="Candara"/>
                <w:sz w:val="16"/>
                <w:szCs w:val="16"/>
              </w:rPr>
              <w:t>Uzņēmumu skaits, kas saņēmuši atbalstu, lai ieviestu jaunus produktus un tehnoloģijas;</w:t>
            </w:r>
          </w:p>
          <w:p w:rsidR="00B8601C" w:rsidRPr="007F3216" w:rsidP="00B8601C" w14:paraId="3334F1D1" w14:textId="77777777">
            <w:pPr>
              <w:widowControl w:val="0"/>
              <w:numPr>
                <w:ilvl w:val="0"/>
                <w:numId w:val="26"/>
              </w:numPr>
              <w:spacing w:after="0" w:line="240" w:lineRule="auto"/>
              <w:ind w:left="175" w:hanging="175"/>
              <w:rPr>
                <w:rFonts w:ascii="Candara" w:hAnsi="Candara"/>
                <w:sz w:val="16"/>
                <w:szCs w:val="16"/>
              </w:rPr>
            </w:pPr>
            <w:r w:rsidRPr="007F3216">
              <w:rPr>
                <w:rFonts w:ascii="Candara" w:eastAsia="Candara" w:hAnsi="Candara" w:cs="Candara"/>
                <w:sz w:val="16"/>
                <w:szCs w:val="16"/>
              </w:rPr>
              <w:t>Zinātnisko institūciju izveidotie jaundibinātie uzņēmumi (spin-off)</w:t>
            </w:r>
          </w:p>
        </w:tc>
        <w:tc>
          <w:tcPr>
            <w:tcW w:w="2694" w:type="dxa"/>
          </w:tcPr>
          <w:p w:rsidR="00B8601C" w:rsidRPr="007F3216" w:rsidP="00B8601C" w14:paraId="112DAD27"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Projektu atlases  pētniecības rezultātu komercializācijai (2018.) – 4</w:t>
            </w:r>
          </w:p>
        </w:tc>
        <w:tc>
          <w:tcPr>
            <w:tcW w:w="1701" w:type="dxa"/>
          </w:tcPr>
          <w:p w:rsidR="00B8601C" w:rsidRPr="007F3216" w:rsidP="00B8601C" w14:paraId="20587CE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1.2.1.2. pasākums “Atbalsts tehnoloģiju pārneses sistēmas pilnveidošanai” (40,6 milj. EUR)*</w:t>
            </w:r>
          </w:p>
        </w:tc>
        <w:tc>
          <w:tcPr>
            <w:tcW w:w="1417" w:type="dxa"/>
          </w:tcPr>
          <w:p w:rsidR="00B8601C" w:rsidRPr="007F3216" w:rsidP="00B8601C" w14:paraId="7DBD35B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EM, LIAA</w:t>
            </w:r>
          </w:p>
        </w:tc>
        <w:tc>
          <w:tcPr>
            <w:tcW w:w="1276" w:type="dxa"/>
          </w:tcPr>
          <w:p w:rsidR="00B8601C" w:rsidRPr="00600185" w:rsidP="00B8601C" w14:paraId="5EC267FF" w14:textId="77777777">
            <w:pPr>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67DA8344" w14:textId="77777777" w:rsidTr="00D13CD1">
        <w:tblPrEx>
          <w:tblW w:w="14601" w:type="dxa"/>
          <w:tblInd w:w="-147" w:type="dxa"/>
          <w:tblLayout w:type="fixed"/>
          <w:tblLook w:val="0400"/>
        </w:tblPrEx>
        <w:tc>
          <w:tcPr>
            <w:tcW w:w="1985" w:type="dxa"/>
          </w:tcPr>
          <w:p w:rsidR="00B8601C" w:rsidRPr="007F3216" w:rsidP="00B8601C" w14:paraId="5BB04FD4" w14:textId="77777777">
            <w:pPr>
              <w:widowControl w:val="0"/>
              <w:numPr>
                <w:ilvl w:val="1"/>
                <w:numId w:val="21"/>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 xml:space="preserve">Turpināt MVU projektu pieņemšanu inovācijas vaučeru </w:t>
            </w:r>
            <w:r w:rsidRPr="007F3216">
              <w:rPr>
                <w:rFonts w:ascii="Candara" w:eastAsia="Candara" w:hAnsi="Candara" w:cs="Candara"/>
                <w:sz w:val="16"/>
                <w:szCs w:val="16"/>
              </w:rPr>
              <w:t>atbalsta formā jaunu produktu un tehnoloģiju izstrādei</w:t>
            </w:r>
          </w:p>
        </w:tc>
        <w:tc>
          <w:tcPr>
            <w:tcW w:w="2268" w:type="dxa"/>
          </w:tcPr>
          <w:p w:rsidR="00B8601C" w:rsidRPr="007F3216" w:rsidP="00B8601C" w14:paraId="15F36557"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Pieaudzis mikro un MVU uzņēmumu skaits, kas iesaistās jaunu produktu un tehnoloģiju attīstīšanā, </w:t>
            </w:r>
            <w:r w:rsidRPr="007F3216">
              <w:rPr>
                <w:rFonts w:ascii="Candara" w:eastAsia="Candara" w:hAnsi="Candara" w:cs="Candara"/>
                <w:sz w:val="16"/>
                <w:szCs w:val="16"/>
              </w:rPr>
              <w:t>sadarbojoties ar ārējo pakalpojumu sniedzējiem</w:t>
            </w:r>
          </w:p>
        </w:tc>
        <w:tc>
          <w:tcPr>
            <w:tcW w:w="3260" w:type="dxa"/>
          </w:tcPr>
          <w:p w:rsidR="00B8601C" w:rsidRPr="007F3216" w:rsidP="00B8601C" w14:paraId="35836E9B" w14:textId="77777777">
            <w:pPr>
              <w:widowControl w:val="0"/>
              <w:numPr>
                <w:ilvl w:val="0"/>
                <w:numId w:val="27"/>
              </w:numPr>
              <w:spacing w:after="0" w:line="240" w:lineRule="auto"/>
              <w:ind w:left="175" w:hanging="175"/>
              <w:rPr>
                <w:rFonts w:ascii="Candara" w:hAnsi="Candara"/>
                <w:sz w:val="16"/>
                <w:szCs w:val="16"/>
              </w:rPr>
            </w:pPr>
            <w:r w:rsidRPr="007F3216">
              <w:rPr>
                <w:rFonts w:ascii="Candara" w:eastAsia="Candara" w:hAnsi="Candara" w:cs="Candara"/>
                <w:sz w:val="16"/>
                <w:szCs w:val="16"/>
              </w:rPr>
              <w:t>Uzņēmumu līdzfinansējums P&amp;A projektiem (EUR);</w:t>
            </w:r>
          </w:p>
          <w:p w:rsidR="00B8601C" w:rsidRPr="007F3216" w:rsidP="00B8601C" w14:paraId="0E370C66" w14:textId="77777777">
            <w:pPr>
              <w:widowControl w:val="0"/>
              <w:numPr>
                <w:ilvl w:val="0"/>
                <w:numId w:val="27"/>
              </w:numPr>
              <w:spacing w:after="0" w:line="240" w:lineRule="auto"/>
              <w:ind w:left="175" w:hanging="175"/>
              <w:rPr>
                <w:rFonts w:ascii="Candara" w:hAnsi="Candara"/>
                <w:i/>
                <w:sz w:val="16"/>
                <w:szCs w:val="16"/>
              </w:rPr>
            </w:pPr>
            <w:r w:rsidRPr="007F3216">
              <w:rPr>
                <w:rFonts w:ascii="Candara" w:eastAsia="Candara" w:hAnsi="Candara" w:cs="Candara"/>
                <w:sz w:val="16"/>
                <w:szCs w:val="16"/>
              </w:rPr>
              <w:t xml:space="preserve">Uzņēmumu skaits, kas saņēmuši atbalstu, lai ieviestu jaunus produktus un </w:t>
            </w:r>
            <w:r w:rsidRPr="007F3216">
              <w:rPr>
                <w:rFonts w:ascii="Candara" w:eastAsia="Candara" w:hAnsi="Candara" w:cs="Candara"/>
                <w:sz w:val="16"/>
                <w:szCs w:val="16"/>
              </w:rPr>
              <w:t>tehnoloģijas</w:t>
            </w:r>
          </w:p>
        </w:tc>
        <w:tc>
          <w:tcPr>
            <w:tcW w:w="2694" w:type="dxa"/>
          </w:tcPr>
          <w:p w:rsidR="00B8601C" w:rsidRPr="007F3216" w:rsidP="00B8601C" w14:paraId="70E36198"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Mikro un MVU, kas saņem grantus jaunu produktu un tehnoloģiju attīstībai un virzīšanai tirgū (2022.) – 320</w:t>
            </w:r>
          </w:p>
        </w:tc>
        <w:tc>
          <w:tcPr>
            <w:tcW w:w="1701" w:type="dxa"/>
          </w:tcPr>
          <w:p w:rsidR="00B8601C" w:rsidRPr="007F3216" w:rsidP="00B8601C" w14:paraId="5E23FB6E"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1.2.1.2. pasākums "Atbalsts tehnoloģiju pārneses sistēmas </w:t>
            </w:r>
            <w:r w:rsidRPr="007F3216">
              <w:rPr>
                <w:rFonts w:ascii="Candara" w:eastAsia="Candara" w:hAnsi="Candara" w:cs="Candara"/>
                <w:sz w:val="16"/>
                <w:szCs w:val="16"/>
              </w:rPr>
              <w:t>pilnveidošanai" (40,6 milj. EUR)*</w:t>
            </w:r>
          </w:p>
        </w:tc>
        <w:tc>
          <w:tcPr>
            <w:tcW w:w="1417" w:type="dxa"/>
          </w:tcPr>
          <w:p w:rsidR="00B8601C" w:rsidRPr="007F3216" w:rsidP="00B8601C" w14:paraId="25718481"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EM, LIAA</w:t>
            </w:r>
          </w:p>
        </w:tc>
        <w:tc>
          <w:tcPr>
            <w:tcW w:w="1276" w:type="dxa"/>
          </w:tcPr>
          <w:p w:rsidR="00B8601C" w:rsidRPr="00600185" w:rsidP="00B8601C" w14:paraId="0EF4FEAA" w14:textId="77777777">
            <w:pPr>
              <w:spacing w:after="0" w:line="240" w:lineRule="auto"/>
              <w:rPr>
                <w:rFonts w:ascii="Candara" w:eastAsia="Candara" w:hAnsi="Candara" w:cs="Candara"/>
                <w:sz w:val="16"/>
                <w:szCs w:val="16"/>
              </w:rPr>
            </w:pPr>
            <w:r>
              <w:rPr>
                <w:rFonts w:ascii="Candara" w:eastAsia="Candara" w:hAnsi="Candara" w:cs="Candara"/>
                <w:sz w:val="16"/>
                <w:szCs w:val="16"/>
              </w:rPr>
              <w:t>2022</w:t>
            </w:r>
          </w:p>
        </w:tc>
      </w:tr>
      <w:tr w14:paraId="689618CE" w14:textId="77777777" w:rsidTr="00D13CD1">
        <w:tblPrEx>
          <w:tblW w:w="14601" w:type="dxa"/>
          <w:tblInd w:w="-147" w:type="dxa"/>
          <w:tblLayout w:type="fixed"/>
          <w:tblLook w:val="0400"/>
        </w:tblPrEx>
        <w:tc>
          <w:tcPr>
            <w:tcW w:w="1985" w:type="dxa"/>
          </w:tcPr>
          <w:p w:rsidR="00B8601C" w:rsidRPr="007F3216" w:rsidP="00B8601C" w14:paraId="44EABACB" w14:textId="77777777">
            <w:pPr>
              <w:widowControl w:val="0"/>
              <w:numPr>
                <w:ilvl w:val="1"/>
                <w:numId w:val="21"/>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Īstenot pasākumus patentu īpašumtiesību nodošanai vai licenču līgumu slēgšanai ar potenciālajiem investoriem</w:t>
            </w:r>
          </w:p>
        </w:tc>
        <w:tc>
          <w:tcPr>
            <w:tcW w:w="2268" w:type="dxa"/>
          </w:tcPr>
          <w:p w:rsidR="00B8601C" w:rsidRPr="007F3216" w:rsidP="00B8601C" w14:paraId="7C0CD79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noslēgto īpašumtiesību nodošanas kontraktu vai licenču līgumu skaits, kā arī pieauguši pētniecības organizāciju ienākumi no pētniecisko izstrādņu komercializēšanas.</w:t>
            </w:r>
          </w:p>
          <w:p w:rsidR="00B8601C" w:rsidRPr="007F3216" w:rsidP="00B8601C" w14:paraId="13B7672B" w14:textId="77777777">
            <w:pPr>
              <w:spacing w:after="0" w:line="240" w:lineRule="auto"/>
              <w:rPr>
                <w:rFonts w:ascii="Candara" w:eastAsia="Candara" w:hAnsi="Candara" w:cs="Candara"/>
                <w:sz w:val="16"/>
                <w:szCs w:val="16"/>
              </w:rPr>
            </w:pPr>
          </w:p>
        </w:tc>
        <w:tc>
          <w:tcPr>
            <w:tcW w:w="3260" w:type="dxa"/>
          </w:tcPr>
          <w:p w:rsidR="00B8601C" w:rsidRPr="007F3216" w:rsidP="00B8601C" w14:paraId="7DFD8FCB" w14:textId="77777777">
            <w:pPr>
              <w:widowControl w:val="0"/>
              <w:numPr>
                <w:ilvl w:val="0"/>
                <w:numId w:val="26"/>
              </w:numPr>
              <w:spacing w:after="0" w:line="240" w:lineRule="auto"/>
              <w:ind w:left="176" w:hanging="176"/>
              <w:rPr>
                <w:rFonts w:ascii="Candara" w:hAnsi="Candara"/>
                <w:sz w:val="16"/>
                <w:szCs w:val="16"/>
              </w:rPr>
            </w:pPr>
            <w:r w:rsidRPr="007F3216">
              <w:rPr>
                <w:rFonts w:ascii="Candara" w:eastAsia="Candara" w:hAnsi="Candara" w:cs="Candara"/>
                <w:sz w:val="16"/>
                <w:szCs w:val="16"/>
              </w:rPr>
              <w:t>Zinātnisko institūciju licenču/ patentu ieņēmumi (EUR)</w:t>
            </w:r>
          </w:p>
          <w:p w:rsidR="00B8601C" w:rsidRPr="007F3216" w:rsidP="00B8601C" w14:paraId="03826146" w14:textId="77777777">
            <w:pPr>
              <w:widowControl w:val="0"/>
              <w:numPr>
                <w:ilvl w:val="0"/>
                <w:numId w:val="26"/>
              </w:numPr>
              <w:spacing w:after="0" w:line="240" w:lineRule="auto"/>
              <w:ind w:left="176" w:hanging="176"/>
              <w:rPr>
                <w:rFonts w:ascii="Candara" w:hAnsi="Candara"/>
                <w:sz w:val="16"/>
                <w:szCs w:val="16"/>
              </w:rPr>
            </w:pPr>
            <w:r w:rsidRPr="007F3216">
              <w:rPr>
                <w:rFonts w:ascii="Candara" w:eastAsia="Candara" w:hAnsi="Candara" w:cs="Candara"/>
                <w:sz w:val="16"/>
                <w:szCs w:val="16"/>
              </w:rPr>
              <w:t>Zinātnisko institūciju izveidotie jaundibinātie uzņēmumi (spin-off)</w:t>
            </w:r>
          </w:p>
        </w:tc>
        <w:tc>
          <w:tcPr>
            <w:tcW w:w="2694" w:type="dxa"/>
          </w:tcPr>
          <w:p w:rsidR="00B8601C" w:rsidRPr="007F3216" w:rsidP="00B8601C" w14:paraId="3BDA7E17"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Pastāvīgi organizēti  pasākumi patentu īpašumtiesību nodošanai vai licenču līgumu slēgšanai ar potenciālajiem investoriem</w:t>
            </w:r>
          </w:p>
        </w:tc>
        <w:tc>
          <w:tcPr>
            <w:tcW w:w="1701" w:type="dxa"/>
          </w:tcPr>
          <w:p w:rsidR="00B8601C" w:rsidRPr="007F3216" w:rsidP="00B8601C" w14:paraId="4824130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1.2.1.2. pasākums "Atbalsts tehnoloģiju pārneses sistēmas pilnveidošanai" (40,6 milj. EUR)*</w:t>
            </w:r>
          </w:p>
        </w:tc>
        <w:tc>
          <w:tcPr>
            <w:tcW w:w="1417" w:type="dxa"/>
          </w:tcPr>
          <w:p w:rsidR="00B8601C" w:rsidRPr="007F3216" w:rsidP="00B8601C" w14:paraId="2AFA786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EM, LIAA</w:t>
            </w:r>
          </w:p>
        </w:tc>
        <w:tc>
          <w:tcPr>
            <w:tcW w:w="1276" w:type="dxa"/>
          </w:tcPr>
          <w:p w:rsidR="00B8601C" w:rsidRPr="00600185" w:rsidP="00B8601C" w14:paraId="65EA4CED"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571587C4" w14:textId="77777777" w:rsidTr="00D13CD1">
        <w:tblPrEx>
          <w:tblW w:w="14601" w:type="dxa"/>
          <w:tblInd w:w="-147" w:type="dxa"/>
          <w:tblLayout w:type="fixed"/>
          <w:tblLook w:val="0400"/>
        </w:tblPrEx>
        <w:tc>
          <w:tcPr>
            <w:tcW w:w="1985" w:type="dxa"/>
          </w:tcPr>
          <w:p w:rsidR="00B8601C" w:rsidRPr="007F3216" w:rsidP="00B8601C" w14:paraId="61428893" w14:textId="77777777">
            <w:pPr>
              <w:widowControl w:val="0"/>
              <w:numPr>
                <w:ilvl w:val="1"/>
                <w:numId w:val="21"/>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Nodrošināt atbalstu investīcijām eksperimentālajās  tehnoloģijās iekārtu izstrādei jaunu produktu virzīšanai tirgū</w:t>
            </w:r>
          </w:p>
        </w:tc>
        <w:tc>
          <w:tcPr>
            <w:tcW w:w="2268" w:type="dxa"/>
          </w:tcPr>
          <w:p w:rsidR="00B8601C" w:rsidRPr="007F3216" w:rsidP="00B8601C" w14:paraId="507E654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komersantu skaits, kas veic investīcijas jaunu tehnoloģisku risinājumu izstrādē ar nolūku tirgū lasīt jaunus produktus</w:t>
            </w:r>
          </w:p>
        </w:tc>
        <w:tc>
          <w:tcPr>
            <w:tcW w:w="3260" w:type="dxa"/>
          </w:tcPr>
          <w:p w:rsidR="00B8601C" w:rsidRPr="007F3216" w:rsidP="00B8601C" w14:paraId="1BFFB0D4" w14:textId="77777777">
            <w:pPr>
              <w:widowControl w:val="0"/>
              <w:numPr>
                <w:ilvl w:val="0"/>
                <w:numId w:val="29"/>
              </w:numPr>
              <w:spacing w:after="0" w:line="240" w:lineRule="auto"/>
              <w:ind w:left="175" w:hanging="175"/>
              <w:rPr>
                <w:rFonts w:ascii="Candara" w:hAnsi="Candara"/>
                <w:sz w:val="16"/>
                <w:szCs w:val="16"/>
              </w:rPr>
            </w:pPr>
            <w:r w:rsidRPr="007F3216">
              <w:rPr>
                <w:rFonts w:ascii="Candara" w:eastAsia="Candara" w:hAnsi="Candara" w:cs="Candara"/>
                <w:sz w:val="16"/>
                <w:szCs w:val="16"/>
              </w:rPr>
              <w:t>Uzņēmumu līdzfinansējums P&amp;A projektiem (EUR);</w:t>
            </w:r>
          </w:p>
          <w:p w:rsidR="00B8601C" w:rsidRPr="007F3216" w:rsidP="00B8601C" w14:paraId="3B2F87AA" w14:textId="77777777">
            <w:pPr>
              <w:widowControl w:val="0"/>
              <w:numPr>
                <w:ilvl w:val="0"/>
                <w:numId w:val="29"/>
              </w:numPr>
              <w:spacing w:after="0" w:line="240" w:lineRule="auto"/>
              <w:ind w:left="175" w:hanging="175"/>
              <w:rPr>
                <w:rFonts w:ascii="Candara" w:hAnsi="Candara"/>
                <w:sz w:val="16"/>
                <w:szCs w:val="16"/>
              </w:rPr>
            </w:pPr>
            <w:r w:rsidRPr="007F3216">
              <w:rPr>
                <w:rFonts w:ascii="Candara" w:eastAsia="Candara" w:hAnsi="Candara" w:cs="Candara"/>
                <w:sz w:val="16"/>
                <w:szCs w:val="16"/>
              </w:rPr>
              <w:t>Uzņēmumu skaits, kas saņēmuši atbalstu, lai ieviestu jaunus produktus un tehnoloģijas;</w:t>
            </w:r>
          </w:p>
          <w:p w:rsidR="00B8601C" w:rsidRPr="007F3216" w:rsidP="00B8601C" w14:paraId="297445A6" w14:textId="77777777">
            <w:pPr>
              <w:widowControl w:val="0"/>
              <w:numPr>
                <w:ilvl w:val="0"/>
                <w:numId w:val="29"/>
              </w:numPr>
              <w:spacing w:after="0" w:line="240" w:lineRule="auto"/>
              <w:ind w:left="175" w:hanging="175"/>
              <w:rPr>
                <w:rFonts w:ascii="Candara" w:hAnsi="Candara"/>
                <w:sz w:val="16"/>
                <w:szCs w:val="16"/>
              </w:rPr>
            </w:pPr>
            <w:r w:rsidRPr="007F3216">
              <w:rPr>
                <w:rFonts w:ascii="Candara" w:eastAsia="Candara" w:hAnsi="Candara" w:cs="Candara"/>
                <w:sz w:val="16"/>
                <w:szCs w:val="16"/>
              </w:rPr>
              <w:t>Komersanta apgrozījums no pētniecības rezultātu ieviešanas saimnieciskajā darbībā vai komercializēšanas;</w:t>
            </w:r>
          </w:p>
          <w:p w:rsidR="00B8601C" w:rsidRPr="007F3216" w:rsidP="00B8601C" w14:paraId="6CA0B051" w14:textId="77777777">
            <w:pPr>
              <w:widowControl w:val="0"/>
              <w:numPr>
                <w:ilvl w:val="0"/>
                <w:numId w:val="29"/>
              </w:numPr>
              <w:spacing w:after="0" w:line="240" w:lineRule="auto"/>
              <w:ind w:left="175" w:hanging="175"/>
              <w:rPr>
                <w:rFonts w:ascii="Candara" w:hAnsi="Candara"/>
                <w:i/>
                <w:sz w:val="16"/>
                <w:szCs w:val="16"/>
              </w:rPr>
            </w:pPr>
            <w:r w:rsidRPr="007F3216">
              <w:rPr>
                <w:rFonts w:ascii="Candara" w:eastAsia="Candara" w:hAnsi="Candara" w:cs="Candara"/>
                <w:sz w:val="16"/>
                <w:szCs w:val="16"/>
              </w:rPr>
              <w:t>Jaunradītās darba vietas, t.sk. tās, kurās nodarbināti zinātniskie darbinieki publiskā sektorā/ uzņēmējdarbības sektorā</w:t>
            </w:r>
          </w:p>
        </w:tc>
        <w:tc>
          <w:tcPr>
            <w:tcW w:w="2694" w:type="dxa"/>
          </w:tcPr>
          <w:p w:rsidR="00B8601C" w:rsidRPr="007F3216" w:rsidP="00B8601C" w14:paraId="6B990A69" w14:textId="77777777">
            <w:pPr>
              <w:widowControl w:val="0"/>
              <w:numPr>
                <w:ilvl w:val="0"/>
                <w:numId w:val="29"/>
              </w:numPr>
              <w:spacing w:after="0" w:line="240" w:lineRule="auto"/>
              <w:ind w:left="133" w:hanging="141"/>
              <w:rPr>
                <w:rFonts w:ascii="Candara" w:hAnsi="Candara"/>
                <w:sz w:val="16"/>
                <w:szCs w:val="16"/>
              </w:rPr>
            </w:pPr>
            <w:r w:rsidRPr="007F3216">
              <w:rPr>
                <w:rFonts w:ascii="Candara" w:eastAsia="Candara" w:hAnsi="Candara" w:cs="Candara"/>
                <w:sz w:val="16"/>
                <w:szCs w:val="16"/>
              </w:rPr>
              <w:t>Komersanti, kas saņem grantus, lai tirgū laistu jaunus produktus (2022.) - 30.</w:t>
            </w:r>
          </w:p>
          <w:p w:rsidR="00B8601C" w:rsidRPr="007F3216" w:rsidP="00B8601C" w14:paraId="69314911" w14:textId="77777777">
            <w:pPr>
              <w:widowControl w:val="0"/>
              <w:numPr>
                <w:ilvl w:val="0"/>
                <w:numId w:val="29"/>
              </w:numPr>
              <w:spacing w:after="0" w:line="240" w:lineRule="auto"/>
              <w:ind w:left="133" w:hanging="141"/>
              <w:rPr>
                <w:rFonts w:ascii="Candara" w:hAnsi="Candara"/>
                <w:b/>
                <w:sz w:val="16"/>
                <w:szCs w:val="16"/>
              </w:rPr>
            </w:pPr>
            <w:r w:rsidRPr="007F3216">
              <w:rPr>
                <w:rFonts w:ascii="Candara" w:eastAsia="Candara" w:hAnsi="Candara" w:cs="Candara"/>
                <w:sz w:val="16"/>
                <w:szCs w:val="16"/>
              </w:rPr>
              <w:t>Piesaistītas privātās investīcijas P&amp;A (2022.) – 10,59 milj. euro</w:t>
            </w:r>
            <w:r w:rsidRPr="007F3216">
              <w:rPr>
                <w:rFonts w:ascii="Candara" w:eastAsia="Candara" w:hAnsi="Candara" w:cs="Candara"/>
                <w:b/>
                <w:sz w:val="16"/>
                <w:szCs w:val="16"/>
              </w:rPr>
              <w:t xml:space="preserve"> </w:t>
            </w:r>
          </w:p>
        </w:tc>
        <w:tc>
          <w:tcPr>
            <w:tcW w:w="1701" w:type="dxa"/>
          </w:tcPr>
          <w:p w:rsidR="00B8601C" w:rsidRPr="007F3216" w:rsidP="00B8601C" w14:paraId="22CCF2CF" w14:textId="77777777">
            <w:pPr>
              <w:widowControl w:val="0"/>
              <w:spacing w:after="0" w:line="240" w:lineRule="auto"/>
              <w:ind w:left="-8"/>
              <w:rPr>
                <w:rFonts w:ascii="Candara" w:eastAsia="Candara" w:hAnsi="Candara" w:cs="Candara"/>
                <w:sz w:val="16"/>
                <w:szCs w:val="16"/>
              </w:rPr>
            </w:pPr>
            <w:r w:rsidRPr="007F3216">
              <w:rPr>
                <w:rFonts w:ascii="Candara" w:eastAsia="Candara" w:hAnsi="Candara" w:cs="Candara"/>
                <w:sz w:val="16"/>
                <w:szCs w:val="16"/>
              </w:rPr>
              <w:t>1.2.1.4. pasākums “Atbalsts jaunu produktu ieviešanai ražošanā” (60 milj. EUR)</w:t>
            </w:r>
          </w:p>
        </w:tc>
        <w:tc>
          <w:tcPr>
            <w:tcW w:w="1417" w:type="dxa"/>
          </w:tcPr>
          <w:p w:rsidR="00B8601C" w:rsidRPr="007F3216" w:rsidP="00B8601C" w14:paraId="2B8BBCAD" w14:textId="77777777">
            <w:pPr>
              <w:widowControl w:val="0"/>
              <w:spacing w:after="0" w:line="240" w:lineRule="auto"/>
              <w:ind w:left="-8"/>
              <w:rPr>
                <w:rFonts w:ascii="Candara" w:eastAsia="Candara" w:hAnsi="Candara" w:cs="Candara"/>
                <w:sz w:val="16"/>
                <w:szCs w:val="16"/>
              </w:rPr>
            </w:pPr>
            <w:r w:rsidRPr="007F3216">
              <w:rPr>
                <w:rFonts w:ascii="Candara" w:eastAsia="Candara" w:hAnsi="Candara" w:cs="Candara"/>
                <w:sz w:val="16"/>
                <w:szCs w:val="16"/>
              </w:rPr>
              <w:t>EM</w:t>
            </w:r>
          </w:p>
        </w:tc>
        <w:tc>
          <w:tcPr>
            <w:tcW w:w="1276" w:type="dxa"/>
          </w:tcPr>
          <w:p w:rsidR="00B8601C" w:rsidRPr="00600185" w:rsidP="00B8601C" w14:paraId="2AD20BA5" w14:textId="77777777">
            <w:pPr>
              <w:widowControl w:val="0"/>
              <w:spacing w:after="0" w:line="240" w:lineRule="auto"/>
              <w:ind w:left="-8"/>
              <w:rPr>
                <w:rFonts w:ascii="Candara" w:eastAsia="Candara" w:hAnsi="Candara" w:cs="Candara"/>
                <w:sz w:val="16"/>
                <w:szCs w:val="16"/>
              </w:rPr>
            </w:pPr>
            <w:r>
              <w:rPr>
                <w:rFonts w:ascii="Candara" w:eastAsia="Candara" w:hAnsi="Candara" w:cs="Candara"/>
                <w:sz w:val="16"/>
                <w:szCs w:val="16"/>
              </w:rPr>
              <w:t>2022</w:t>
            </w:r>
          </w:p>
        </w:tc>
      </w:tr>
      <w:tr w14:paraId="4E58D6C1" w14:textId="77777777" w:rsidTr="00D13CD1">
        <w:tblPrEx>
          <w:tblW w:w="14601" w:type="dxa"/>
          <w:tblInd w:w="-147" w:type="dxa"/>
          <w:tblLayout w:type="fixed"/>
          <w:tblLook w:val="0400"/>
        </w:tblPrEx>
        <w:tc>
          <w:tcPr>
            <w:tcW w:w="1985" w:type="dxa"/>
          </w:tcPr>
          <w:p w:rsidR="00B8601C" w:rsidRPr="007F3216" w:rsidP="00B8601C" w14:paraId="70064756" w14:textId="77777777">
            <w:pPr>
              <w:widowControl w:val="0"/>
              <w:numPr>
                <w:ilvl w:val="1"/>
                <w:numId w:val="21"/>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Īstenot pasākumus sabiedrības motivēšanai pievērsties uzņēmējdarbībai un inovatīvu risinājumu izstrādei</w:t>
            </w:r>
          </w:p>
        </w:tc>
        <w:tc>
          <w:tcPr>
            <w:tcW w:w="2268" w:type="dxa"/>
          </w:tcPr>
          <w:p w:rsidR="00B8601C" w:rsidRPr="007F3216" w:rsidP="00B8601C" w14:paraId="3BEBA5F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uzņēmējdarbības un inovācijas aktivitātēs iesaistīto personu skaits visās sabiedrības grupās (pamatskolu, vidusskolu un profesionālo skolu audzēkņi un skolotāji, augstākās izglītības iestāžu studenti, topošie un esošie uzņēmēji, inovatīvo ideju attīstītāji, individuālie izgudrotāji)</w:t>
            </w:r>
          </w:p>
        </w:tc>
        <w:tc>
          <w:tcPr>
            <w:tcW w:w="3260" w:type="dxa"/>
          </w:tcPr>
          <w:p w:rsidR="00B8601C" w:rsidRPr="007F3216" w:rsidP="00B8601C" w14:paraId="5A4B4BD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Inovatīvo komersantu skaita pieaugums – 40% no kopējā komersantu skaita</w:t>
            </w:r>
          </w:p>
        </w:tc>
        <w:tc>
          <w:tcPr>
            <w:tcW w:w="2694" w:type="dxa"/>
          </w:tcPr>
          <w:p w:rsidR="00B8601C" w:rsidRPr="007F3216" w:rsidP="00B8601C" w14:paraId="15A9B07B" w14:textId="77777777">
            <w:pPr>
              <w:widowControl w:val="0"/>
              <w:numPr>
                <w:ilvl w:val="0"/>
                <w:numId w:val="39"/>
              </w:numPr>
              <w:spacing w:after="0" w:line="240" w:lineRule="auto"/>
              <w:ind w:left="133" w:hanging="141"/>
              <w:rPr>
                <w:rFonts w:ascii="Candara" w:hAnsi="Candara"/>
                <w:sz w:val="16"/>
                <w:szCs w:val="16"/>
              </w:rPr>
            </w:pPr>
            <w:r w:rsidRPr="007F3216">
              <w:rPr>
                <w:rFonts w:ascii="Candara" w:eastAsia="Candara" w:hAnsi="Candara" w:cs="Candara"/>
                <w:sz w:val="16"/>
                <w:szCs w:val="16"/>
              </w:rPr>
              <w:t>Iesaistīto personu skaits (2022.) – 10 000</w:t>
            </w:r>
          </w:p>
          <w:p w:rsidR="00B8601C" w:rsidRPr="007F3216" w:rsidP="00B8601C" w14:paraId="29E420B2" w14:textId="77777777">
            <w:pPr>
              <w:widowControl w:val="0"/>
              <w:numPr>
                <w:ilvl w:val="0"/>
                <w:numId w:val="39"/>
              </w:numPr>
              <w:spacing w:after="0" w:line="240" w:lineRule="auto"/>
              <w:ind w:left="133" w:hanging="141"/>
              <w:rPr>
                <w:rFonts w:ascii="Candara" w:hAnsi="Candara"/>
                <w:sz w:val="16"/>
                <w:szCs w:val="16"/>
              </w:rPr>
            </w:pPr>
            <w:r w:rsidRPr="007F3216">
              <w:rPr>
                <w:rFonts w:ascii="Candara" w:eastAsia="Candara" w:hAnsi="Candara" w:cs="Candara"/>
                <w:sz w:val="16"/>
                <w:szCs w:val="16"/>
              </w:rPr>
              <w:t>Atbalstīto komersantu skaits, kas saņem nefinansiālu atbalstu (2022.) –  100</w:t>
            </w:r>
          </w:p>
        </w:tc>
        <w:tc>
          <w:tcPr>
            <w:tcW w:w="1701" w:type="dxa"/>
          </w:tcPr>
          <w:p w:rsidR="00B8601C" w:rsidRPr="007F3216" w:rsidP="00B8601C" w14:paraId="2FC7277A" w14:textId="77777777">
            <w:pPr>
              <w:widowControl w:val="0"/>
              <w:spacing w:after="0" w:line="240" w:lineRule="auto"/>
              <w:rPr>
                <w:rFonts w:ascii="Candara" w:eastAsia="Candara" w:hAnsi="Candara" w:cs="Candara"/>
                <w:sz w:val="16"/>
                <w:szCs w:val="16"/>
              </w:rPr>
            </w:pPr>
            <w:r w:rsidRPr="007F3216">
              <w:rPr>
                <w:rFonts w:ascii="Candara" w:eastAsia="Candara" w:hAnsi="Candara" w:cs="Candara"/>
                <w:sz w:val="16"/>
                <w:szCs w:val="16"/>
              </w:rPr>
              <w:t>1.2.2.2. pasākums “Inovāciju motivācijas programma” (5,7 milj. EUR)</w:t>
            </w:r>
          </w:p>
        </w:tc>
        <w:tc>
          <w:tcPr>
            <w:tcW w:w="1417" w:type="dxa"/>
          </w:tcPr>
          <w:p w:rsidR="00B8601C" w:rsidRPr="007F3216" w:rsidP="00B8601C" w14:paraId="064252DC" w14:textId="77777777">
            <w:pPr>
              <w:widowControl w:val="0"/>
              <w:spacing w:after="0" w:line="240" w:lineRule="auto"/>
              <w:rPr>
                <w:rFonts w:ascii="Candara" w:eastAsia="Candara" w:hAnsi="Candara" w:cs="Candara"/>
                <w:sz w:val="16"/>
                <w:szCs w:val="16"/>
              </w:rPr>
            </w:pPr>
            <w:r w:rsidRPr="007F3216">
              <w:rPr>
                <w:rFonts w:ascii="Candara" w:eastAsia="Candara" w:hAnsi="Candara" w:cs="Candara"/>
                <w:sz w:val="16"/>
                <w:szCs w:val="16"/>
              </w:rPr>
              <w:t>EM, LIAA</w:t>
            </w:r>
          </w:p>
        </w:tc>
        <w:tc>
          <w:tcPr>
            <w:tcW w:w="1276" w:type="dxa"/>
          </w:tcPr>
          <w:p w:rsidR="00B8601C" w:rsidRPr="00600185" w:rsidP="00B8601C" w14:paraId="397165BD" w14:textId="77777777">
            <w:pPr>
              <w:widowControl w:val="0"/>
              <w:spacing w:after="0" w:line="240" w:lineRule="auto"/>
              <w:rPr>
                <w:rFonts w:ascii="Candara" w:eastAsia="Candara" w:hAnsi="Candara" w:cs="Candara"/>
                <w:sz w:val="16"/>
                <w:szCs w:val="16"/>
              </w:rPr>
            </w:pPr>
            <w:r>
              <w:rPr>
                <w:rFonts w:ascii="Candara" w:eastAsia="Candara" w:hAnsi="Candara" w:cs="Candara"/>
                <w:sz w:val="16"/>
                <w:szCs w:val="16"/>
              </w:rPr>
              <w:t>2022</w:t>
            </w:r>
          </w:p>
        </w:tc>
      </w:tr>
      <w:tr w14:paraId="53A5BF9B" w14:textId="77777777" w:rsidTr="00D13CD1">
        <w:tblPrEx>
          <w:tblW w:w="14601" w:type="dxa"/>
          <w:tblInd w:w="-147" w:type="dxa"/>
          <w:tblLayout w:type="fixed"/>
          <w:tblLook w:val="0400"/>
        </w:tblPrEx>
        <w:tc>
          <w:tcPr>
            <w:tcW w:w="1985" w:type="dxa"/>
          </w:tcPr>
          <w:p w:rsidR="00B8601C" w:rsidRPr="007F3216" w:rsidP="00B8601C" w14:paraId="413394D0" w14:textId="77777777">
            <w:pPr>
              <w:widowControl w:val="0"/>
              <w:numPr>
                <w:ilvl w:val="1"/>
                <w:numId w:val="21"/>
              </w:numPr>
              <w:spacing w:after="0" w:line="240" w:lineRule="auto"/>
              <w:ind w:hanging="360"/>
              <w:rPr>
                <w:rFonts w:ascii="Candara" w:eastAsia="Candara" w:hAnsi="Candara" w:cs="Candara"/>
                <w:sz w:val="16"/>
                <w:szCs w:val="16"/>
              </w:rPr>
            </w:pPr>
            <w:r w:rsidRPr="007F3216">
              <w:rPr>
                <w:rFonts w:ascii="Candara" w:eastAsia="Candara" w:hAnsi="Candara" w:cs="Candara"/>
                <w:color w:val="000000"/>
                <w:sz w:val="16"/>
                <w:szCs w:val="16"/>
              </w:rPr>
              <w:t>Turpināt  EM komisijas darbu pētniecības un attīstības  projektu izvērtēšanai UIN P&amp;A  atlaidei  un komersantu informēšanu par UIN atlaidi ieguldījumiem pētniecībā un attīstībā</w:t>
            </w:r>
          </w:p>
        </w:tc>
        <w:tc>
          <w:tcPr>
            <w:tcW w:w="2268" w:type="dxa"/>
          </w:tcPr>
          <w:p w:rsidR="00B8601C" w:rsidRPr="007F3216" w:rsidP="00B8601C" w14:paraId="72E0BC36"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privātā sektora investīciju apjoms P&amp;A, tirgū virzīti jauni produkti un tehnoloģijas</w:t>
            </w:r>
          </w:p>
        </w:tc>
        <w:tc>
          <w:tcPr>
            <w:tcW w:w="3260" w:type="dxa"/>
          </w:tcPr>
          <w:p w:rsidR="00B8601C" w:rsidRPr="007F3216" w:rsidP="00B8601C" w14:paraId="32A15CD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Privātā sektora izdevumi P&amp;A (% no kopējiem ieguldījumiem)</w:t>
            </w:r>
          </w:p>
        </w:tc>
        <w:tc>
          <w:tcPr>
            <w:tcW w:w="2694" w:type="dxa"/>
          </w:tcPr>
          <w:p w:rsidR="00B8601C" w:rsidRPr="007F3216" w:rsidP="00B8601C" w14:paraId="7373ED23" w14:textId="77777777">
            <w:pPr>
              <w:widowControl w:val="0"/>
              <w:numPr>
                <w:ilvl w:val="0"/>
                <w:numId w:val="37"/>
              </w:numPr>
              <w:spacing w:after="0" w:line="240" w:lineRule="auto"/>
              <w:ind w:left="148" w:hanging="148"/>
              <w:rPr>
                <w:rFonts w:ascii="Candara" w:hAnsi="Candara"/>
                <w:sz w:val="16"/>
                <w:szCs w:val="16"/>
              </w:rPr>
            </w:pPr>
            <w:r w:rsidRPr="007F3216">
              <w:rPr>
                <w:rFonts w:ascii="Candara" w:eastAsia="Candara" w:hAnsi="Candara" w:cs="Candara"/>
                <w:color w:val="000000"/>
                <w:sz w:val="16"/>
                <w:szCs w:val="16"/>
              </w:rPr>
              <w:t>komersantu deklarētie izdevumi P&amp;A 2017.g. - 2 MEUR; 2018.g. - 2,5 MEUR</w:t>
            </w:r>
          </w:p>
          <w:p w:rsidR="00B8601C" w:rsidRPr="007F3216" w:rsidP="00B8601C" w14:paraId="415D3EAB" w14:textId="77777777">
            <w:pPr>
              <w:widowControl w:val="0"/>
              <w:numPr>
                <w:ilvl w:val="0"/>
                <w:numId w:val="37"/>
              </w:numPr>
              <w:spacing w:after="0" w:line="240" w:lineRule="auto"/>
              <w:ind w:left="148" w:hanging="148"/>
              <w:rPr>
                <w:rFonts w:ascii="Candara" w:hAnsi="Candara"/>
                <w:sz w:val="16"/>
                <w:szCs w:val="16"/>
              </w:rPr>
            </w:pPr>
            <w:r w:rsidRPr="007F3216">
              <w:rPr>
                <w:rFonts w:ascii="Candara" w:eastAsia="Candara" w:hAnsi="Candara" w:cs="Candara"/>
                <w:color w:val="000000"/>
                <w:sz w:val="16"/>
                <w:szCs w:val="16"/>
              </w:rPr>
              <w:t xml:space="preserve">EM P&amp;A komisijas izvērtēto projektu skaits 2017.g. - 8; 2018.g - 10 </w:t>
            </w:r>
          </w:p>
        </w:tc>
        <w:tc>
          <w:tcPr>
            <w:tcW w:w="1701" w:type="dxa"/>
          </w:tcPr>
          <w:p w:rsidR="00B8601C" w:rsidRPr="007F3216" w:rsidP="00B8601C" w14:paraId="3139EFC7" w14:textId="77777777">
            <w:pPr>
              <w:widowControl w:val="0"/>
              <w:spacing w:after="0" w:line="240" w:lineRule="auto"/>
              <w:rPr>
                <w:rFonts w:ascii="Candara" w:eastAsia="Candara" w:hAnsi="Candara" w:cs="Candara"/>
                <w:color w:val="000000"/>
                <w:sz w:val="16"/>
                <w:szCs w:val="16"/>
              </w:rPr>
            </w:pPr>
            <w:r w:rsidRPr="007F3216">
              <w:rPr>
                <w:rFonts w:ascii="Candara" w:eastAsia="Candara" w:hAnsi="Candara" w:cs="Candara"/>
                <w:sz w:val="16"/>
                <w:szCs w:val="16"/>
              </w:rPr>
              <w:t>Esošā budžeta ietvaros</w:t>
            </w:r>
          </w:p>
        </w:tc>
        <w:tc>
          <w:tcPr>
            <w:tcW w:w="1417" w:type="dxa"/>
          </w:tcPr>
          <w:p w:rsidR="00B8601C" w:rsidRPr="007F3216" w:rsidP="00B8601C" w14:paraId="16B06DFA" w14:textId="77777777">
            <w:pPr>
              <w:widowControl w:val="0"/>
              <w:spacing w:after="0" w:line="240" w:lineRule="auto"/>
              <w:rPr>
                <w:rFonts w:ascii="Candara" w:eastAsia="Candara" w:hAnsi="Candara" w:cs="Candara"/>
                <w:sz w:val="16"/>
                <w:szCs w:val="16"/>
              </w:rPr>
            </w:pPr>
            <w:r w:rsidRPr="007F3216">
              <w:rPr>
                <w:rFonts w:ascii="Candara" w:eastAsia="Candara" w:hAnsi="Candara" w:cs="Candara"/>
                <w:sz w:val="16"/>
                <w:szCs w:val="16"/>
              </w:rPr>
              <w:t>EM</w:t>
            </w:r>
          </w:p>
        </w:tc>
        <w:tc>
          <w:tcPr>
            <w:tcW w:w="1276" w:type="dxa"/>
          </w:tcPr>
          <w:p w:rsidR="00B8601C" w:rsidRPr="00600185" w:rsidP="00B8601C" w14:paraId="0977CAA5" w14:textId="77777777">
            <w:pPr>
              <w:widowControl w:val="0"/>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35E9DE9C" w14:textId="77777777" w:rsidTr="00D13CD1">
        <w:tblPrEx>
          <w:tblW w:w="14601" w:type="dxa"/>
          <w:tblInd w:w="-147" w:type="dxa"/>
          <w:tblLayout w:type="fixed"/>
          <w:tblLook w:val="0400"/>
        </w:tblPrEx>
        <w:tc>
          <w:tcPr>
            <w:tcW w:w="1985" w:type="dxa"/>
          </w:tcPr>
          <w:p w:rsidR="00B8601C" w:rsidRPr="007F3216" w:rsidP="00B8601C" w14:paraId="18B488D5" w14:textId="77777777">
            <w:pPr>
              <w:widowControl w:val="0"/>
              <w:numPr>
                <w:ilvl w:val="0"/>
                <w:numId w:val="33"/>
              </w:numPr>
              <w:spacing w:after="0" w:line="240" w:lineRule="auto"/>
              <w:ind w:left="288" w:hanging="288"/>
              <w:jc w:val="both"/>
              <w:rPr>
                <w:rFonts w:ascii="Candara" w:eastAsia="Candara" w:hAnsi="Candara" w:cs="Candara"/>
                <w:sz w:val="16"/>
                <w:szCs w:val="16"/>
              </w:rPr>
            </w:pPr>
            <w:r w:rsidRPr="007F3216">
              <w:rPr>
                <w:rFonts w:ascii="Candara" w:eastAsia="Candara" w:hAnsi="Candara" w:cs="Candara"/>
                <w:color w:val="000000"/>
                <w:sz w:val="16"/>
                <w:szCs w:val="16"/>
              </w:rPr>
              <w:t xml:space="preserve">Izveidot platformu, kas nodrošina visu iesaistīto pušu sadarbību Latvijas </w:t>
            </w:r>
            <w:r w:rsidRPr="007F3216">
              <w:rPr>
                <w:rFonts w:ascii="Candara" w:eastAsia="Candara" w:hAnsi="Candara" w:cs="Candara"/>
                <w:color w:val="000000"/>
                <w:sz w:val="16"/>
                <w:szCs w:val="16"/>
              </w:rPr>
              <w:t xml:space="preserve">inovācijas spējas paaugstināšanai un kāpumu Eiropas inovāciju pārskata inovācijas reitingā </w:t>
            </w:r>
          </w:p>
        </w:tc>
        <w:tc>
          <w:tcPr>
            <w:tcW w:w="2268" w:type="dxa"/>
          </w:tcPr>
          <w:p w:rsidR="00B8601C" w:rsidRPr="007F3216" w:rsidP="00B8601C" w14:paraId="60F21FF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Izveidota Uzņēmējdarbības vides pilnveidošanas </w:t>
            </w:r>
          </w:p>
          <w:p w:rsidR="00B8601C" w:rsidRPr="007F3216" w:rsidP="00B8601C" w14:paraId="43C0C5E8"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pasākumu plāna darba grupa, kurā skata inovācijas </w:t>
            </w:r>
            <w:r w:rsidRPr="007F3216">
              <w:rPr>
                <w:rFonts w:ascii="Candara" w:eastAsia="Candara" w:hAnsi="Candara" w:cs="Candara"/>
                <w:sz w:val="16"/>
                <w:szCs w:val="16"/>
              </w:rPr>
              <w:t>jautājumus, lai identificētu atbilstošus pasākumus  Eiropas inovācijas progresa pārskatā iekļauto rādītāju uzlabošanai.</w:t>
            </w:r>
          </w:p>
        </w:tc>
        <w:tc>
          <w:tcPr>
            <w:tcW w:w="3260" w:type="dxa"/>
          </w:tcPr>
          <w:p w:rsidR="00B8601C" w:rsidRPr="007F3216" w:rsidP="00B8601C" w14:paraId="55752F32"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n/a</w:t>
            </w:r>
          </w:p>
        </w:tc>
        <w:tc>
          <w:tcPr>
            <w:tcW w:w="2694" w:type="dxa"/>
          </w:tcPr>
          <w:p w:rsidR="00B8601C" w:rsidRPr="007F3216" w:rsidP="00B8601C" w14:paraId="0BA069CF"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Uzņēmējdarbības vides pilnveidošanas </w:t>
            </w:r>
          </w:p>
          <w:p w:rsidR="00B8601C" w:rsidRPr="007F3216" w:rsidP="00B8601C" w14:paraId="2407D91B"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pasākumu plāna darba grupas sanāksmes (inovācijas bloks) – 2 reizes gadā</w:t>
            </w:r>
          </w:p>
          <w:p w:rsidR="00B8601C" w:rsidRPr="007F3216" w:rsidP="00B8601C" w14:paraId="5C20AF68"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Aktualizēti inovācijas pasākumi Uzņēmējdarbības vides pilnveidošanas </w:t>
            </w:r>
          </w:p>
          <w:p w:rsidR="00B8601C" w:rsidRPr="007F3216" w:rsidP="00B8601C" w14:paraId="6CF6175F" w14:textId="77777777">
            <w:pPr>
              <w:spacing w:after="0" w:line="240" w:lineRule="auto"/>
              <w:rPr>
                <w:rFonts w:ascii="Candara" w:eastAsia="Candara" w:hAnsi="Candara" w:cs="Candara"/>
                <w:b/>
                <w:sz w:val="16"/>
                <w:szCs w:val="16"/>
              </w:rPr>
            </w:pPr>
            <w:r w:rsidRPr="007F3216">
              <w:rPr>
                <w:rFonts w:ascii="Candara" w:eastAsia="Candara" w:hAnsi="Candara" w:cs="Candara"/>
                <w:sz w:val="16"/>
                <w:szCs w:val="16"/>
              </w:rPr>
              <w:t>pasākumu plānā – 1</w:t>
            </w:r>
          </w:p>
        </w:tc>
        <w:tc>
          <w:tcPr>
            <w:tcW w:w="1701" w:type="dxa"/>
          </w:tcPr>
          <w:p w:rsidR="00B8601C" w:rsidRPr="007F3216" w:rsidP="00B8601C" w14:paraId="37EB9B9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Esošā budžeta ietvaros</w:t>
            </w:r>
          </w:p>
        </w:tc>
        <w:tc>
          <w:tcPr>
            <w:tcW w:w="1417" w:type="dxa"/>
          </w:tcPr>
          <w:p w:rsidR="00B8601C" w:rsidRPr="007F3216" w:rsidP="00B8601C" w14:paraId="64BD9280"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EM</w:t>
            </w:r>
          </w:p>
        </w:tc>
        <w:tc>
          <w:tcPr>
            <w:tcW w:w="1276" w:type="dxa"/>
          </w:tcPr>
          <w:p w:rsidR="00B8601C" w:rsidRPr="00600185" w:rsidP="00AD423E" w14:paraId="57AA28BE" w14:textId="2892C53F">
            <w:pPr>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35DBB78A" w14:textId="77777777" w:rsidTr="00D13CD1">
        <w:tblPrEx>
          <w:tblW w:w="14601" w:type="dxa"/>
          <w:tblInd w:w="-147" w:type="dxa"/>
          <w:tblLayout w:type="fixed"/>
          <w:tblLook w:val="0400"/>
        </w:tblPrEx>
        <w:trPr>
          <w:trHeight w:val="60"/>
        </w:trPr>
        <w:tc>
          <w:tcPr>
            <w:tcW w:w="1985" w:type="dxa"/>
          </w:tcPr>
          <w:p w:rsidR="00B8601C" w:rsidRPr="007F3216" w:rsidP="00B8601C" w14:paraId="680DDB7D" w14:textId="77777777">
            <w:pPr>
              <w:widowControl w:val="0"/>
              <w:numPr>
                <w:ilvl w:val="1"/>
                <w:numId w:val="35"/>
              </w:numPr>
              <w:spacing w:after="0" w:line="240" w:lineRule="auto"/>
              <w:ind w:left="288" w:hanging="288"/>
              <w:rPr>
                <w:rFonts w:ascii="Candara" w:eastAsia="Candara" w:hAnsi="Candara" w:cs="Candara"/>
                <w:sz w:val="16"/>
                <w:szCs w:val="16"/>
              </w:rPr>
            </w:pPr>
            <w:r w:rsidRPr="007F3216">
              <w:rPr>
                <w:rFonts w:ascii="Candara" w:eastAsia="Candara" w:hAnsi="Candara" w:cs="Candara"/>
                <w:color w:val="000000"/>
                <w:sz w:val="16"/>
                <w:szCs w:val="16"/>
              </w:rPr>
              <w:t>Veidot Latvijas inovācijas ārējo tēlu</w:t>
            </w:r>
          </w:p>
        </w:tc>
        <w:tc>
          <w:tcPr>
            <w:tcW w:w="2268" w:type="dxa"/>
          </w:tcPr>
          <w:p w:rsidR="00B8601C" w:rsidRPr="007F3216" w:rsidP="00B8601C" w14:paraId="76AA3BE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Nodrošināta pastāvīga inovācijas marketinga aktivitāšu īstenošana Latvijas kā valsts ar inovācijas potenciālu veidošanai</w:t>
            </w:r>
          </w:p>
        </w:tc>
        <w:tc>
          <w:tcPr>
            <w:tcW w:w="3260" w:type="dxa"/>
          </w:tcPr>
          <w:p w:rsidR="00B8601C" w:rsidRPr="007F3216" w:rsidP="00B8601C" w14:paraId="7BC9D40D"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n/a</w:t>
            </w:r>
          </w:p>
        </w:tc>
        <w:tc>
          <w:tcPr>
            <w:tcW w:w="2694" w:type="dxa"/>
            <w:shd w:val="clear" w:color="auto" w:fill="FFFFFF"/>
          </w:tcPr>
          <w:p w:rsidR="00B8601C" w:rsidRPr="007F3216" w:rsidP="00B8601C" w14:paraId="08D8F8BA" w14:textId="77777777">
            <w:pPr>
              <w:widowControl w:val="0"/>
              <w:numPr>
                <w:ilvl w:val="0"/>
                <w:numId w:val="40"/>
              </w:numPr>
              <w:spacing w:after="0" w:line="240" w:lineRule="auto"/>
              <w:ind w:left="133" w:hanging="133"/>
              <w:rPr>
                <w:rFonts w:ascii="Candara" w:hAnsi="Candara"/>
                <w:sz w:val="16"/>
                <w:szCs w:val="16"/>
              </w:rPr>
            </w:pPr>
            <w:r w:rsidRPr="007F3216">
              <w:rPr>
                <w:rFonts w:ascii="Candara" w:eastAsia="Candara" w:hAnsi="Candara" w:cs="Candara"/>
                <w:sz w:val="16"/>
                <w:szCs w:val="16"/>
              </w:rPr>
              <w:t>Izstrādāti inovācijas marketinga materiāli – 1-2 gadā</w:t>
            </w:r>
          </w:p>
          <w:p w:rsidR="00B8601C" w:rsidRPr="007F3216" w:rsidP="00B8601C" w14:paraId="06CAB0BF" w14:textId="77777777">
            <w:pPr>
              <w:widowControl w:val="0"/>
              <w:numPr>
                <w:ilvl w:val="0"/>
                <w:numId w:val="40"/>
              </w:numPr>
              <w:spacing w:after="0" w:line="240" w:lineRule="auto"/>
              <w:ind w:left="133" w:hanging="133"/>
              <w:rPr>
                <w:rFonts w:ascii="Candara" w:hAnsi="Candara"/>
                <w:b/>
                <w:sz w:val="16"/>
                <w:szCs w:val="16"/>
              </w:rPr>
            </w:pPr>
            <w:r w:rsidRPr="007F3216">
              <w:rPr>
                <w:rFonts w:ascii="Candara" w:eastAsia="Candara" w:hAnsi="Candara" w:cs="Candara"/>
                <w:sz w:val="16"/>
                <w:szCs w:val="16"/>
              </w:rPr>
              <w:t>Nodrošināta dalība Latvijā organizētos un starptautiskajos pasākumos – 1-2 pasākumi gadā</w:t>
            </w:r>
          </w:p>
        </w:tc>
        <w:tc>
          <w:tcPr>
            <w:tcW w:w="1701" w:type="dxa"/>
            <w:shd w:val="clear" w:color="auto" w:fill="FFFFFF"/>
          </w:tcPr>
          <w:p w:rsidR="00B8601C" w:rsidRPr="007F3216" w:rsidP="00B8601C" w14:paraId="28EB3334" w14:textId="77777777">
            <w:pPr>
              <w:widowControl w:val="0"/>
              <w:spacing w:after="0" w:line="240" w:lineRule="auto"/>
              <w:rPr>
                <w:rFonts w:ascii="Candara" w:eastAsia="Candara" w:hAnsi="Candara" w:cs="Candara"/>
                <w:sz w:val="16"/>
                <w:szCs w:val="16"/>
              </w:rPr>
            </w:pPr>
            <w:r w:rsidRPr="007F3216">
              <w:rPr>
                <w:rFonts w:ascii="Candara" w:eastAsia="Candara" w:hAnsi="Candara" w:cs="Candara"/>
                <w:sz w:val="16"/>
                <w:szCs w:val="16"/>
              </w:rPr>
              <w:t>1.2.1.2. pasākums "Atbalsts tehnoloģiju pārneses sistēmas pilnveidošanai" (40,6 milj. EUR)*</w:t>
            </w:r>
          </w:p>
        </w:tc>
        <w:tc>
          <w:tcPr>
            <w:tcW w:w="1417" w:type="dxa"/>
            <w:shd w:val="clear" w:color="auto" w:fill="FFFFFF"/>
          </w:tcPr>
          <w:p w:rsidR="00B8601C" w:rsidRPr="007F3216" w:rsidP="00B8601C" w14:paraId="621824FC" w14:textId="77777777">
            <w:pPr>
              <w:widowControl w:val="0"/>
              <w:spacing w:after="0" w:line="240" w:lineRule="auto"/>
              <w:rPr>
                <w:rFonts w:ascii="Candara" w:eastAsia="Candara" w:hAnsi="Candara" w:cs="Candara"/>
                <w:sz w:val="16"/>
                <w:szCs w:val="16"/>
              </w:rPr>
            </w:pPr>
            <w:r w:rsidRPr="007F3216">
              <w:rPr>
                <w:rFonts w:ascii="Candara" w:eastAsia="Candara" w:hAnsi="Candara" w:cs="Candara"/>
                <w:sz w:val="16"/>
                <w:szCs w:val="16"/>
              </w:rPr>
              <w:t>EM, LIAA</w:t>
            </w:r>
          </w:p>
        </w:tc>
        <w:tc>
          <w:tcPr>
            <w:tcW w:w="1276" w:type="dxa"/>
            <w:shd w:val="clear" w:color="auto" w:fill="FFFFFF"/>
          </w:tcPr>
          <w:p w:rsidR="00B8601C" w:rsidRPr="00600185" w:rsidP="00B8601C" w14:paraId="534FC23E" w14:textId="77777777">
            <w:pPr>
              <w:widowControl w:val="0"/>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660A70FB" w14:textId="77777777" w:rsidTr="00D13CD1">
        <w:tblPrEx>
          <w:tblW w:w="14601" w:type="dxa"/>
          <w:tblInd w:w="-147" w:type="dxa"/>
          <w:tblLayout w:type="fixed"/>
          <w:tblLook w:val="0400"/>
        </w:tblPrEx>
        <w:trPr>
          <w:trHeight w:val="360"/>
        </w:trPr>
        <w:tc>
          <w:tcPr>
            <w:tcW w:w="1985" w:type="dxa"/>
          </w:tcPr>
          <w:p w:rsidR="00B8601C" w:rsidRPr="007F3216" w:rsidP="00B8601C" w14:paraId="491CFC01" w14:textId="77777777">
            <w:pPr>
              <w:widowControl w:val="0"/>
              <w:numPr>
                <w:ilvl w:val="1"/>
                <w:numId w:val="35"/>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Nodrošināt izmaiņas Valsts kapitālsabiedrību vidēja termiņa darbības stratēģijas izstrādes vadlīnijās, lai valsts kapitālsabiedrības, kas plāno P&amp;A, izstrādājot vidēja termiņa darbības stratēģijas, iekļautu tajās informāciju par P&amp;A pasākumiem un finanšu prognozēm</w:t>
            </w:r>
          </w:p>
        </w:tc>
        <w:tc>
          <w:tcPr>
            <w:tcW w:w="2268" w:type="dxa"/>
          </w:tcPr>
          <w:p w:rsidR="00B8601C" w:rsidRPr="007F3216" w:rsidP="00B8601C" w14:paraId="77FC8827"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Veiktas izmaiņas Valsts kapitālsabiedrību vidēja termiņa darbības stratēģijas izstrādes vadlīnijās, lai valsts kapitālsabiedrības, kas plāno P&amp;A, izstrādājot vidēja termiņa darbības stratēģijas, iekļautu tajās informāciju par P&amp;A pasākumiem un finanšu prognozēm</w:t>
            </w:r>
          </w:p>
        </w:tc>
        <w:tc>
          <w:tcPr>
            <w:tcW w:w="3260" w:type="dxa"/>
          </w:tcPr>
          <w:p w:rsidR="00B8601C" w:rsidRPr="007F3216" w:rsidP="00B8601C" w14:paraId="2E003F8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Privātā sektora investīcijas P&amp;A (% no kopējiem ieguldījumiem)</w:t>
            </w:r>
          </w:p>
        </w:tc>
        <w:tc>
          <w:tcPr>
            <w:tcW w:w="2694" w:type="dxa"/>
          </w:tcPr>
          <w:p w:rsidR="00B8601C" w:rsidRPr="007F3216" w:rsidP="00B8601C" w14:paraId="5A92AF9B" w14:textId="77777777">
            <w:pPr>
              <w:widowControl w:val="0"/>
              <w:numPr>
                <w:ilvl w:val="0"/>
                <w:numId w:val="30"/>
              </w:numPr>
              <w:spacing w:after="0" w:line="240" w:lineRule="auto"/>
              <w:ind w:left="185" w:hanging="185"/>
              <w:rPr>
                <w:rFonts w:ascii="Candara" w:hAnsi="Candara"/>
                <w:sz w:val="16"/>
                <w:szCs w:val="16"/>
              </w:rPr>
            </w:pPr>
            <w:r w:rsidRPr="007F3216">
              <w:rPr>
                <w:rFonts w:ascii="Candara" w:eastAsia="Candara" w:hAnsi="Candara" w:cs="Candara"/>
                <w:sz w:val="16"/>
                <w:szCs w:val="16"/>
              </w:rPr>
              <w:t>Pieaudzis valsts kapitālsabiedrību skaits, kas investē P&amp;A, kā arī pieaudzis privātā sektora investīciju apjoms P&amp;A – pastāvīgi</w:t>
            </w:r>
          </w:p>
        </w:tc>
        <w:tc>
          <w:tcPr>
            <w:tcW w:w="1701" w:type="dxa"/>
          </w:tcPr>
          <w:p w:rsidR="00B8601C" w:rsidRPr="007F3216" w:rsidP="00B8601C" w14:paraId="4867ADAB" w14:textId="77777777">
            <w:pPr>
              <w:widowControl w:val="0"/>
              <w:spacing w:after="0" w:line="240" w:lineRule="auto"/>
              <w:rPr>
                <w:rFonts w:ascii="Candara" w:eastAsia="Candara" w:hAnsi="Candara" w:cs="Candara"/>
                <w:sz w:val="16"/>
                <w:szCs w:val="16"/>
              </w:rPr>
            </w:pPr>
            <w:r w:rsidRPr="007F3216">
              <w:rPr>
                <w:rFonts w:ascii="Candara" w:eastAsia="Candara" w:hAnsi="Candara" w:cs="Candara"/>
                <w:sz w:val="16"/>
                <w:szCs w:val="16"/>
              </w:rPr>
              <w:t>Pārresoru koordinācijas centra budžeta ietvaros</w:t>
            </w:r>
          </w:p>
        </w:tc>
        <w:tc>
          <w:tcPr>
            <w:tcW w:w="1417" w:type="dxa"/>
          </w:tcPr>
          <w:p w:rsidR="00B8601C" w:rsidRPr="007F3216" w:rsidP="00B8601C" w14:paraId="4C7E433A" w14:textId="77777777">
            <w:pPr>
              <w:widowControl w:val="0"/>
              <w:spacing w:after="0" w:line="240" w:lineRule="auto"/>
              <w:rPr>
                <w:rFonts w:ascii="Candara" w:eastAsia="Candara" w:hAnsi="Candara" w:cs="Candara"/>
                <w:sz w:val="16"/>
                <w:szCs w:val="16"/>
              </w:rPr>
            </w:pPr>
            <w:r w:rsidRPr="007F3216">
              <w:rPr>
                <w:rFonts w:ascii="Candara" w:eastAsia="Candara" w:hAnsi="Candara" w:cs="Candara"/>
                <w:sz w:val="16"/>
                <w:szCs w:val="16"/>
              </w:rPr>
              <w:t>PKC</w:t>
            </w:r>
          </w:p>
        </w:tc>
        <w:tc>
          <w:tcPr>
            <w:tcW w:w="1276" w:type="dxa"/>
          </w:tcPr>
          <w:p w:rsidR="00B8601C" w:rsidRPr="00600185" w:rsidP="00B8601C" w14:paraId="22E5D433" w14:textId="77777777">
            <w:pPr>
              <w:widowControl w:val="0"/>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68A92F53"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399D3FD3" w14:textId="77777777">
            <w:pPr>
              <w:widowControl w:val="0"/>
              <w:numPr>
                <w:ilvl w:val="1"/>
                <w:numId w:val="35"/>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 xml:space="preserve">Turpināt Praktiskas ievirzes pētījumu programmas īstenošanu (īstenojot 1. atlases kārtas ietvaros atbalstītos projektus, nodrošinot to monitoringu un </w:t>
            </w:r>
            <w:r w:rsidRPr="005C41A3" w:rsidR="00220368">
              <w:rPr>
                <w:rFonts w:ascii="Candara" w:eastAsia="Candara" w:hAnsi="Candara" w:cs="Candara"/>
                <w:sz w:val="16"/>
                <w:szCs w:val="16"/>
              </w:rPr>
              <w:t>tostarp</w:t>
            </w:r>
            <w:r w:rsidRPr="00AD423E" w:rsidR="00220368">
              <w:rPr>
                <w:rFonts w:ascii="Candara" w:eastAsia="Candara" w:hAnsi="Candara" w:cs="Candara"/>
                <w:sz w:val="16"/>
                <w:szCs w:val="16"/>
              </w:rPr>
              <w:t xml:space="preserve"> </w:t>
            </w:r>
            <w:r w:rsidRPr="005C41A3">
              <w:rPr>
                <w:rFonts w:ascii="Candara" w:eastAsia="Candara" w:hAnsi="Candara" w:cs="Candara"/>
                <w:sz w:val="16"/>
                <w:szCs w:val="16"/>
              </w:rPr>
              <w:t>izsludinot jaunas</w:t>
            </w:r>
            <w:r w:rsidRPr="00AD423E">
              <w:rPr>
                <w:rFonts w:ascii="Candara" w:eastAsia="Candara" w:hAnsi="Candara" w:cs="Candara"/>
                <w:sz w:val="16"/>
                <w:szCs w:val="16"/>
              </w:rPr>
              <w:t xml:space="preserve"> t</w:t>
            </w:r>
            <w:r w:rsidRPr="005C41A3">
              <w:rPr>
                <w:rFonts w:ascii="Candara" w:eastAsia="Candara" w:hAnsi="Candara" w:cs="Candara"/>
                <w:sz w:val="16"/>
                <w:szCs w:val="16"/>
              </w:rPr>
              <w:t>ematiskas projektu pieteikumu atlases kārtas RIS3 jomās un prioritātēs</w:t>
            </w:r>
            <w:r w:rsidRPr="005C41A3" w:rsidR="00220368">
              <w:rPr>
                <w:rFonts w:ascii="Candara" w:eastAsia="Candara" w:hAnsi="Candara" w:cs="Candara"/>
                <w:sz w:val="16"/>
                <w:szCs w:val="16"/>
              </w:rPr>
              <w:t xml:space="preserve"> (indikatīvi – ar trešo projektu iesniegumu </w:t>
            </w:r>
            <w:r w:rsidRPr="005C41A3" w:rsidR="00220368">
              <w:rPr>
                <w:rFonts w:ascii="Candara" w:eastAsia="Candara" w:hAnsi="Candara" w:cs="Candara"/>
                <w:sz w:val="16"/>
                <w:szCs w:val="16"/>
              </w:rPr>
              <w:t>atlases kārtu)</w:t>
            </w:r>
          </w:p>
          <w:p w:rsidR="00B8601C" w:rsidRPr="007F3216" w:rsidP="00B8601C" w14:paraId="60A6580B" w14:textId="77777777">
            <w:pPr>
              <w:widowControl w:val="0"/>
              <w:spacing w:after="0" w:line="240" w:lineRule="auto"/>
              <w:ind w:left="360"/>
              <w:rPr>
                <w:rFonts w:ascii="Candara" w:eastAsia="Candara" w:hAnsi="Candara" w:cs="Candara"/>
                <w:sz w:val="16"/>
                <w:szCs w:val="16"/>
              </w:rPr>
            </w:pPr>
          </w:p>
        </w:tc>
        <w:tc>
          <w:tcPr>
            <w:tcW w:w="2268" w:type="dxa"/>
            <w:shd w:val="clear" w:color="auto" w:fill="FFFFFF" w:themeFill="background1"/>
          </w:tcPr>
          <w:p w:rsidR="00B8601C" w:rsidRPr="007F3216" w:rsidP="00B8601C" w14:paraId="688C886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zināšanu un tehnoloģiju, un cilvēkkapitāla apjoms RIS3 jomās un prioritātēs;</w:t>
            </w:r>
          </w:p>
          <w:p w:rsidR="00B8601C" w:rsidRPr="007F3216" w:rsidP="00B8601C" w14:paraId="725961D5" w14:textId="77777777">
            <w:pPr>
              <w:spacing w:after="0" w:line="240" w:lineRule="auto"/>
              <w:rPr>
                <w:rFonts w:ascii="Candara" w:eastAsia="Candara" w:hAnsi="Candara" w:cs="Candara"/>
                <w:sz w:val="16"/>
                <w:szCs w:val="16"/>
              </w:rPr>
            </w:pPr>
          </w:p>
          <w:p w:rsidR="00B8601C" w:rsidRPr="007F3216" w:rsidP="00B8601C" w14:paraId="6A0B0BBB"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zinātnisko institūciju piesaistītā privātā sektora investīciju apjoms P&amp;A projektiem;</w:t>
            </w:r>
          </w:p>
          <w:p w:rsidR="00B8601C" w:rsidRPr="007F3216" w:rsidP="00B8601C" w14:paraId="44CDFFBE" w14:textId="77777777">
            <w:pPr>
              <w:spacing w:after="0" w:line="240" w:lineRule="auto"/>
              <w:rPr>
                <w:rFonts w:ascii="Candara" w:eastAsia="Candara" w:hAnsi="Candara" w:cs="Candara"/>
                <w:sz w:val="16"/>
                <w:szCs w:val="16"/>
              </w:rPr>
            </w:pPr>
          </w:p>
          <w:p w:rsidR="00B8601C" w:rsidRPr="007F3216" w:rsidP="00B8601C" w14:paraId="2DD8EAB3"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Pieaudzis privāto uzņēmumu projektu skaits, ko īsteno, vai kuru īstenošanā piedalās privātie uzņēmumi. </w:t>
            </w:r>
          </w:p>
        </w:tc>
        <w:tc>
          <w:tcPr>
            <w:tcW w:w="3260" w:type="dxa"/>
            <w:shd w:val="clear" w:color="auto" w:fill="FFFFFF" w:themeFill="background1"/>
          </w:tcPr>
          <w:p w:rsidR="00B8601C" w:rsidRPr="007F3216" w:rsidP="00B8601C" w14:paraId="75B0A43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P&amp;A projektu skaits un pētījumu finansējuma apjoms RIS3 jomās un prioritātēs</w:t>
            </w:r>
          </w:p>
          <w:p w:rsidR="00B8601C" w:rsidRPr="007F3216" w:rsidP="00B8601C" w14:paraId="14991EB0"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P&amp;A projektos nodarbināto maģistrantu un doktorantu skaits RIS3 jomās un prioritātēs</w:t>
            </w:r>
          </w:p>
          <w:p w:rsidR="00B8601C" w:rsidRPr="007F3216" w:rsidP="00B8601C" w14:paraId="513B02B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uzņēmumu līdzfinansējums P&amp;A projektiem</w:t>
            </w:r>
          </w:p>
          <w:p w:rsidR="00B8601C" w:rsidRPr="007F3216" w:rsidP="00B8601C" w14:paraId="5FE3992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uzņēmumu skaits, kas īsteno  jaunu produktu un tehnoloģiju izstrādes projektus</w:t>
            </w:r>
          </w:p>
          <w:p w:rsidR="00B8601C" w:rsidRPr="007F3216" w:rsidP="00B8601C" w14:paraId="3976ED8B"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jaunradītās darba vietas, t.sk. tās, kurās nodarbināti zinātniskie darbinieki publiskajā sektorā</w:t>
            </w:r>
          </w:p>
          <w:p w:rsidR="00B8601C" w:rsidRPr="007F3216" w:rsidP="00B8601C" w14:paraId="2283C3D1" w14:textId="77777777">
            <w:pPr>
              <w:spacing w:after="0" w:line="240" w:lineRule="auto"/>
              <w:rPr>
                <w:rFonts w:ascii="Candara" w:eastAsia="Candara" w:hAnsi="Candara" w:cs="Candara"/>
                <w:sz w:val="16"/>
                <w:szCs w:val="16"/>
              </w:rPr>
            </w:pPr>
          </w:p>
        </w:tc>
        <w:tc>
          <w:tcPr>
            <w:tcW w:w="2694" w:type="dxa"/>
            <w:shd w:val="clear" w:color="auto" w:fill="FFFFFF" w:themeFill="background1"/>
          </w:tcPr>
          <w:p w:rsidR="00B8601C" w:rsidRPr="007F3216" w:rsidP="00B8601C" w14:paraId="33FBE5FE"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uzņēmumu līdzfinansējums P&amp;A projektiem (2023) - 9,62 MEUR</w:t>
            </w:r>
          </w:p>
          <w:p w:rsidR="00B8601C" w:rsidRPr="007F3216" w:rsidP="00B8601C" w14:paraId="61B31C8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to komersantu skaits, kuri sadarbojas ar pētniecības institūcijām  (2023) - 80</w:t>
            </w:r>
          </w:p>
          <w:p w:rsidR="00B8601C" w:rsidRPr="007F3216" w:rsidP="00B8601C" w14:paraId="2F5A96C0"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jaunu pētnieku skaits atbalstītajās vienībās (PLE)  (2023) - 306</w:t>
            </w:r>
            <w:r>
              <w:rPr>
                <w:rStyle w:val="FootnoteReference"/>
                <w:rFonts w:ascii="Candara" w:eastAsia="Candara" w:hAnsi="Candara" w:cs="Candara"/>
                <w:sz w:val="16"/>
                <w:szCs w:val="16"/>
              </w:rPr>
              <w:footnoteReference w:id="43"/>
            </w:r>
          </w:p>
          <w:p w:rsidR="00B8601C" w:rsidRPr="007F3216" w:rsidP="00B8601C" w14:paraId="41561B91"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ar RIS3 tematiskajām jomām un prioritātēm saistīti zinātniskie raksti, kas publicēti starptautiskās datu bāzēs indeksētos žurnālos (2023) - 192</w:t>
            </w:r>
          </w:p>
          <w:p w:rsidR="00B8601C" w:rsidRPr="007F3216" w:rsidP="00B8601C" w14:paraId="1F6C5F0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ar RIS3 tematiskajām jomām un prioritātēm saistītu jauno produktu un tehnoloģiju skaits, (2023) - 114</w:t>
            </w:r>
          </w:p>
        </w:tc>
        <w:tc>
          <w:tcPr>
            <w:tcW w:w="1701" w:type="dxa"/>
            <w:shd w:val="clear" w:color="auto" w:fill="FFFFFF" w:themeFill="background1"/>
          </w:tcPr>
          <w:p w:rsidR="00B8601C" w:rsidRPr="007F3216" w:rsidP="00B8601C" w14:paraId="1B861863" w14:textId="77777777">
            <w:pPr>
              <w:spacing w:after="0" w:line="240" w:lineRule="auto"/>
              <w:rPr>
                <w:rFonts w:ascii="Candara" w:eastAsia="Candara" w:hAnsi="Candara" w:cs="Candara"/>
                <w:sz w:val="16"/>
                <w:szCs w:val="16"/>
              </w:rPr>
            </w:pPr>
            <w:r>
              <w:rPr>
                <w:rFonts w:ascii="Candara" w:eastAsia="Candara" w:hAnsi="Candara" w:cs="Candara"/>
                <w:sz w:val="16"/>
                <w:szCs w:val="16"/>
              </w:rPr>
              <w:t>1.1.1.1. pasākums “Praktiskas ievirzes pētījumi” (86,14 MEUR)</w:t>
            </w:r>
          </w:p>
        </w:tc>
        <w:tc>
          <w:tcPr>
            <w:tcW w:w="1417" w:type="dxa"/>
            <w:shd w:val="clear" w:color="auto" w:fill="FFFFFF" w:themeFill="background1"/>
          </w:tcPr>
          <w:p w:rsidR="00B8601C" w:rsidRPr="007F3216" w:rsidP="00B8601C" w14:paraId="0262521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 CFLA</w:t>
            </w:r>
          </w:p>
        </w:tc>
        <w:tc>
          <w:tcPr>
            <w:tcW w:w="1276" w:type="dxa"/>
            <w:shd w:val="clear" w:color="auto" w:fill="FFFFFF" w:themeFill="background1"/>
          </w:tcPr>
          <w:p w:rsidR="00B8601C" w:rsidRPr="00600185" w:rsidP="00B8601C" w14:paraId="10F38104"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120B59EE" w14:textId="77777777" w:rsidTr="00D13CD1">
        <w:tblPrEx>
          <w:tblW w:w="14601" w:type="dxa"/>
          <w:tblInd w:w="-147" w:type="dxa"/>
          <w:tblLayout w:type="fixed"/>
          <w:tblLook w:val="0400"/>
        </w:tblPrEx>
        <w:trPr>
          <w:trHeight w:val="2477"/>
        </w:trPr>
        <w:tc>
          <w:tcPr>
            <w:tcW w:w="1985" w:type="dxa"/>
            <w:shd w:val="clear" w:color="auto" w:fill="FFFFFF" w:themeFill="background1"/>
          </w:tcPr>
          <w:p w:rsidR="00B8601C" w:rsidRPr="007F3216" w:rsidP="00B8601C" w14:paraId="3D896ED3" w14:textId="77777777">
            <w:pPr>
              <w:spacing w:after="0" w:line="240" w:lineRule="auto"/>
              <w:ind w:left="360"/>
              <w:rPr>
                <w:rFonts w:ascii="Candara" w:eastAsia="Candara" w:hAnsi="Candara" w:cs="Candara"/>
                <w:sz w:val="16"/>
                <w:szCs w:val="16"/>
              </w:rPr>
            </w:pPr>
            <w:r w:rsidRPr="007F3216">
              <w:rPr>
                <w:rFonts w:ascii="Candara" w:eastAsia="Candara" w:hAnsi="Candara" w:cs="Candara"/>
                <w:sz w:val="16"/>
                <w:szCs w:val="16"/>
              </w:rPr>
              <w:t xml:space="preserve">1.13.a Turpināt CFLA pētījumu atlases komisijas darbu uzlabojot projektu atlases procedūras tā, lai nodrošinātu tādu RIS3 prioritātēm atbilstošu izcilu pētījumu pieteikumu atlasi, kam ir vislielākais potenciāls RIS3 mērķu sasniegšanā </w:t>
            </w:r>
          </w:p>
        </w:tc>
        <w:tc>
          <w:tcPr>
            <w:tcW w:w="2268" w:type="dxa"/>
            <w:shd w:val="clear" w:color="auto" w:fill="FFFFFF" w:themeFill="background1"/>
          </w:tcPr>
          <w:p w:rsidR="00B8601C" w:rsidRPr="007F3216" w:rsidP="00AA7C16" w14:paraId="5C6D6F2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Tiek finansēti tie pētniecības projekti, kuriem ir vislielākais potenciāls nodrošināt RIS3 mērķu sasniegšanai nepieciešamās zināšanas un tehnoloģijas, kā arī attīstīt cilvēkkapitālu RIS3 jomās</w:t>
            </w:r>
          </w:p>
        </w:tc>
        <w:tc>
          <w:tcPr>
            <w:tcW w:w="3260" w:type="dxa"/>
            <w:shd w:val="clear" w:color="auto" w:fill="FFFFFF" w:themeFill="background1"/>
          </w:tcPr>
          <w:p w:rsidR="00B8601C" w:rsidRPr="007F3216" w:rsidP="00B8601C" w14:paraId="6D4E8847"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Pieaudzis projektu kvalitātes un atbilstības RIS3 mērķiem un prioritātēm vidējais novērtējums </w:t>
            </w:r>
          </w:p>
          <w:p w:rsidR="00B8601C" w:rsidRPr="007F3216" w:rsidP="00B8601C" w14:paraId="78CF0CD1" w14:textId="77777777">
            <w:pPr>
              <w:spacing w:after="0" w:line="240" w:lineRule="auto"/>
              <w:rPr>
                <w:rFonts w:ascii="Candara" w:eastAsia="Candara" w:hAnsi="Candara" w:cs="Candara"/>
                <w:sz w:val="16"/>
                <w:szCs w:val="16"/>
              </w:rPr>
            </w:pPr>
          </w:p>
        </w:tc>
        <w:tc>
          <w:tcPr>
            <w:tcW w:w="2694" w:type="dxa"/>
            <w:shd w:val="clear" w:color="auto" w:fill="FFFFFF" w:themeFill="background1"/>
          </w:tcPr>
          <w:p w:rsidR="00B8601C" w:rsidRPr="007F3216" w:rsidP="00B8601C" w14:paraId="3A2BA60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ar RIS3 tematiskajām jomām un prioritātēm saistīti zinātniskie raksti, kas publicēti starptautiskās datu bāzēs indeksētos žurnālos</w:t>
            </w:r>
          </w:p>
          <w:p w:rsidR="00B8601C" w:rsidRPr="007F3216" w:rsidP="00B8601C" w14:paraId="378D87B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P&amp;A projektos iesaistīto maģistrantu un doktorantu skaits</w:t>
            </w:r>
          </w:p>
          <w:p w:rsidR="00B8601C" w:rsidRPr="007F3216" w:rsidP="00B8601C" w14:paraId="4B9BD576"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zinātnisko institūciju licenču/patentu ieņēmumi</w:t>
            </w:r>
          </w:p>
          <w:p w:rsidR="00B8601C" w:rsidRPr="007F3216" w:rsidP="00B8601C" w14:paraId="3458FE3D"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uzņēmumu līdzfinansējums P&amp;A projektiem</w:t>
            </w:r>
          </w:p>
          <w:p w:rsidR="00B8601C" w:rsidRPr="007F3216" w:rsidP="00B8601C" w14:paraId="551E32FD"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uzņēmumu skaits, kas saņēmuši atbalstu, lai ieviestu jaunus produktus un tehnoloģijas</w:t>
            </w:r>
          </w:p>
          <w:p w:rsidR="00B8601C" w:rsidRPr="007F3216" w:rsidP="00B8601C" w14:paraId="02970308"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jaunradītās darba vietas, t.sk. tās, kurās nodarbināti zinātniskie darbinieki publiskajā sektorā</w:t>
            </w:r>
          </w:p>
        </w:tc>
        <w:tc>
          <w:tcPr>
            <w:tcW w:w="1701" w:type="dxa"/>
            <w:shd w:val="clear" w:color="auto" w:fill="FFFFFF" w:themeFill="background1"/>
          </w:tcPr>
          <w:p w:rsidR="00B8601C" w:rsidP="00B8601C" w14:paraId="765C0BB1"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w:t>
            </w:r>
            <w:r w:rsidR="003A4F70">
              <w:rPr>
                <w:rFonts w:ascii="Candara" w:eastAsia="Candara" w:hAnsi="Candara" w:cs="Candara"/>
                <w:sz w:val="16"/>
                <w:szCs w:val="16"/>
              </w:rPr>
              <w:t xml:space="preserve"> budžeta ietvaros</w:t>
            </w:r>
            <w:r w:rsidR="00DB7820">
              <w:rPr>
                <w:rFonts w:ascii="Candara" w:eastAsia="Candara" w:hAnsi="Candara" w:cs="Candara"/>
                <w:sz w:val="16"/>
                <w:szCs w:val="16"/>
              </w:rPr>
              <w:t>,</w:t>
            </w:r>
          </w:p>
          <w:p w:rsidR="00DB7820" w:rsidP="00B8601C" w14:paraId="44397193" w14:textId="77777777">
            <w:pPr>
              <w:spacing w:after="0" w:line="240" w:lineRule="auto"/>
              <w:rPr>
                <w:rFonts w:ascii="Candara" w:eastAsia="Candara" w:hAnsi="Candara" w:cs="Candara"/>
                <w:sz w:val="16"/>
                <w:szCs w:val="16"/>
              </w:rPr>
            </w:pPr>
            <w:r>
              <w:rPr>
                <w:rFonts w:ascii="Candara" w:eastAsia="Candara" w:hAnsi="Candara" w:cs="Candara"/>
                <w:sz w:val="16"/>
                <w:szCs w:val="16"/>
              </w:rPr>
              <w:t>1.1.1.1. pasākums “Praktiskas ievirzes pētījumi” (86,14 MEUR)</w:t>
            </w:r>
          </w:p>
          <w:p w:rsidR="00DB7820" w:rsidRPr="007F3216" w:rsidP="00B8601C" w14:paraId="6AC6F0F0" w14:textId="77777777">
            <w:pPr>
              <w:spacing w:after="0" w:line="240" w:lineRule="auto"/>
              <w:rPr>
                <w:rFonts w:ascii="Candara" w:eastAsia="Candara" w:hAnsi="Candara" w:cs="Candara"/>
                <w:sz w:val="16"/>
                <w:szCs w:val="16"/>
              </w:rPr>
            </w:pPr>
          </w:p>
        </w:tc>
        <w:tc>
          <w:tcPr>
            <w:tcW w:w="1417" w:type="dxa"/>
            <w:shd w:val="clear" w:color="auto" w:fill="FFFFFF" w:themeFill="background1"/>
          </w:tcPr>
          <w:p w:rsidR="00B8601C" w:rsidRPr="007F3216" w:rsidP="00B8601C" w14:paraId="6D160D8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CFLA, IZM</w:t>
            </w:r>
          </w:p>
        </w:tc>
        <w:tc>
          <w:tcPr>
            <w:tcW w:w="1276" w:type="dxa"/>
            <w:shd w:val="clear" w:color="auto" w:fill="FFFFFF" w:themeFill="background1"/>
          </w:tcPr>
          <w:p w:rsidR="00B8601C" w:rsidRPr="00600185" w:rsidP="00B8601C" w14:paraId="021245C5"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6D537D5A"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5885BE41" w14:textId="77777777">
            <w:pPr>
              <w:widowControl w:val="0"/>
              <w:numPr>
                <w:ilvl w:val="1"/>
                <w:numId w:val="35"/>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 xml:space="preserve">Turpināt Pēcdoktorantūras pētījumu programmas īstenošanu  (īstenojot 1. atlases kārtas ietvaros atbalstītos projektus, nodrošinot to </w:t>
            </w:r>
            <w:r w:rsidRPr="00AD423E">
              <w:rPr>
                <w:rFonts w:ascii="Candara" w:eastAsia="Candara" w:hAnsi="Candara" w:cs="Candara"/>
                <w:sz w:val="16"/>
                <w:szCs w:val="16"/>
              </w:rPr>
              <w:t xml:space="preserve">monitoringu un mērķu komunikāciju sabiedrībai,  </w:t>
            </w:r>
            <w:r w:rsidRPr="000D32D6" w:rsidR="00220368">
              <w:rPr>
                <w:rFonts w:ascii="Candara" w:eastAsia="Candara" w:hAnsi="Candara" w:cs="Candara"/>
                <w:sz w:val="16"/>
                <w:szCs w:val="16"/>
              </w:rPr>
              <w:t xml:space="preserve">tostarp </w:t>
            </w:r>
            <w:r w:rsidRPr="000D32D6">
              <w:rPr>
                <w:rFonts w:ascii="Candara" w:eastAsia="Candara" w:hAnsi="Candara" w:cs="Candara"/>
                <w:sz w:val="16"/>
                <w:szCs w:val="16"/>
              </w:rPr>
              <w:t>izsludinot jaunas</w:t>
            </w:r>
            <w:r w:rsidRPr="00AD423E">
              <w:rPr>
                <w:rFonts w:ascii="Candara" w:eastAsia="Candara" w:hAnsi="Candara" w:cs="Candara"/>
                <w:sz w:val="16"/>
                <w:szCs w:val="16"/>
              </w:rPr>
              <w:t xml:space="preserve"> tematiskas projektu pieteikumu atlases kārtas RIS3 jomās</w:t>
            </w:r>
            <w:r w:rsidRPr="00AD423E" w:rsidR="00220368">
              <w:rPr>
                <w:rFonts w:ascii="Candara" w:eastAsia="Candara" w:hAnsi="Candara" w:cs="Candara"/>
                <w:sz w:val="16"/>
                <w:szCs w:val="16"/>
              </w:rPr>
              <w:t xml:space="preserve"> (indikatīvi – ar trešo projektu iesniegumu atlases kārtu)</w:t>
            </w:r>
            <w:r w:rsidRPr="00AD423E">
              <w:rPr>
                <w:rFonts w:ascii="Candara" w:eastAsia="Candara" w:hAnsi="Candara" w:cs="Candara"/>
                <w:sz w:val="16"/>
                <w:szCs w:val="16"/>
              </w:rPr>
              <w:t xml:space="preserve"> un prioritātēs un veicot</w:t>
            </w:r>
            <w:r w:rsidRPr="007F3216">
              <w:rPr>
                <w:rFonts w:ascii="Candara" w:eastAsia="Candara" w:hAnsi="Candara" w:cs="Candara"/>
                <w:sz w:val="16"/>
                <w:szCs w:val="16"/>
              </w:rPr>
              <w:t xml:space="preserve"> pasākumus ārvalstu un diasporas jauno zinātnieku piesaistei </w:t>
            </w:r>
          </w:p>
        </w:tc>
        <w:tc>
          <w:tcPr>
            <w:tcW w:w="2268" w:type="dxa"/>
            <w:shd w:val="clear" w:color="auto" w:fill="FFFFFF" w:themeFill="background1"/>
          </w:tcPr>
          <w:p w:rsidR="00B8601C" w:rsidRPr="007F3216" w:rsidP="00B8601C" w14:paraId="1DE09656"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jaunu pētnieku skaits RIS3, kas iesaistīti pētījumos RIS3 jomās un prioritātes;</w:t>
            </w:r>
          </w:p>
          <w:p w:rsidR="00B8601C" w:rsidRPr="007F3216" w:rsidP="00B8601C" w14:paraId="4BF42919" w14:textId="77777777">
            <w:pPr>
              <w:spacing w:after="0" w:line="240" w:lineRule="auto"/>
              <w:rPr>
                <w:rFonts w:ascii="Candara" w:eastAsia="Candara" w:hAnsi="Candara" w:cs="Candara"/>
                <w:sz w:val="16"/>
                <w:szCs w:val="16"/>
              </w:rPr>
            </w:pPr>
          </w:p>
          <w:p w:rsidR="00B8601C" w:rsidRPr="007F3216" w:rsidP="00B8601C" w14:paraId="70D98556"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no ārvalstīm piesaistīto un reemigrējušo jauno pētnieku skaits;</w:t>
            </w:r>
          </w:p>
          <w:p w:rsidR="00B8601C" w:rsidRPr="007F3216" w:rsidP="00B8601C" w14:paraId="63DD2B9A" w14:textId="77777777">
            <w:pPr>
              <w:spacing w:after="0" w:line="240" w:lineRule="auto"/>
              <w:rPr>
                <w:rFonts w:ascii="Candara" w:eastAsia="Candara" w:hAnsi="Candara" w:cs="Candara"/>
                <w:sz w:val="16"/>
                <w:szCs w:val="16"/>
              </w:rPr>
            </w:pPr>
          </w:p>
          <w:p w:rsidR="00B8601C" w:rsidRPr="007F3216" w:rsidP="00B8601C" w14:paraId="36DE9A6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zinātnisko institūciju piesaistītā privātā sektora investīciju apjoms P&amp;A projektiem;</w:t>
            </w:r>
          </w:p>
          <w:p w:rsidR="00B8601C" w:rsidRPr="007F3216" w:rsidP="00B8601C" w14:paraId="14D6F528" w14:textId="77777777">
            <w:pPr>
              <w:spacing w:after="0" w:line="240" w:lineRule="auto"/>
              <w:rPr>
                <w:rFonts w:ascii="Candara" w:eastAsia="Candara" w:hAnsi="Candara" w:cs="Candara"/>
                <w:sz w:val="16"/>
                <w:szCs w:val="16"/>
              </w:rPr>
            </w:pPr>
          </w:p>
          <w:p w:rsidR="00B8601C" w:rsidRPr="007F3216" w:rsidP="00B8601C" w14:paraId="1587C3CB"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privāto uzņēmumu projektu skaits, ko īsteno, vai kuru īstenošanā piedalās privātie uzņēmumi;</w:t>
            </w:r>
          </w:p>
          <w:p w:rsidR="00B8601C" w:rsidRPr="007F3216" w:rsidP="00B8601C" w14:paraId="146F086F"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Uzlabojusies sabiedrības attieksme un izpratne par pētniecības nozīmi ekonomikā. </w:t>
            </w:r>
          </w:p>
        </w:tc>
        <w:tc>
          <w:tcPr>
            <w:tcW w:w="3260" w:type="dxa"/>
            <w:shd w:val="clear" w:color="auto" w:fill="FFFFFF" w:themeFill="background1"/>
          </w:tcPr>
          <w:p w:rsidR="00B8601C" w:rsidRPr="007F3216" w:rsidP="00B8601C" w14:paraId="02A33AF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Pēcdoktorantūras P&amp;A projektu skaits un pētījumu finansējuma apjoms RIS3 jomās un prioritātēs</w:t>
            </w:r>
            <w:r w:rsidRPr="007F3216">
              <w:rPr>
                <w:rFonts w:ascii="Candara" w:eastAsia="Candara" w:hAnsi="Candara" w:cs="Candara"/>
                <w:sz w:val="16"/>
                <w:szCs w:val="16"/>
              </w:rPr>
              <w:t xml:space="preserve"> </w:t>
            </w:r>
          </w:p>
          <w:p w:rsidR="00B8601C" w:rsidRPr="007F3216" w:rsidP="00B8601C" w14:paraId="4B19780F"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no ārvalstīm piesaistīto un reemigrējušo jauno zinātnieku skaits</w:t>
            </w:r>
          </w:p>
          <w:p w:rsidR="00B8601C" w:rsidRPr="007F3216" w:rsidP="00B8601C" w14:paraId="2B1FB3FD"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uzņēmumu līdzfinansējums P&amp;A projektiem</w:t>
            </w:r>
          </w:p>
          <w:p w:rsidR="00B8601C" w:rsidRPr="007F3216" w:rsidP="00B8601C" w14:paraId="7A48C7E6"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uzņēmumu skaits, kas īsteno  jaunu produktu un tehnoloģiju izstrādes projektus</w:t>
            </w:r>
          </w:p>
          <w:p w:rsidR="00B8601C" w:rsidRPr="007F3216" w:rsidP="00B8601C" w14:paraId="5529BE56"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komunikācijas pasākumu skaits</w:t>
            </w:r>
          </w:p>
        </w:tc>
        <w:tc>
          <w:tcPr>
            <w:tcW w:w="2694" w:type="dxa"/>
            <w:shd w:val="clear" w:color="auto" w:fill="FFFFFF" w:themeFill="background1"/>
          </w:tcPr>
          <w:p w:rsidR="00B8601C" w:rsidRPr="007F3216" w:rsidP="00B8601C" w14:paraId="3D77C5C7" w14:textId="21A5B999">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 jaunu pētnieku skaits atbalstītajās vienībās (PLE)  (2023) - </w:t>
            </w:r>
            <w:r w:rsidRPr="007F3216" w:rsidR="00AD423E">
              <w:rPr>
                <w:rFonts w:ascii="Candara" w:eastAsia="Candara" w:hAnsi="Candara" w:cs="Candara"/>
                <w:sz w:val="16"/>
                <w:szCs w:val="16"/>
              </w:rPr>
              <w:t>3</w:t>
            </w:r>
            <w:r w:rsidR="00AD423E">
              <w:rPr>
                <w:rFonts w:ascii="Candara" w:eastAsia="Candara" w:hAnsi="Candara" w:cs="Candara"/>
                <w:sz w:val="16"/>
                <w:szCs w:val="16"/>
              </w:rPr>
              <w:t>9</w:t>
            </w:r>
            <w:r w:rsidRPr="007F3216" w:rsidR="00AD423E">
              <w:rPr>
                <w:rFonts w:ascii="Candara" w:eastAsia="Candara" w:hAnsi="Candara" w:cs="Candara"/>
                <w:sz w:val="16"/>
                <w:szCs w:val="16"/>
              </w:rPr>
              <w:t>4</w:t>
            </w:r>
            <w:r>
              <w:rPr>
                <w:rStyle w:val="FootnoteReference"/>
                <w:rFonts w:ascii="Candara" w:eastAsia="Candara" w:hAnsi="Candara" w:cs="Candara"/>
                <w:sz w:val="16"/>
                <w:szCs w:val="16"/>
              </w:rPr>
              <w:footnoteReference w:id="44"/>
            </w:r>
          </w:p>
          <w:p w:rsidR="00B8601C" w:rsidRPr="007F3216" w:rsidP="00B8601C" w14:paraId="36EB49A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uzņēmumu līdzfinansējums P&amp;A projektiem (2023) - 3,2 MEUR</w:t>
            </w:r>
          </w:p>
          <w:p w:rsidR="00B8601C" w:rsidRPr="007F3216" w:rsidP="00B8601C" w14:paraId="7B751D6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to komersantu skaits, kuri sadarbojas ar pētniecības institūcijām  (2023) - 100</w:t>
            </w:r>
          </w:p>
          <w:p w:rsidR="00B8601C" w:rsidRPr="007F3216" w:rsidP="00B8601C" w14:paraId="56F6BA4F"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ar RIS3 tematiskajām jomām un prioritātēm saistīti zinātniskie raksti, kas publicēti starptautiskās datu bāzēs indeksētos žurnālos (2023) - 1280</w:t>
            </w:r>
          </w:p>
          <w:p w:rsidR="00B8601C" w:rsidRPr="007F3216" w:rsidP="00B8601C" w14:paraId="52564F20"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jauno produktu un tehnoloģiju skaits, kuru izstrādei ir sniegts atbalsts (2023) - 416</w:t>
            </w:r>
          </w:p>
        </w:tc>
        <w:tc>
          <w:tcPr>
            <w:tcW w:w="1701" w:type="dxa"/>
            <w:shd w:val="clear" w:color="auto" w:fill="FFFFFF" w:themeFill="background1"/>
          </w:tcPr>
          <w:p w:rsidR="00B8601C" w:rsidRPr="007F3216" w:rsidP="00DB7820" w14:paraId="54266414" w14:textId="77777777">
            <w:pPr>
              <w:spacing w:after="0" w:line="240" w:lineRule="auto"/>
              <w:rPr>
                <w:rFonts w:ascii="Candara" w:eastAsia="Candara" w:hAnsi="Candara" w:cs="Candara"/>
                <w:sz w:val="16"/>
                <w:szCs w:val="16"/>
              </w:rPr>
            </w:pPr>
            <w:r>
              <w:rPr>
                <w:rFonts w:ascii="Candara" w:eastAsia="Candara" w:hAnsi="Candara" w:cs="Candara"/>
                <w:sz w:val="16"/>
                <w:szCs w:val="16"/>
              </w:rPr>
              <w:t>1.1.1.2. pasākums “Pēcdoktorantūras pētniecības atbalsts” (64,03 MEUR)*</w:t>
            </w:r>
          </w:p>
        </w:tc>
        <w:tc>
          <w:tcPr>
            <w:tcW w:w="1417" w:type="dxa"/>
            <w:shd w:val="clear" w:color="auto" w:fill="FFFFFF" w:themeFill="background1"/>
          </w:tcPr>
          <w:p w:rsidR="00B8601C" w:rsidRPr="007F3216" w:rsidP="00B8601C" w14:paraId="5FDA2ADB"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 VIAA</w:t>
            </w:r>
          </w:p>
        </w:tc>
        <w:tc>
          <w:tcPr>
            <w:tcW w:w="1276" w:type="dxa"/>
            <w:shd w:val="clear" w:color="auto" w:fill="FFFFFF" w:themeFill="background1"/>
          </w:tcPr>
          <w:p w:rsidR="00B8601C" w:rsidRPr="00600185" w:rsidP="00B8601C" w14:paraId="4FAAFA5C"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07E5285C"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36FCCF0C" w14:textId="77777777">
            <w:pPr>
              <w:spacing w:after="0" w:line="240" w:lineRule="auto"/>
              <w:ind w:left="360"/>
              <w:rPr>
                <w:rFonts w:ascii="Candara" w:eastAsia="Candara" w:hAnsi="Candara" w:cs="Candara"/>
                <w:sz w:val="16"/>
                <w:szCs w:val="16"/>
              </w:rPr>
            </w:pPr>
            <w:r w:rsidRPr="007F3216">
              <w:rPr>
                <w:rFonts w:ascii="Candara" w:eastAsia="Candara" w:hAnsi="Candara" w:cs="Candara"/>
                <w:sz w:val="16"/>
                <w:szCs w:val="16"/>
              </w:rPr>
              <w:t xml:space="preserve">1.14.a Turpināt VIAA pēcdoktorantūras pētījumu atlases </w:t>
            </w:r>
            <w:r w:rsidRPr="007F3216">
              <w:rPr>
                <w:rFonts w:ascii="Candara" w:eastAsia="Candara" w:hAnsi="Candara" w:cs="Candara"/>
                <w:sz w:val="16"/>
                <w:szCs w:val="16"/>
              </w:rPr>
              <w:t xml:space="preserve">komisijas darbu, uzlabojot projektu atlases procedūras tā, lai nodrošinātu tādu RIS3 prioritātēm atbilstošu izcilu pētījumu atlasi, kam ir vislielākais potenciāls programmas un RIS3 mērķu sasniegšanā </w:t>
            </w:r>
          </w:p>
        </w:tc>
        <w:tc>
          <w:tcPr>
            <w:tcW w:w="2268" w:type="dxa"/>
            <w:shd w:val="clear" w:color="auto" w:fill="FFFFFF" w:themeFill="background1"/>
          </w:tcPr>
          <w:p w:rsidR="00B8601C" w:rsidRPr="007F3216" w:rsidP="00B8601C" w14:paraId="1B9FC1D3"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Tiek finansēti RIS3 tie pēcdoktorantūras pētniecības projekti, kuriem ir vislielākais </w:t>
            </w:r>
            <w:r w:rsidRPr="007F3216">
              <w:rPr>
                <w:rFonts w:ascii="Candara" w:eastAsia="Candara" w:hAnsi="Candara" w:cs="Candara"/>
                <w:sz w:val="16"/>
                <w:szCs w:val="16"/>
              </w:rPr>
              <w:t>potenciāls nodrošināt RIS3 mērķu sasniegšanai nepieciešamās zināšanas un tehnoloģijas, kā arī attīstīt cilvēkkapitālu RIS3 jomās</w:t>
            </w:r>
          </w:p>
        </w:tc>
        <w:tc>
          <w:tcPr>
            <w:tcW w:w="3260" w:type="dxa"/>
            <w:shd w:val="clear" w:color="auto" w:fill="FFFFFF" w:themeFill="background1"/>
          </w:tcPr>
          <w:p w:rsidR="00B8601C" w:rsidRPr="007F3216" w:rsidP="00B8601C" w14:paraId="5ADB738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projektu kvalitātes un atbilstības RIS3 mērķiem un prioritātēm vidējais novērtējums</w:t>
            </w:r>
          </w:p>
        </w:tc>
        <w:tc>
          <w:tcPr>
            <w:tcW w:w="2694" w:type="dxa"/>
            <w:shd w:val="clear" w:color="auto" w:fill="FFFFFF" w:themeFill="background1"/>
          </w:tcPr>
          <w:p w:rsidR="00B8601C" w:rsidRPr="007F3216" w:rsidP="00B8601C" w14:paraId="2FECAF08"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Cilvēkkapitāla pieaugums ar RIS3 tematiskajām jomām un prioritātēm </w:t>
            </w:r>
            <w:r w:rsidRPr="007F3216">
              <w:rPr>
                <w:rFonts w:ascii="Candara" w:eastAsia="Candara" w:hAnsi="Candara" w:cs="Candara"/>
                <w:sz w:val="16"/>
                <w:szCs w:val="16"/>
              </w:rPr>
              <w:t>saistītajās pētniecības organizācijās un nozaru uzņēmumos</w:t>
            </w:r>
          </w:p>
        </w:tc>
        <w:tc>
          <w:tcPr>
            <w:tcW w:w="1701" w:type="dxa"/>
            <w:shd w:val="clear" w:color="auto" w:fill="FFFFFF" w:themeFill="background1"/>
          </w:tcPr>
          <w:p w:rsidR="00DB7820" w:rsidP="00DB7820" w14:paraId="26039256"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w:t>
            </w:r>
            <w:r>
              <w:rPr>
                <w:rFonts w:ascii="Candara" w:eastAsia="Candara" w:hAnsi="Candara" w:cs="Candara"/>
                <w:sz w:val="16"/>
                <w:szCs w:val="16"/>
              </w:rPr>
              <w:t xml:space="preserve"> budžeta ietvaros, 1.1.1.2. pasākums “Pēcdoktorantūras </w:t>
            </w:r>
            <w:r>
              <w:rPr>
                <w:rFonts w:ascii="Candara" w:eastAsia="Candara" w:hAnsi="Candara" w:cs="Candara"/>
                <w:sz w:val="16"/>
                <w:szCs w:val="16"/>
              </w:rPr>
              <w:t>pētniecības atbalsts” (64,03 MEUR)*,</w:t>
            </w:r>
          </w:p>
          <w:p w:rsidR="00DB7820" w:rsidP="00DB7820" w14:paraId="7211AB35" w14:textId="77777777">
            <w:pPr>
              <w:spacing w:after="0" w:line="240" w:lineRule="auto"/>
              <w:rPr>
                <w:rFonts w:ascii="Candara" w:eastAsia="Candara" w:hAnsi="Candara" w:cs="Candara"/>
                <w:sz w:val="16"/>
                <w:szCs w:val="16"/>
              </w:rPr>
            </w:pPr>
            <w:r>
              <w:rPr>
                <w:rFonts w:ascii="Candara" w:eastAsia="Candara" w:hAnsi="Candara" w:cs="Candara"/>
                <w:sz w:val="16"/>
                <w:szCs w:val="16"/>
              </w:rPr>
              <w:t>1.1.1.5. pasākums “Atbalsts starptautiskās sadarbības projektiem pētniecībā un inovācijās” (1. atlases kārta, VIAA projekts)</w:t>
            </w:r>
          </w:p>
          <w:p w:rsidR="00B8601C" w:rsidRPr="007F3216" w:rsidP="00B8601C" w14:paraId="2AE1F269" w14:textId="77777777">
            <w:pPr>
              <w:spacing w:after="0" w:line="240" w:lineRule="auto"/>
              <w:rPr>
                <w:rFonts w:ascii="Candara" w:eastAsia="Candara" w:hAnsi="Candara" w:cs="Candara"/>
                <w:sz w:val="16"/>
                <w:szCs w:val="16"/>
              </w:rPr>
            </w:pPr>
          </w:p>
        </w:tc>
        <w:tc>
          <w:tcPr>
            <w:tcW w:w="1417" w:type="dxa"/>
            <w:shd w:val="clear" w:color="auto" w:fill="FFFFFF" w:themeFill="background1"/>
          </w:tcPr>
          <w:p w:rsidR="00B8601C" w:rsidRPr="007F3216" w:rsidP="00B8601C" w14:paraId="391D7E30"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VIAA, IZM</w:t>
            </w:r>
          </w:p>
        </w:tc>
        <w:tc>
          <w:tcPr>
            <w:tcW w:w="1276" w:type="dxa"/>
            <w:shd w:val="clear" w:color="auto" w:fill="FFFFFF" w:themeFill="background1"/>
          </w:tcPr>
          <w:p w:rsidR="00B8601C" w:rsidRPr="00600185" w:rsidP="00B8601C" w14:paraId="3B7EBB53"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0918DEAB"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6ABA1A18" w14:textId="77777777">
            <w:pPr>
              <w:widowControl w:val="0"/>
              <w:numPr>
                <w:ilvl w:val="1"/>
                <w:numId w:val="35"/>
              </w:numPr>
              <w:spacing w:after="0" w:line="240" w:lineRule="auto"/>
              <w:ind w:hanging="360"/>
              <w:rPr>
                <w:rFonts w:ascii="Candara" w:eastAsia="Candara" w:hAnsi="Candara" w:cs="Candara"/>
                <w:sz w:val="16"/>
                <w:szCs w:val="16"/>
              </w:rPr>
            </w:pPr>
            <w:r>
              <w:rPr>
                <w:rFonts w:ascii="Candara" w:eastAsia="Candara" w:hAnsi="Candara" w:cs="Candara"/>
                <w:sz w:val="16"/>
                <w:szCs w:val="16"/>
              </w:rPr>
              <w:t>S</w:t>
            </w:r>
            <w:r w:rsidRPr="007F3216">
              <w:rPr>
                <w:rFonts w:ascii="Candara" w:eastAsia="Candara" w:hAnsi="Candara" w:cs="Candara"/>
                <w:sz w:val="16"/>
                <w:szCs w:val="16"/>
              </w:rPr>
              <w:t>agatavot tematiskus projektu atlases uzsaukum</w:t>
            </w:r>
            <w:r>
              <w:rPr>
                <w:rFonts w:ascii="Candara" w:eastAsia="Candara" w:hAnsi="Candara" w:cs="Candara"/>
                <w:sz w:val="16"/>
                <w:szCs w:val="16"/>
              </w:rPr>
              <w:t>u</w:t>
            </w:r>
            <w:r w:rsidRPr="007F3216">
              <w:rPr>
                <w:rFonts w:ascii="Candara" w:eastAsia="Candara" w:hAnsi="Candara" w:cs="Candara"/>
                <w:sz w:val="16"/>
                <w:szCs w:val="16"/>
              </w:rPr>
              <w:t>s  RS3 jomās un prioritātē</w:t>
            </w:r>
            <w:r>
              <w:rPr>
                <w:rFonts w:ascii="Candara" w:eastAsia="Candara" w:hAnsi="Candara" w:cs="Candara"/>
                <w:sz w:val="16"/>
                <w:szCs w:val="16"/>
              </w:rPr>
              <w:t>s</w:t>
            </w:r>
            <w:r w:rsidRPr="007F3216">
              <w:rPr>
                <w:rFonts w:ascii="Candara" w:eastAsia="Candara" w:hAnsi="Candara" w:cs="Candara"/>
                <w:b/>
                <w:sz w:val="16"/>
                <w:szCs w:val="16"/>
              </w:rPr>
              <w:t xml:space="preserve"> </w:t>
            </w:r>
          </w:p>
        </w:tc>
        <w:tc>
          <w:tcPr>
            <w:tcW w:w="2268" w:type="dxa"/>
            <w:shd w:val="clear" w:color="auto" w:fill="FFFFFF" w:themeFill="background1"/>
          </w:tcPr>
          <w:p w:rsidR="00B8601C" w:rsidRPr="007F3216" w:rsidP="00B8601C" w14:paraId="0087EE1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Sagatavoti tematiski uzsaukumi piecās RIS3 jomās un prioritātēs ar specifiskiem jomas attīstībai vai prioritātes īstenošanai izvirzītiem uzdevumiem;</w:t>
            </w:r>
          </w:p>
          <w:p w:rsidR="00B8601C" w:rsidRPr="007F3216" w:rsidP="00B8601C" w14:paraId="79C52332" w14:textId="77777777">
            <w:pPr>
              <w:spacing w:after="0" w:line="240" w:lineRule="auto"/>
              <w:rPr>
                <w:rFonts w:ascii="Candara" w:eastAsia="Candara" w:hAnsi="Candara" w:cs="Candara"/>
                <w:sz w:val="16"/>
                <w:szCs w:val="16"/>
              </w:rPr>
            </w:pPr>
          </w:p>
        </w:tc>
        <w:tc>
          <w:tcPr>
            <w:tcW w:w="3260" w:type="dxa"/>
            <w:shd w:val="clear" w:color="auto" w:fill="FFFFFF" w:themeFill="background1"/>
          </w:tcPr>
          <w:p w:rsidR="00B8601C" w:rsidRPr="007F3216" w:rsidP="00B8601C" w14:paraId="1AE41C4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Projektu skaits un pētījumu finansējuma apjoms RIS3 jomās un prioritātēs;</w:t>
            </w:r>
          </w:p>
          <w:p w:rsidR="00B8601C" w:rsidRPr="007F3216" w:rsidP="00B8601C" w14:paraId="3C1D3FAF"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No ārvalstīm piesaistīto jauno zinātnieku skaits;</w:t>
            </w:r>
          </w:p>
          <w:p w:rsidR="00B8601C" w:rsidRPr="007F3216" w:rsidP="00B8601C" w14:paraId="4920F46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Jauno zinātnieku skaits, kas ir nodarbināti nozaru uzņēmumos</w:t>
            </w:r>
            <w:r w:rsidRPr="007F3216">
              <w:rPr>
                <w:rFonts w:ascii="Candara" w:eastAsia="Candara" w:hAnsi="Candara" w:cs="Candara"/>
                <w:sz w:val="16"/>
                <w:szCs w:val="16"/>
              </w:rPr>
              <w:t xml:space="preserve"> </w:t>
            </w:r>
          </w:p>
        </w:tc>
        <w:tc>
          <w:tcPr>
            <w:tcW w:w="2694" w:type="dxa"/>
            <w:shd w:val="clear" w:color="auto" w:fill="FFFFFF" w:themeFill="background1"/>
          </w:tcPr>
          <w:p w:rsidR="00B8601C" w:rsidRPr="007F3216" w:rsidP="00B8601C" w14:paraId="104C75AD"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skat. 1.13. un 1.14.</w:t>
            </w:r>
          </w:p>
        </w:tc>
        <w:tc>
          <w:tcPr>
            <w:tcW w:w="1701" w:type="dxa"/>
            <w:shd w:val="clear" w:color="auto" w:fill="FFFFFF" w:themeFill="background1"/>
          </w:tcPr>
          <w:p w:rsidR="00B8601C" w:rsidRPr="007F3216" w:rsidP="00B8601C" w14:paraId="604B1D0D"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w:t>
            </w:r>
            <w:r>
              <w:rPr>
                <w:rFonts w:ascii="Candara" w:eastAsia="Candara" w:hAnsi="Candara" w:cs="Candara"/>
                <w:sz w:val="16"/>
                <w:szCs w:val="16"/>
              </w:rPr>
              <w:t xml:space="preserve"> budžeta ietvaros</w:t>
            </w:r>
          </w:p>
        </w:tc>
        <w:tc>
          <w:tcPr>
            <w:tcW w:w="1417" w:type="dxa"/>
            <w:shd w:val="clear" w:color="auto" w:fill="FFFFFF" w:themeFill="background1"/>
          </w:tcPr>
          <w:p w:rsidR="00B8601C" w:rsidRPr="007F3216" w:rsidP="00B8601C" w14:paraId="3CA66632"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 VIAA</w:t>
            </w:r>
          </w:p>
        </w:tc>
        <w:tc>
          <w:tcPr>
            <w:tcW w:w="1276" w:type="dxa"/>
            <w:shd w:val="clear" w:color="auto" w:fill="FFFFFF" w:themeFill="background1"/>
          </w:tcPr>
          <w:p w:rsidR="00B8601C" w:rsidRPr="00600185" w:rsidP="00B8601C" w14:paraId="56AB6A46" w14:textId="77777777">
            <w:pPr>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5C1B4243"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1A22F46E" w14:textId="77777777">
            <w:pPr>
              <w:widowControl w:val="0"/>
              <w:numPr>
                <w:ilvl w:val="1"/>
                <w:numId w:val="35"/>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 xml:space="preserve">Uzsākt Latvijas dalības starptautiskās P&amp;A sadarbības iniciatīvu programmās (KPI; ERA-NET COFUND) </w:t>
            </w:r>
          </w:p>
        </w:tc>
        <w:tc>
          <w:tcPr>
            <w:tcW w:w="2268" w:type="dxa"/>
            <w:shd w:val="clear" w:color="auto" w:fill="FFFFFF" w:themeFill="background1"/>
          </w:tcPr>
          <w:p w:rsidR="00B8601C" w:rsidRPr="007F3216" w:rsidP="00B8601C" w14:paraId="4A07DD2D"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Kopīgi ar citām ES dalībvalstīm sagatavoti jauni RIS3 mērķiem un prioritātēm atbilstoši projektu uzsaukumi</w:t>
            </w:r>
          </w:p>
        </w:tc>
        <w:tc>
          <w:tcPr>
            <w:tcW w:w="3260" w:type="dxa"/>
            <w:shd w:val="clear" w:color="auto" w:fill="FFFFFF" w:themeFill="background1"/>
          </w:tcPr>
          <w:p w:rsidR="00B8601C" w:rsidRPr="007F3216" w:rsidP="00B8601C" w14:paraId="2ABCF08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KPI programmu skaits</w:t>
            </w:r>
          </w:p>
        </w:tc>
        <w:tc>
          <w:tcPr>
            <w:tcW w:w="2694" w:type="dxa"/>
            <w:shd w:val="clear" w:color="auto" w:fill="FFFFFF" w:themeFill="background1"/>
          </w:tcPr>
          <w:p w:rsidR="00B8601C" w:rsidRPr="007F3216" w:rsidP="00B8601C" w14:paraId="2D65059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no programmas “Apvārsnis 2020” piesaistītais (LV daļa) finansējuma apjoms</w:t>
            </w:r>
            <w:r w:rsidRPr="007F3216">
              <w:rPr>
                <w:rFonts w:ascii="Candara" w:eastAsia="Candara" w:hAnsi="Candara" w:cs="Candara"/>
                <w:sz w:val="16"/>
                <w:szCs w:val="16"/>
              </w:rPr>
              <w:t xml:space="preserve"> </w:t>
            </w:r>
          </w:p>
        </w:tc>
        <w:tc>
          <w:tcPr>
            <w:tcW w:w="1701" w:type="dxa"/>
            <w:shd w:val="clear" w:color="auto" w:fill="FFFFFF" w:themeFill="background1"/>
          </w:tcPr>
          <w:p w:rsidR="00B8601C" w:rsidRPr="007F3216" w:rsidP="00B8601C" w14:paraId="17949726" w14:textId="77777777">
            <w:pPr>
              <w:spacing w:after="0" w:line="240" w:lineRule="auto"/>
              <w:rPr>
                <w:rFonts w:ascii="Candara" w:eastAsia="Candara" w:hAnsi="Candara" w:cs="Candara"/>
                <w:sz w:val="16"/>
                <w:szCs w:val="16"/>
              </w:rPr>
            </w:pPr>
            <w:r>
              <w:rPr>
                <w:rFonts w:ascii="Candara" w:eastAsia="Candara" w:hAnsi="Candara" w:cs="Candara"/>
                <w:sz w:val="16"/>
                <w:szCs w:val="16"/>
              </w:rPr>
              <w:t>1.1.1.5. pasākums “Atbalsts starptautiskās sadarbības projektiem pētniecībā un inovācijās”, 16,64 MEUR (pirmā atlases kārta)*</w:t>
            </w:r>
          </w:p>
        </w:tc>
        <w:tc>
          <w:tcPr>
            <w:tcW w:w="1417" w:type="dxa"/>
            <w:shd w:val="clear" w:color="auto" w:fill="FFFFFF" w:themeFill="background1"/>
          </w:tcPr>
          <w:p w:rsidR="00B8601C" w:rsidRPr="007F3216" w:rsidP="00B8601C" w14:paraId="3A775B1B"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 VIAA</w:t>
            </w:r>
          </w:p>
        </w:tc>
        <w:tc>
          <w:tcPr>
            <w:tcW w:w="1276" w:type="dxa"/>
            <w:shd w:val="clear" w:color="auto" w:fill="FFFFFF" w:themeFill="background1"/>
          </w:tcPr>
          <w:p w:rsidR="00B8601C" w:rsidRPr="00600185" w:rsidP="00B8601C" w14:paraId="0FEEED88"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3F86410E"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1CC9E599" w14:textId="77777777">
            <w:pPr>
              <w:widowControl w:val="0"/>
              <w:numPr>
                <w:ilvl w:val="1"/>
                <w:numId w:val="35"/>
              </w:numPr>
              <w:spacing w:after="0" w:line="240" w:lineRule="auto"/>
              <w:ind w:hanging="360"/>
              <w:rPr>
                <w:rFonts w:ascii="Candara" w:eastAsia="Candara" w:hAnsi="Candara" w:cs="Candara"/>
                <w:b/>
                <w:sz w:val="16"/>
                <w:szCs w:val="16"/>
              </w:rPr>
            </w:pPr>
            <w:r w:rsidRPr="007F3216">
              <w:rPr>
                <w:rFonts w:ascii="Candara" w:eastAsia="Candara" w:hAnsi="Candara" w:cs="Candara"/>
                <w:sz w:val="16"/>
                <w:szCs w:val="16"/>
              </w:rPr>
              <w:t>Uzsākt pētījumu finansēšanu, kas saņēmuši virs kvalitātes sliekšņa novērtējumu programmā “Apvārsnis 2020”, bet ierobežotā pieejamā finansējuma dēļ nav apstiprināti īstenošanai</w:t>
            </w:r>
          </w:p>
        </w:tc>
        <w:tc>
          <w:tcPr>
            <w:tcW w:w="2268" w:type="dxa"/>
            <w:shd w:val="clear" w:color="auto" w:fill="FFFFFF" w:themeFill="background1"/>
          </w:tcPr>
          <w:p w:rsidR="00B8601C" w:rsidRPr="007F3216" w:rsidP="00B8601C" w14:paraId="0879EF9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Programmā “Apvārsnis 2020” virs kvalitātes sliekšņa novērtētu un ERAF atbalstīto projektu pieteikumu skaits </w:t>
            </w:r>
          </w:p>
          <w:p w:rsidR="00B8601C" w:rsidRPr="007F3216" w:rsidP="00B8601C" w14:paraId="48E8E82B" w14:textId="77777777">
            <w:pPr>
              <w:spacing w:after="0" w:line="240" w:lineRule="auto"/>
              <w:rPr>
                <w:rFonts w:ascii="Candara" w:eastAsia="Candara" w:hAnsi="Candara" w:cs="Candara"/>
                <w:sz w:val="16"/>
                <w:szCs w:val="16"/>
              </w:rPr>
            </w:pPr>
          </w:p>
          <w:p w:rsidR="00B8601C" w:rsidRPr="007F3216" w:rsidP="00B8601C" w14:paraId="2A1F8693" w14:textId="77777777">
            <w:pPr>
              <w:spacing w:after="0" w:line="240" w:lineRule="auto"/>
              <w:rPr>
                <w:rFonts w:ascii="Candara" w:eastAsia="Candara" w:hAnsi="Candara" w:cs="Candara"/>
                <w:sz w:val="16"/>
                <w:szCs w:val="16"/>
              </w:rPr>
            </w:pPr>
          </w:p>
        </w:tc>
        <w:tc>
          <w:tcPr>
            <w:tcW w:w="3260" w:type="dxa"/>
            <w:shd w:val="clear" w:color="auto" w:fill="FFFFFF" w:themeFill="background1"/>
          </w:tcPr>
          <w:p w:rsidR="00B8601C" w:rsidRPr="007F3216" w:rsidP="00B8601C" w14:paraId="167A7DC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Programmā “Apvārsnis 2020” virs kvalitātes sliekšņa novērtētu pieteikumu skaits </w:t>
            </w:r>
          </w:p>
          <w:p w:rsidR="00B8601C" w:rsidRPr="007F3216" w:rsidP="00B8601C" w14:paraId="74384D53" w14:textId="77777777">
            <w:pPr>
              <w:spacing w:after="0" w:line="240" w:lineRule="auto"/>
              <w:rPr>
                <w:rFonts w:ascii="Candara" w:eastAsia="Candara" w:hAnsi="Candara" w:cs="Candara"/>
                <w:sz w:val="16"/>
                <w:szCs w:val="16"/>
              </w:rPr>
            </w:pPr>
          </w:p>
        </w:tc>
        <w:tc>
          <w:tcPr>
            <w:tcW w:w="2694" w:type="dxa"/>
            <w:shd w:val="clear" w:color="auto" w:fill="FFFFFF" w:themeFill="background1"/>
          </w:tcPr>
          <w:p w:rsidR="00B8601C" w:rsidRPr="007F3216" w:rsidP="00B8601C" w14:paraId="2EFB6A08"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no programmas “Apvārsnis 2020” piesaistītais (LV daļa) finansējuma apjoms</w:t>
            </w:r>
          </w:p>
        </w:tc>
        <w:tc>
          <w:tcPr>
            <w:tcW w:w="1701" w:type="dxa"/>
            <w:shd w:val="clear" w:color="auto" w:fill="FFFFFF" w:themeFill="background1"/>
          </w:tcPr>
          <w:p w:rsidR="00B8601C" w:rsidRPr="007F3216" w:rsidP="00B3137C" w14:paraId="7E1F7890" w14:textId="77777777">
            <w:pPr>
              <w:spacing w:after="0" w:line="240" w:lineRule="auto"/>
              <w:rPr>
                <w:rFonts w:ascii="Candara" w:eastAsia="Candara" w:hAnsi="Candara" w:cs="Candara"/>
                <w:sz w:val="16"/>
                <w:szCs w:val="16"/>
              </w:rPr>
            </w:pPr>
            <w:r>
              <w:rPr>
                <w:rFonts w:ascii="Candara" w:eastAsia="Candara" w:hAnsi="Candara" w:cs="Candara"/>
                <w:sz w:val="16"/>
                <w:szCs w:val="16"/>
              </w:rPr>
              <w:t>1.1.1.5. pasākums “Atbalsts starptautiskās sadarbības projektiem pētniecībā un inovācijās”, 9,3 MEUR (trešā atlases kārta</w:t>
            </w:r>
          </w:p>
        </w:tc>
        <w:tc>
          <w:tcPr>
            <w:tcW w:w="1417" w:type="dxa"/>
            <w:shd w:val="clear" w:color="auto" w:fill="FFFFFF" w:themeFill="background1"/>
          </w:tcPr>
          <w:p w:rsidR="00B8601C" w:rsidRPr="007F3216" w:rsidP="00B8601C" w14:paraId="18612D57"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 CFLA, VIAA</w:t>
            </w:r>
          </w:p>
        </w:tc>
        <w:tc>
          <w:tcPr>
            <w:tcW w:w="1276" w:type="dxa"/>
            <w:shd w:val="clear" w:color="auto" w:fill="FFFFFF" w:themeFill="background1"/>
          </w:tcPr>
          <w:p w:rsidR="00B8601C" w:rsidRPr="00600185" w:rsidP="00B8601C" w14:paraId="6315345A"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00BFBEEF"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1C7A8031" w14:textId="77777777">
            <w:pPr>
              <w:widowControl w:val="0"/>
              <w:numPr>
                <w:ilvl w:val="1"/>
                <w:numId w:val="35"/>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 xml:space="preserve">Uzsākt  konkurētspējīgāku programmas “Apvārsnis 2020” un 9. Ietvara programmas projektu pieteikumu izstrādes konsultācijas </w:t>
            </w:r>
          </w:p>
        </w:tc>
        <w:tc>
          <w:tcPr>
            <w:tcW w:w="2268" w:type="dxa"/>
            <w:shd w:val="clear" w:color="auto" w:fill="FFFFFF" w:themeFill="background1"/>
          </w:tcPr>
          <w:p w:rsidR="00B8601C" w:rsidRPr="007F3216" w:rsidP="00B8601C" w14:paraId="2294A3EE"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sniegto konsultāciju skaits un paaugstinājusies to kvalitāte un atbilstība zinātnisko institūciju vajadzībām</w:t>
            </w:r>
          </w:p>
        </w:tc>
        <w:tc>
          <w:tcPr>
            <w:tcW w:w="3260" w:type="dxa"/>
            <w:shd w:val="clear" w:color="auto" w:fill="FFFFFF" w:themeFill="background1"/>
          </w:tcPr>
          <w:p w:rsidR="00B8601C" w:rsidRPr="007F3216" w:rsidP="00B8601C" w14:paraId="3B61A9EB"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Iesniegto projektu skaita un apjoma pieaugums Sekmības rādītāja dalībai ES Ietvara programmās pieaugums (virs kvalitātes sliekšņa novērtēto projektu pieteikumu skaits programmā “Apvārsnis 2020” un 9. Ietvara programmā – 543)</w:t>
            </w:r>
          </w:p>
          <w:p w:rsidR="00B8601C" w:rsidRPr="007F3216" w:rsidP="00B8601C" w14:paraId="2CC068A6" w14:textId="77777777">
            <w:pPr>
              <w:spacing w:after="0" w:line="240" w:lineRule="auto"/>
              <w:rPr>
                <w:rFonts w:ascii="Candara" w:eastAsia="Candara" w:hAnsi="Candara" w:cs="Candara"/>
                <w:sz w:val="16"/>
                <w:szCs w:val="16"/>
              </w:rPr>
            </w:pPr>
          </w:p>
        </w:tc>
        <w:tc>
          <w:tcPr>
            <w:tcW w:w="2694" w:type="dxa"/>
            <w:shd w:val="clear" w:color="auto" w:fill="FFFFFF" w:themeFill="background1"/>
          </w:tcPr>
          <w:p w:rsidR="00B8601C" w:rsidRPr="007F3216" w:rsidP="00B8601C" w14:paraId="6C7B7EB2"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no programmas “Apvārsnis 2020” piesaistītais (LV daļa) finansējuma apjoms</w:t>
            </w:r>
          </w:p>
        </w:tc>
        <w:tc>
          <w:tcPr>
            <w:tcW w:w="1701" w:type="dxa"/>
            <w:shd w:val="clear" w:color="auto" w:fill="FFFFFF" w:themeFill="background1"/>
          </w:tcPr>
          <w:p w:rsidR="00B8601C" w:rsidRPr="007F3216" w:rsidP="00B8601C" w14:paraId="58B85D10" w14:textId="77777777">
            <w:pPr>
              <w:spacing w:after="0" w:line="240" w:lineRule="auto"/>
              <w:rPr>
                <w:rFonts w:ascii="Candara" w:eastAsia="Candara" w:hAnsi="Candara" w:cs="Candara"/>
                <w:sz w:val="16"/>
                <w:szCs w:val="16"/>
              </w:rPr>
            </w:pPr>
            <w:r>
              <w:rPr>
                <w:rFonts w:ascii="Candara" w:eastAsia="Candara" w:hAnsi="Candara" w:cs="Candara"/>
                <w:sz w:val="16"/>
                <w:szCs w:val="16"/>
              </w:rPr>
              <w:t>1.1.1.5. pasākums “Atbalsts starptautiskās sadarbības projektiem pētniecībā un inovācijās”, 5,83 MEUR (pirmā atlases kārta, VIAA projekts)*</w:t>
            </w:r>
          </w:p>
        </w:tc>
        <w:tc>
          <w:tcPr>
            <w:tcW w:w="1417" w:type="dxa"/>
            <w:shd w:val="clear" w:color="auto" w:fill="FFFFFF" w:themeFill="background1"/>
          </w:tcPr>
          <w:p w:rsidR="00B8601C" w:rsidRPr="007F3216" w:rsidP="00B8601C" w14:paraId="33D705F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IZM, VIAA</w:t>
            </w:r>
          </w:p>
        </w:tc>
        <w:tc>
          <w:tcPr>
            <w:tcW w:w="1276" w:type="dxa"/>
            <w:shd w:val="clear" w:color="auto" w:fill="FFFFFF" w:themeFill="background1"/>
          </w:tcPr>
          <w:p w:rsidR="00B8601C" w:rsidRPr="00600185" w:rsidP="00B8601C" w14:paraId="5B0C44FF"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18C14DA9"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570C9790" w14:textId="77777777">
            <w:pPr>
              <w:widowControl w:val="0"/>
              <w:numPr>
                <w:ilvl w:val="1"/>
                <w:numId w:val="35"/>
              </w:numPr>
              <w:spacing w:after="0" w:line="240" w:lineRule="auto"/>
              <w:ind w:hanging="360"/>
              <w:rPr>
                <w:rFonts w:ascii="Candara" w:eastAsia="Candara" w:hAnsi="Candara" w:cs="Candara"/>
                <w:sz w:val="16"/>
                <w:szCs w:val="16"/>
              </w:rPr>
            </w:pPr>
            <w:r w:rsidRPr="007F3216">
              <w:rPr>
                <w:rFonts w:ascii="Candara" w:eastAsia="Candara" w:hAnsi="Candara" w:cs="Candara"/>
                <w:sz w:val="16"/>
                <w:szCs w:val="16"/>
              </w:rPr>
              <w:t xml:space="preserve">Uzsākt Latvijas zinātnes komunikācijas kampaņu </w:t>
            </w:r>
          </w:p>
        </w:tc>
        <w:tc>
          <w:tcPr>
            <w:tcW w:w="2268" w:type="dxa"/>
            <w:shd w:val="clear" w:color="auto" w:fill="FFFFFF" w:themeFill="background1"/>
          </w:tcPr>
          <w:p w:rsidR="00B8601C" w:rsidRPr="007F3216" w:rsidP="00B8601C" w14:paraId="191F46C2"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Tiek īstenota zinātnes komunikācijas kampaņa iesaistot Latvijas diasporas pētniekus un uzņēmējus </w:t>
            </w:r>
          </w:p>
        </w:tc>
        <w:tc>
          <w:tcPr>
            <w:tcW w:w="3260" w:type="dxa"/>
            <w:shd w:val="clear" w:color="auto" w:fill="FFFFFF" w:themeFill="background1"/>
          </w:tcPr>
          <w:p w:rsidR="00B8601C" w:rsidRPr="007F3216" w:rsidP="00B8601C" w14:paraId="5FEA3E71"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Sadarbības tīklu plašuma un apjoma pieaugums</w:t>
            </w:r>
          </w:p>
          <w:p w:rsidR="00B8601C" w:rsidRPr="007F3216" w:rsidP="00B8601C" w14:paraId="386A573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Starptautiskās sadarbības apjoma pieaugums</w:t>
            </w:r>
          </w:p>
        </w:tc>
        <w:tc>
          <w:tcPr>
            <w:tcW w:w="2694" w:type="dxa"/>
            <w:shd w:val="clear" w:color="auto" w:fill="FFFFFF" w:themeFill="background1"/>
          </w:tcPr>
          <w:p w:rsidR="00B8601C" w:rsidRPr="007F3216" w:rsidP="00B8601C" w14:paraId="62A06425" w14:textId="77777777">
            <w:pPr>
              <w:widowControl w:val="0"/>
              <w:spacing w:after="0" w:line="240" w:lineRule="auto"/>
              <w:contextualSpacing/>
              <w:rPr>
                <w:rFonts w:ascii="Candara" w:eastAsia="Candara" w:hAnsi="Candara" w:cs="Candara"/>
                <w:sz w:val="16"/>
                <w:szCs w:val="16"/>
              </w:rPr>
            </w:pPr>
            <w:r w:rsidRPr="007F3216">
              <w:rPr>
                <w:rFonts w:ascii="Candara" w:eastAsia="Candara" w:hAnsi="Candara" w:cs="Candara"/>
                <w:sz w:val="16"/>
                <w:szCs w:val="16"/>
              </w:rPr>
              <w:t>Pieaudzis zinātniskajās institūcijās īstenotais kopējais P&amp;A apjoms</w:t>
            </w:r>
          </w:p>
          <w:p w:rsidR="00B8601C" w:rsidRPr="007F3216" w:rsidP="00B8601C" w14:paraId="3E2EBBC1"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no programmas “Apvārsnis 2020” piesaistītais (LV daļa) finansējuma apjoms</w:t>
            </w:r>
          </w:p>
        </w:tc>
        <w:tc>
          <w:tcPr>
            <w:tcW w:w="1701" w:type="dxa"/>
            <w:shd w:val="clear" w:color="auto" w:fill="FFFFFF" w:themeFill="background1"/>
          </w:tcPr>
          <w:p w:rsidR="00B8601C" w:rsidRPr="007F3216" w:rsidP="00B3137C" w14:paraId="21E5AC90" w14:textId="77777777">
            <w:pPr>
              <w:widowControl w:val="0"/>
              <w:spacing w:after="0" w:line="240" w:lineRule="auto"/>
              <w:contextualSpacing/>
              <w:rPr>
                <w:rFonts w:ascii="Candara" w:eastAsia="Candara" w:hAnsi="Candara" w:cs="Candara"/>
                <w:sz w:val="16"/>
                <w:szCs w:val="16"/>
              </w:rPr>
            </w:pPr>
            <w:r>
              <w:rPr>
                <w:rFonts w:ascii="Candara" w:eastAsia="Candara" w:hAnsi="Candara" w:cs="Candara"/>
                <w:sz w:val="16"/>
                <w:szCs w:val="16"/>
              </w:rPr>
              <w:t>1.1.1.5. pasākums “Atbalsts starptautiskās sadarbības projektiem pētniecībā un inovācijās”, 10,81 MEUR (pirmā atlases kārta, IZM projekts)*</w:t>
            </w:r>
          </w:p>
        </w:tc>
        <w:tc>
          <w:tcPr>
            <w:tcW w:w="1417" w:type="dxa"/>
            <w:shd w:val="clear" w:color="auto" w:fill="FFFFFF" w:themeFill="background1"/>
          </w:tcPr>
          <w:p w:rsidR="00B8601C" w:rsidRPr="007F3216" w:rsidP="00B8601C" w14:paraId="0319D4CD" w14:textId="77777777">
            <w:pPr>
              <w:widowControl w:val="0"/>
              <w:spacing w:after="0" w:line="240" w:lineRule="auto"/>
              <w:contextualSpacing/>
              <w:rPr>
                <w:rFonts w:ascii="Candara" w:eastAsia="Candara" w:hAnsi="Candara" w:cs="Candara"/>
                <w:sz w:val="16"/>
                <w:szCs w:val="16"/>
              </w:rPr>
            </w:pPr>
            <w:r w:rsidRPr="007F3216">
              <w:rPr>
                <w:rFonts w:ascii="Candara" w:eastAsia="Candara" w:hAnsi="Candara" w:cs="Candara"/>
                <w:sz w:val="16"/>
                <w:szCs w:val="16"/>
              </w:rPr>
              <w:t>IZM, LIAA</w:t>
            </w:r>
          </w:p>
        </w:tc>
        <w:tc>
          <w:tcPr>
            <w:tcW w:w="1276" w:type="dxa"/>
            <w:shd w:val="clear" w:color="auto" w:fill="FFFFFF" w:themeFill="background1"/>
          </w:tcPr>
          <w:p w:rsidR="00B8601C" w:rsidRPr="00600185" w:rsidP="00B8601C" w14:paraId="110570B3" w14:textId="77777777">
            <w:pPr>
              <w:widowControl w:val="0"/>
              <w:spacing w:after="0" w:line="240" w:lineRule="auto"/>
              <w:contextualSpacing/>
              <w:rPr>
                <w:rFonts w:ascii="Candara" w:eastAsia="Candara" w:hAnsi="Candara" w:cs="Candara"/>
                <w:sz w:val="16"/>
                <w:szCs w:val="16"/>
              </w:rPr>
            </w:pPr>
            <w:r>
              <w:rPr>
                <w:rFonts w:ascii="Candara" w:eastAsia="Candara" w:hAnsi="Candara" w:cs="Candara"/>
                <w:sz w:val="16"/>
                <w:szCs w:val="16"/>
              </w:rPr>
              <w:t>2023</w:t>
            </w:r>
          </w:p>
        </w:tc>
      </w:tr>
      <w:tr w14:paraId="38201FB6" w14:textId="77777777" w:rsidTr="00D13CD1">
        <w:tblPrEx>
          <w:tblW w:w="14601" w:type="dxa"/>
          <w:tblInd w:w="-147" w:type="dxa"/>
          <w:tblLayout w:type="fixed"/>
          <w:tblLook w:val="0400"/>
        </w:tblPrEx>
        <w:trPr>
          <w:trHeight w:val="360"/>
        </w:trPr>
        <w:tc>
          <w:tcPr>
            <w:tcW w:w="1985" w:type="dxa"/>
            <w:shd w:val="clear" w:color="auto" w:fill="FFFFFF" w:themeFill="background1"/>
          </w:tcPr>
          <w:p w:rsidR="00B8601C" w:rsidRPr="007F3216" w:rsidP="00B8601C" w14:paraId="4ACD1393" w14:textId="77777777">
            <w:pPr>
              <w:widowControl w:val="0"/>
              <w:numPr>
                <w:ilvl w:val="1"/>
                <w:numId w:val="35"/>
              </w:numPr>
              <w:spacing w:after="0" w:line="240" w:lineRule="auto"/>
              <w:ind w:hanging="360"/>
              <w:rPr>
                <w:rFonts w:ascii="Candara" w:eastAsia="Candara" w:hAnsi="Candara" w:cs="Candara"/>
                <w:b/>
                <w:sz w:val="16"/>
                <w:szCs w:val="16"/>
              </w:rPr>
            </w:pPr>
            <w:r w:rsidRPr="007F3216">
              <w:rPr>
                <w:rFonts w:ascii="Candara" w:eastAsia="Candara" w:hAnsi="Candara" w:cs="Candara"/>
                <w:sz w:val="16"/>
                <w:szCs w:val="16"/>
              </w:rPr>
              <w:t xml:space="preserve">Turpināt īstenot P&amp;A infrastruktūras attīstības projektus un stiprināt zinātnisko institūciju institucionālo kapacitāti </w:t>
            </w:r>
          </w:p>
        </w:tc>
        <w:tc>
          <w:tcPr>
            <w:tcW w:w="2268" w:type="dxa"/>
            <w:shd w:val="clear" w:color="auto" w:fill="FFFFFF" w:themeFill="background1"/>
          </w:tcPr>
          <w:p w:rsidR="00B8601C" w:rsidRPr="007F3216" w:rsidP="00B8601C" w14:paraId="3874DDAC"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Notiek Latvijas vadošo zinātnisko institūciju attīstības stratēģiju īstenošanas monitorings </w:t>
            </w:r>
          </w:p>
        </w:tc>
        <w:tc>
          <w:tcPr>
            <w:tcW w:w="3260" w:type="dxa"/>
            <w:shd w:val="clear" w:color="auto" w:fill="FFFFFF" w:themeFill="background1"/>
          </w:tcPr>
          <w:p w:rsidR="00B8601C" w:rsidRPr="007F3216" w:rsidP="00B8601C" w14:paraId="7668DF35"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Pētnieku (vadošo pētnieku, pētnieku, zinātnisko asistentu un zinātnes tehniskā personāla) skaits, kuri strādā uzlabotos infrastruktūras objektos – 2020.gadā 2163</w:t>
            </w:r>
          </w:p>
          <w:p w:rsidR="00B8601C" w:rsidRPr="007F3216" w:rsidP="00B8601C" w14:paraId="3047D84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Zinātnisko institūciju īstenoto P&amp;A projektu kopējā apjoma pieaugums; </w:t>
            </w:r>
          </w:p>
          <w:p w:rsidR="00B8601C" w:rsidRPr="007F3216" w:rsidP="00B8601C" w14:paraId="4F412EE0"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Nozaru uzņēmumu P&amp;A pasūtījuma pieaugums;</w:t>
            </w:r>
          </w:p>
          <w:p w:rsidR="00B8601C" w:rsidRPr="007F3216" w:rsidP="00B8601C" w14:paraId="12B036B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Atvērtās P&amp;A infrastruktūras izmantošanas apjoma pieaugums;</w:t>
            </w:r>
          </w:p>
          <w:p w:rsidR="00B8601C" w:rsidRPr="007F3216" w:rsidP="00B8601C" w14:paraId="0D30078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No starptautiskiem avotiem finansēto P&amp;A projektu apjoma pieaugums;</w:t>
            </w:r>
          </w:p>
          <w:p w:rsidR="00B8601C" w:rsidRPr="007F3216" w:rsidP="00B8601C" w14:paraId="069DF2AE"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Starptautiskās sadarbības apjoma pieaugums</w:t>
            </w:r>
          </w:p>
        </w:tc>
        <w:tc>
          <w:tcPr>
            <w:tcW w:w="2694" w:type="dxa"/>
            <w:shd w:val="clear" w:color="auto" w:fill="FFFFFF" w:themeFill="background1"/>
          </w:tcPr>
          <w:p w:rsidR="00B8601C" w:rsidRPr="007F3216" w:rsidP="00B8601C" w14:paraId="7473C3DE" w14:textId="77777777">
            <w:pPr>
              <w:widowControl w:val="0"/>
              <w:spacing w:after="0" w:line="240" w:lineRule="auto"/>
              <w:contextualSpacing/>
              <w:rPr>
                <w:rFonts w:ascii="Candara" w:eastAsia="Candara" w:hAnsi="Candara" w:cs="Candara"/>
                <w:sz w:val="16"/>
                <w:szCs w:val="16"/>
              </w:rPr>
            </w:pPr>
            <w:r w:rsidRPr="007F3216">
              <w:rPr>
                <w:rFonts w:ascii="Candara" w:eastAsia="Candara" w:hAnsi="Candara" w:cs="Candara"/>
                <w:sz w:val="16"/>
                <w:szCs w:val="16"/>
              </w:rPr>
              <w:t>Pieaudzis zinātniskajās institūcijās īstenotais kopējais P&amp;A apjoms</w:t>
            </w:r>
          </w:p>
          <w:p w:rsidR="00B8601C" w:rsidRPr="007F3216" w:rsidP="00B8601C" w14:paraId="182E0081" w14:textId="77777777">
            <w:pPr>
              <w:widowControl w:val="0"/>
              <w:spacing w:after="0" w:line="240" w:lineRule="auto"/>
              <w:contextualSpacing/>
              <w:rPr>
                <w:rFonts w:ascii="Candara" w:eastAsia="Candara" w:hAnsi="Candara" w:cs="Candara"/>
                <w:sz w:val="16"/>
                <w:szCs w:val="16"/>
              </w:rPr>
            </w:pPr>
          </w:p>
          <w:p w:rsidR="00B8601C" w:rsidRPr="007F3216" w:rsidP="00B8601C" w14:paraId="37D61B39" w14:textId="77777777">
            <w:pPr>
              <w:widowControl w:val="0"/>
              <w:spacing w:after="0" w:line="240" w:lineRule="auto"/>
              <w:contextualSpacing/>
              <w:rPr>
                <w:rFonts w:ascii="Candara" w:eastAsia="Candara" w:hAnsi="Candara" w:cs="Candara"/>
                <w:sz w:val="16"/>
                <w:szCs w:val="16"/>
              </w:rPr>
            </w:pPr>
            <w:r w:rsidRPr="007F3216">
              <w:rPr>
                <w:rFonts w:ascii="Candara" w:eastAsia="Candara" w:hAnsi="Candara" w:cs="Candara"/>
                <w:sz w:val="16"/>
                <w:szCs w:val="16"/>
              </w:rPr>
              <w:t>Pieaudzis no programmas “Apvārsnis 2020” piesaistītais (LV daļa) finansējuma apjoms</w:t>
            </w:r>
            <w:r w:rsidRPr="007F3216">
              <w:rPr>
                <w:rFonts w:ascii="Candara" w:eastAsia="Candara" w:hAnsi="Candara" w:cs="Candara"/>
                <w:sz w:val="16"/>
                <w:szCs w:val="16"/>
              </w:rPr>
              <w:t xml:space="preserve"> </w:t>
            </w:r>
          </w:p>
        </w:tc>
        <w:tc>
          <w:tcPr>
            <w:tcW w:w="1701" w:type="dxa"/>
            <w:shd w:val="clear" w:color="auto" w:fill="FFFFFF" w:themeFill="background1"/>
          </w:tcPr>
          <w:p w:rsidR="00B8601C" w:rsidRPr="007F3216" w:rsidP="00B8601C" w14:paraId="2BDF22B0" w14:textId="77777777">
            <w:pPr>
              <w:widowControl w:val="0"/>
              <w:spacing w:after="0" w:line="240" w:lineRule="auto"/>
              <w:contextualSpacing/>
              <w:rPr>
                <w:rFonts w:ascii="Candara" w:eastAsia="Candara" w:hAnsi="Candara" w:cs="Candara"/>
                <w:sz w:val="16"/>
                <w:szCs w:val="16"/>
              </w:rPr>
            </w:pPr>
            <w:r>
              <w:rPr>
                <w:rFonts w:ascii="Candara" w:eastAsia="Candara" w:hAnsi="Candara" w:cs="Candara"/>
                <w:sz w:val="16"/>
                <w:szCs w:val="16"/>
              </w:rPr>
              <w:t>1.1.1.4. pasākums “</w:t>
            </w:r>
            <w:r w:rsidR="00214E4F">
              <w:rPr>
                <w:rFonts w:ascii="Candara" w:eastAsia="Candara" w:hAnsi="Candara" w:cs="Candara"/>
                <w:sz w:val="16"/>
                <w:szCs w:val="16"/>
              </w:rPr>
              <w:t>P&amp;A infrastruktūras attīstīšana viedās specializācijas jomās un zinātnisko institūciju institucionālās kapacitātes stiprināšana</w:t>
            </w:r>
            <w:r>
              <w:rPr>
                <w:rFonts w:ascii="Candara" w:eastAsia="Candara" w:hAnsi="Candara" w:cs="Candara"/>
                <w:sz w:val="16"/>
                <w:szCs w:val="16"/>
              </w:rPr>
              <w:t>”</w:t>
            </w:r>
            <w:r w:rsidR="00214E4F">
              <w:rPr>
                <w:rFonts w:ascii="Candara" w:eastAsia="Candara" w:hAnsi="Candara" w:cs="Candara"/>
                <w:sz w:val="16"/>
                <w:szCs w:val="16"/>
              </w:rPr>
              <w:t>, 120,25 MEUR</w:t>
            </w:r>
          </w:p>
        </w:tc>
        <w:tc>
          <w:tcPr>
            <w:tcW w:w="1417" w:type="dxa"/>
            <w:shd w:val="clear" w:color="auto" w:fill="FFFFFF" w:themeFill="background1"/>
          </w:tcPr>
          <w:p w:rsidR="00B8601C" w:rsidRPr="007F3216" w:rsidP="00B8601C" w14:paraId="2A4290A2" w14:textId="77777777">
            <w:pPr>
              <w:widowControl w:val="0"/>
              <w:spacing w:after="0" w:line="240" w:lineRule="auto"/>
              <w:contextualSpacing/>
              <w:rPr>
                <w:rFonts w:ascii="Candara" w:eastAsia="Candara" w:hAnsi="Candara" w:cs="Candara"/>
                <w:sz w:val="16"/>
                <w:szCs w:val="16"/>
              </w:rPr>
            </w:pPr>
            <w:r w:rsidRPr="007F3216">
              <w:rPr>
                <w:rFonts w:ascii="Candara" w:eastAsia="Candara" w:hAnsi="Candara" w:cs="Candara"/>
                <w:sz w:val="16"/>
                <w:szCs w:val="16"/>
              </w:rPr>
              <w:t>IZM</w:t>
            </w:r>
          </w:p>
        </w:tc>
        <w:tc>
          <w:tcPr>
            <w:tcW w:w="1276" w:type="dxa"/>
            <w:shd w:val="clear" w:color="auto" w:fill="FFFFFF" w:themeFill="background1"/>
          </w:tcPr>
          <w:p w:rsidR="00B8601C" w:rsidRPr="00600185" w:rsidP="00B8601C" w14:paraId="56B35065" w14:textId="77777777">
            <w:pPr>
              <w:widowControl w:val="0"/>
              <w:spacing w:after="0" w:line="240" w:lineRule="auto"/>
              <w:contextualSpacing/>
              <w:rPr>
                <w:rFonts w:ascii="Candara" w:eastAsia="Candara" w:hAnsi="Candara" w:cs="Candara"/>
                <w:sz w:val="16"/>
                <w:szCs w:val="16"/>
              </w:rPr>
            </w:pPr>
            <w:r>
              <w:rPr>
                <w:rFonts w:ascii="Candara" w:eastAsia="Candara" w:hAnsi="Candara" w:cs="Candara"/>
                <w:sz w:val="16"/>
                <w:szCs w:val="16"/>
              </w:rPr>
              <w:t>2023</w:t>
            </w:r>
          </w:p>
        </w:tc>
      </w:tr>
      <w:tr w14:paraId="7EB71E98" w14:textId="77777777" w:rsidTr="00D13CD1">
        <w:tblPrEx>
          <w:tblW w:w="14601" w:type="dxa"/>
          <w:tblInd w:w="-147" w:type="dxa"/>
          <w:tblLayout w:type="fixed"/>
          <w:tblLook w:val="0400"/>
        </w:tblPrEx>
        <w:trPr>
          <w:trHeight w:val="2545"/>
        </w:trPr>
        <w:tc>
          <w:tcPr>
            <w:tcW w:w="1985" w:type="dxa"/>
            <w:shd w:val="clear" w:color="auto" w:fill="FFFFFF" w:themeFill="background1"/>
          </w:tcPr>
          <w:p w:rsidR="00B8601C" w:rsidRPr="007F3216" w:rsidP="00B8601C" w14:paraId="436D6DF9" w14:textId="77777777">
            <w:pPr>
              <w:widowControl w:val="0"/>
              <w:numPr>
                <w:ilvl w:val="1"/>
                <w:numId w:val="35"/>
              </w:numPr>
              <w:spacing w:after="0" w:line="240" w:lineRule="auto"/>
              <w:ind w:hanging="360"/>
              <w:rPr>
                <w:rFonts w:ascii="Candara" w:eastAsia="Candara" w:hAnsi="Candara" w:cs="Candara"/>
                <w:b/>
                <w:sz w:val="16"/>
                <w:szCs w:val="16"/>
              </w:rPr>
            </w:pPr>
            <w:r w:rsidRPr="007F3216">
              <w:rPr>
                <w:rFonts w:ascii="Candara" w:eastAsia="Candara" w:hAnsi="Candara" w:cs="Candara"/>
                <w:sz w:val="16"/>
                <w:szCs w:val="16"/>
              </w:rPr>
              <w:t>Uzsākt studentu inovāciju grantu programmu,  praktisku nozares un sabiedrības problēmu risināšanai  un nozaru uzņēmumu un mecenātu iesaistei inovāciju cilvēkkapitāla attīstībā</w:t>
            </w:r>
          </w:p>
        </w:tc>
        <w:tc>
          <w:tcPr>
            <w:tcW w:w="2268" w:type="dxa"/>
            <w:shd w:val="clear" w:color="auto" w:fill="FFFFFF" w:themeFill="background1"/>
          </w:tcPr>
          <w:p w:rsidR="00B8601C" w:rsidRPr="007F3216" w:rsidP="00B8601C" w14:paraId="5820AFAA"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Latvijas augstskolās ir izveidoti inovāciju fondi un uzsākta nozaru uzņēmumu un mecenātu līdzfinansētas programmas, kas vērstas uz absolventu ar  inovāciju kompetenci  un uzņēmējspējām</w:t>
            </w:r>
            <w:r w:rsidR="00214E4F">
              <w:rPr>
                <w:rFonts w:ascii="Candara" w:eastAsia="Candara" w:hAnsi="Candara" w:cs="Candara"/>
                <w:sz w:val="16"/>
                <w:szCs w:val="16"/>
              </w:rPr>
              <w:t>.</w:t>
            </w:r>
          </w:p>
          <w:p w:rsidR="00B8601C" w:rsidRPr="007F3216" w:rsidP="00B8601C" w14:paraId="78FFEE2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Pieaudzis uzņēmumu un mecenātu ieguldījums augstskolu inovāciju fondos</w:t>
            </w:r>
          </w:p>
        </w:tc>
        <w:tc>
          <w:tcPr>
            <w:tcW w:w="3260" w:type="dxa"/>
            <w:shd w:val="clear" w:color="auto" w:fill="FFFFFF" w:themeFill="background1"/>
          </w:tcPr>
          <w:p w:rsidR="00B8601C" w:rsidRPr="007F3216" w:rsidP="00B8601C" w14:paraId="0D60A032"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Uzņēmumu un mecenātu iemaksu augstskolu inovāciju fondos pieaugums -</w:t>
            </w:r>
          </w:p>
          <w:p w:rsidR="00B8601C" w:rsidRPr="007F3216" w:rsidP="00B8601C" w14:paraId="4EEE5709"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2020.gadā:</w:t>
            </w:r>
          </w:p>
          <w:p w:rsidR="00B8601C" w:rsidRPr="007F3216" w:rsidP="00B8601C" w14:paraId="288DC8F1" w14:textId="0FC2FAB8">
            <w:pPr>
              <w:spacing w:after="0" w:line="240" w:lineRule="auto"/>
              <w:rPr>
                <w:rFonts w:ascii="Candara" w:eastAsia="Candara" w:hAnsi="Candara" w:cs="Candara"/>
                <w:sz w:val="16"/>
                <w:szCs w:val="16"/>
              </w:rPr>
            </w:pPr>
            <w:r w:rsidRPr="007F3216">
              <w:rPr>
                <w:rFonts w:ascii="Candara" w:eastAsia="Candara" w:hAnsi="Candara" w:cs="Candara"/>
                <w:sz w:val="16"/>
                <w:szCs w:val="16"/>
              </w:rPr>
              <w:t xml:space="preserve">- uzņēmumu līdzfinansējums P&amp;A projektiem (2023) </w:t>
            </w:r>
            <w:r w:rsidR="00AD423E">
              <w:rPr>
                <w:rFonts w:ascii="Candara" w:eastAsia="Candara" w:hAnsi="Candara" w:cs="Candara"/>
                <w:sz w:val="16"/>
                <w:szCs w:val="16"/>
              </w:rPr>
              <w:t>–</w:t>
            </w:r>
            <w:r w:rsidRPr="007F3216">
              <w:rPr>
                <w:rFonts w:ascii="Candara" w:eastAsia="Candara" w:hAnsi="Candara" w:cs="Candara"/>
                <w:sz w:val="16"/>
                <w:szCs w:val="16"/>
              </w:rPr>
              <w:t xml:space="preserve"> </w:t>
            </w:r>
            <w:r w:rsidR="00AD423E">
              <w:rPr>
                <w:rFonts w:ascii="Candara" w:eastAsia="Candara" w:hAnsi="Candara" w:cs="Candara"/>
                <w:sz w:val="16"/>
                <w:szCs w:val="16"/>
              </w:rPr>
              <w:t>6,0</w:t>
            </w:r>
            <w:r w:rsidRPr="007F3216">
              <w:rPr>
                <w:rFonts w:ascii="Candara" w:eastAsia="Candara" w:hAnsi="Candara" w:cs="Candara"/>
                <w:sz w:val="16"/>
                <w:szCs w:val="16"/>
              </w:rPr>
              <w:t xml:space="preserve">  MEUR</w:t>
            </w:r>
          </w:p>
          <w:p w:rsidR="00B8601C" w:rsidRPr="007F3216" w:rsidP="00B8601C" w14:paraId="626282C4" w14:textId="77777777">
            <w:pPr>
              <w:spacing w:after="0" w:line="240" w:lineRule="auto"/>
              <w:rPr>
                <w:rFonts w:ascii="Candara" w:eastAsia="Candara" w:hAnsi="Candara" w:cs="Candara"/>
                <w:sz w:val="16"/>
                <w:szCs w:val="16"/>
              </w:rPr>
            </w:pPr>
            <w:r w:rsidRPr="007F3216">
              <w:rPr>
                <w:rFonts w:ascii="Candara" w:eastAsia="Candara" w:hAnsi="Candara" w:cs="Candara"/>
                <w:sz w:val="16"/>
                <w:szCs w:val="16"/>
              </w:rPr>
              <w:t>- to komersantu skaits, kuri sadarbojas ar pētniecības institūcijām  (2023) - 270</w:t>
            </w:r>
          </w:p>
          <w:p w:rsidR="00B8601C" w:rsidRPr="007F3216" w:rsidP="00B8601C" w14:paraId="783F8266" w14:textId="10BABB91">
            <w:pPr>
              <w:spacing w:after="0" w:line="240" w:lineRule="auto"/>
              <w:rPr>
                <w:rFonts w:ascii="Candara" w:eastAsia="Candara" w:hAnsi="Candara" w:cs="Candara"/>
                <w:sz w:val="16"/>
                <w:szCs w:val="16"/>
              </w:rPr>
            </w:pPr>
            <w:r w:rsidRPr="007F3216">
              <w:rPr>
                <w:rFonts w:ascii="Candara" w:eastAsia="Candara" w:hAnsi="Candara" w:cs="Candara"/>
                <w:sz w:val="16"/>
                <w:szCs w:val="16"/>
              </w:rPr>
              <w:t>- inovāciju projektos iesaistīto bakalauru, maģistrantu un doktorantu</w:t>
            </w:r>
            <w:r w:rsidR="00AD423E">
              <w:rPr>
                <w:rFonts w:ascii="Candara" w:eastAsia="Candara" w:hAnsi="Candara" w:cs="Candara"/>
                <w:sz w:val="16"/>
                <w:szCs w:val="16"/>
              </w:rPr>
              <w:t xml:space="preserve"> (tostarp zinātniskā grāda pretendentu)</w:t>
            </w:r>
            <w:r w:rsidRPr="007F3216">
              <w:rPr>
                <w:rFonts w:ascii="Candara" w:eastAsia="Candara" w:hAnsi="Candara" w:cs="Candara"/>
                <w:sz w:val="16"/>
                <w:szCs w:val="16"/>
              </w:rPr>
              <w:t xml:space="preserve"> skaita pieaugums</w:t>
            </w:r>
          </w:p>
          <w:p w:rsidR="00B8601C" w:rsidRPr="007F3216" w:rsidP="00B8601C" w14:paraId="377A8428" w14:textId="77777777">
            <w:pPr>
              <w:spacing w:after="0" w:line="240" w:lineRule="auto"/>
              <w:rPr>
                <w:rFonts w:ascii="Candara" w:eastAsia="Candara" w:hAnsi="Candara" w:cs="Candara"/>
                <w:i/>
                <w:sz w:val="16"/>
                <w:szCs w:val="16"/>
              </w:rPr>
            </w:pPr>
            <w:r w:rsidRPr="007F3216">
              <w:rPr>
                <w:rFonts w:ascii="Candara" w:eastAsia="Candara" w:hAnsi="Candara" w:cs="Candara"/>
                <w:sz w:val="16"/>
                <w:szCs w:val="16"/>
              </w:rPr>
              <w:t>- zinātnisko institūciju vai to personāla izveidotie jaundibinātie uzņēmumu (</w:t>
            </w:r>
            <w:r w:rsidRPr="007F3216">
              <w:rPr>
                <w:rFonts w:ascii="Candara" w:eastAsia="Candara" w:hAnsi="Candara" w:cs="Candara"/>
                <w:i/>
                <w:sz w:val="16"/>
                <w:szCs w:val="16"/>
              </w:rPr>
              <w:t xml:space="preserve">spin-off) </w:t>
            </w:r>
            <w:r w:rsidRPr="007F3216">
              <w:rPr>
                <w:rFonts w:ascii="Candara" w:eastAsia="Candara" w:hAnsi="Candara" w:cs="Candara"/>
                <w:sz w:val="16"/>
                <w:szCs w:val="16"/>
              </w:rPr>
              <w:t>skaita pieaugums</w:t>
            </w:r>
          </w:p>
        </w:tc>
        <w:tc>
          <w:tcPr>
            <w:tcW w:w="2694" w:type="dxa"/>
            <w:shd w:val="clear" w:color="auto" w:fill="FFFFFF" w:themeFill="background1"/>
          </w:tcPr>
          <w:p w:rsidR="00B8601C" w:rsidRPr="007F3216" w:rsidP="00B8601C" w14:paraId="722CCB2B" w14:textId="77777777">
            <w:pPr>
              <w:widowControl w:val="0"/>
              <w:spacing w:after="0" w:line="240" w:lineRule="auto"/>
              <w:contextualSpacing/>
              <w:rPr>
                <w:rFonts w:ascii="Candara" w:eastAsia="Candara" w:hAnsi="Candara" w:cs="Candara"/>
                <w:sz w:val="16"/>
                <w:szCs w:val="16"/>
              </w:rPr>
            </w:pPr>
            <w:r w:rsidRPr="007F3216">
              <w:rPr>
                <w:rFonts w:ascii="Candara" w:eastAsia="Candara" w:hAnsi="Candara" w:cs="Candara"/>
                <w:sz w:val="16"/>
                <w:szCs w:val="16"/>
              </w:rPr>
              <w:t>Palielinājies inovatīvu uzņēmumu skaits un nodarbinātība inovatīvos uzņēmumos</w:t>
            </w:r>
          </w:p>
          <w:p w:rsidR="00B8601C" w:rsidRPr="007F3216" w:rsidP="00B8601C" w14:paraId="3B7B2C41" w14:textId="77777777">
            <w:pPr>
              <w:spacing w:after="0" w:line="240" w:lineRule="auto"/>
              <w:rPr>
                <w:rFonts w:ascii="Candara" w:eastAsia="Candara" w:hAnsi="Candara" w:cs="Candara"/>
                <w:sz w:val="16"/>
                <w:szCs w:val="16"/>
              </w:rPr>
            </w:pPr>
          </w:p>
        </w:tc>
        <w:tc>
          <w:tcPr>
            <w:tcW w:w="1701" w:type="dxa"/>
            <w:shd w:val="clear" w:color="auto" w:fill="FFFFFF" w:themeFill="background1"/>
          </w:tcPr>
          <w:p w:rsidR="00B8601C" w:rsidRPr="007F3216" w:rsidP="00214E4F" w14:paraId="7F5D885C" w14:textId="461921E9">
            <w:pPr>
              <w:widowControl w:val="0"/>
              <w:spacing w:after="0" w:line="240" w:lineRule="auto"/>
              <w:contextualSpacing/>
              <w:rPr>
                <w:rFonts w:ascii="Candara" w:eastAsia="Candara" w:hAnsi="Candara" w:cs="Candara"/>
                <w:sz w:val="16"/>
                <w:szCs w:val="16"/>
              </w:rPr>
            </w:pPr>
            <w:r>
              <w:rPr>
                <w:rFonts w:ascii="Candara" w:eastAsia="Candara" w:hAnsi="Candara" w:cs="Candara"/>
                <w:sz w:val="16"/>
                <w:szCs w:val="16"/>
              </w:rPr>
              <w:t>1.1.1.3. pasākums “Inovācijas granti studentiem”, 3</w:t>
            </w:r>
            <w:r w:rsidR="00AD423E">
              <w:rPr>
                <w:rFonts w:ascii="Candara" w:eastAsia="Candara" w:hAnsi="Candara" w:cs="Candara"/>
                <w:sz w:val="16"/>
                <w:szCs w:val="16"/>
              </w:rPr>
              <w:t>8</w:t>
            </w:r>
            <w:r>
              <w:rPr>
                <w:rFonts w:ascii="Candara" w:eastAsia="Candara" w:hAnsi="Candara" w:cs="Candara"/>
                <w:sz w:val="16"/>
                <w:szCs w:val="16"/>
              </w:rPr>
              <w:t>,0 MEUR</w:t>
            </w:r>
          </w:p>
        </w:tc>
        <w:tc>
          <w:tcPr>
            <w:tcW w:w="1417" w:type="dxa"/>
            <w:shd w:val="clear" w:color="auto" w:fill="FFFFFF" w:themeFill="background1"/>
          </w:tcPr>
          <w:p w:rsidR="00B8601C" w:rsidRPr="007F3216" w:rsidP="00B8601C" w14:paraId="42452DF4" w14:textId="77777777">
            <w:pPr>
              <w:widowControl w:val="0"/>
              <w:spacing w:after="0" w:line="240" w:lineRule="auto"/>
              <w:contextualSpacing/>
              <w:rPr>
                <w:rFonts w:ascii="Candara" w:eastAsia="Candara" w:hAnsi="Candara" w:cs="Candara"/>
                <w:sz w:val="16"/>
                <w:szCs w:val="16"/>
              </w:rPr>
            </w:pPr>
            <w:r w:rsidRPr="007F3216">
              <w:rPr>
                <w:rFonts w:ascii="Candara" w:eastAsia="Candara" w:hAnsi="Candara" w:cs="Candara"/>
                <w:sz w:val="16"/>
                <w:szCs w:val="16"/>
              </w:rPr>
              <w:t>IZM</w:t>
            </w:r>
          </w:p>
        </w:tc>
        <w:tc>
          <w:tcPr>
            <w:tcW w:w="1276" w:type="dxa"/>
            <w:shd w:val="clear" w:color="auto" w:fill="FFFFFF" w:themeFill="background1"/>
          </w:tcPr>
          <w:p w:rsidR="00B8601C" w:rsidRPr="00600185" w:rsidP="00AD423E" w14:paraId="7300BF48" w14:textId="48E02143">
            <w:pPr>
              <w:widowControl w:val="0"/>
              <w:spacing w:after="0" w:line="240" w:lineRule="auto"/>
              <w:contextualSpacing/>
              <w:rPr>
                <w:rFonts w:ascii="Candara" w:eastAsia="Candara" w:hAnsi="Candara" w:cs="Candara"/>
                <w:sz w:val="16"/>
                <w:szCs w:val="16"/>
              </w:rPr>
            </w:pPr>
            <w:r>
              <w:rPr>
                <w:rFonts w:ascii="Candara" w:eastAsia="Candara" w:hAnsi="Candara" w:cs="Candara"/>
                <w:sz w:val="16"/>
                <w:szCs w:val="16"/>
              </w:rPr>
              <w:t xml:space="preserve">2023 </w:t>
            </w:r>
          </w:p>
        </w:tc>
      </w:tr>
      <w:tr w14:paraId="6B837F50" w14:textId="77777777" w:rsidTr="00D13CD1">
        <w:tblPrEx>
          <w:tblW w:w="14601" w:type="dxa"/>
          <w:tblInd w:w="-147" w:type="dxa"/>
          <w:tblLayout w:type="fixed"/>
          <w:tblLook w:val="0400"/>
        </w:tblPrEx>
        <w:trPr>
          <w:trHeight w:val="2545"/>
        </w:trPr>
        <w:tc>
          <w:tcPr>
            <w:tcW w:w="1985" w:type="dxa"/>
            <w:shd w:val="clear" w:color="auto" w:fill="FFFFFF" w:themeFill="background1"/>
          </w:tcPr>
          <w:p w:rsidR="00B8601C" w:rsidRPr="007F3216" w:rsidP="00B8601C" w14:paraId="521DADB8" w14:textId="77777777">
            <w:pPr>
              <w:widowControl w:val="0"/>
              <w:numPr>
                <w:ilvl w:val="1"/>
                <w:numId w:val="35"/>
              </w:numPr>
              <w:spacing w:after="0" w:line="240" w:lineRule="auto"/>
              <w:ind w:hanging="360"/>
              <w:rPr>
                <w:rFonts w:ascii="Candara" w:eastAsia="Candara" w:hAnsi="Candara" w:cs="Candara"/>
                <w:sz w:val="16"/>
                <w:szCs w:val="16"/>
              </w:rPr>
            </w:pPr>
            <w:r w:rsidRPr="007F3216">
              <w:rPr>
                <w:rFonts w:ascii="Candara" w:hAnsi="Candara"/>
                <w:color w:val="000000"/>
                <w:sz w:val="16"/>
                <w:szCs w:val="16"/>
                <w:lang w:eastAsia="lv-LV"/>
              </w:rPr>
              <w:t xml:space="preserve">Iekļaut jaunajos prioritārajos </w:t>
            </w:r>
            <w:r>
              <w:rPr>
                <w:rFonts w:ascii="Candara" w:hAnsi="Candara"/>
                <w:color w:val="000000"/>
                <w:sz w:val="16"/>
                <w:szCs w:val="16"/>
                <w:lang w:eastAsia="lv-LV"/>
              </w:rPr>
              <w:t>virzienos zinātnē</w:t>
            </w:r>
            <w:r w:rsidRPr="007F3216">
              <w:rPr>
                <w:rFonts w:ascii="Candara" w:hAnsi="Candara"/>
                <w:color w:val="000000"/>
                <w:sz w:val="16"/>
                <w:szCs w:val="16"/>
                <w:lang w:eastAsia="lv-LV"/>
              </w:rPr>
              <w:t xml:space="preserve"> FLP projektu īstenošanai RIS3 tēmas</w:t>
            </w:r>
          </w:p>
        </w:tc>
        <w:tc>
          <w:tcPr>
            <w:tcW w:w="2268" w:type="dxa"/>
            <w:shd w:val="clear" w:color="auto" w:fill="FFFFFF" w:themeFill="background1"/>
          </w:tcPr>
          <w:p w:rsidR="00B8601C" w:rsidRPr="000419A4" w:rsidP="00B8601C" w14:paraId="579E5976" w14:textId="77777777">
            <w:pPr>
              <w:spacing w:after="0" w:line="240" w:lineRule="auto"/>
              <w:rPr>
                <w:rFonts w:ascii="Candara" w:eastAsia="Candara" w:hAnsi="Candara" w:cs="Candara"/>
                <w:sz w:val="16"/>
                <w:szCs w:val="16"/>
              </w:rPr>
            </w:pPr>
            <w:r w:rsidRPr="006F5067">
              <w:rPr>
                <w:rFonts w:ascii="Candara" w:hAnsi="Candara"/>
                <w:color w:val="000000"/>
                <w:sz w:val="16"/>
                <w:szCs w:val="16"/>
                <w:lang w:eastAsia="lv-LV"/>
              </w:rPr>
              <w:t>Jauni prioritārie zinātņu virzieni, kas definēti atbilstoši Latvijas sabiedrībai un ekonomikai aktuāliem un būtiskiem izaicinājumiem un Eiropas kopējiem izaicinājumiem, tai skaitā atbilstoši RIS3 mērķ</w:t>
            </w:r>
            <w:r w:rsidRPr="00003013">
              <w:rPr>
                <w:rFonts w:ascii="Candara" w:hAnsi="Candara"/>
                <w:color w:val="000000"/>
                <w:sz w:val="16"/>
                <w:szCs w:val="16"/>
                <w:lang w:eastAsia="lv-LV"/>
              </w:rPr>
              <w:t>iem un industrijas 4.0 attīstībai</w:t>
            </w:r>
          </w:p>
        </w:tc>
        <w:tc>
          <w:tcPr>
            <w:tcW w:w="3260" w:type="dxa"/>
            <w:shd w:val="clear" w:color="auto" w:fill="FFFFFF" w:themeFill="background1"/>
          </w:tcPr>
          <w:p w:rsidR="00B8601C" w:rsidRPr="00635070" w:rsidP="00B8601C" w14:paraId="70DAFA1A" w14:textId="77777777">
            <w:pPr>
              <w:spacing w:after="0" w:line="240" w:lineRule="auto"/>
              <w:rPr>
                <w:rFonts w:ascii="Candara" w:eastAsia="Candara" w:hAnsi="Candara" w:cs="Candara"/>
                <w:sz w:val="16"/>
                <w:szCs w:val="16"/>
              </w:rPr>
            </w:pPr>
            <w:r w:rsidRPr="000419A4">
              <w:rPr>
                <w:rFonts w:ascii="Candara" w:hAnsi="Candara"/>
                <w:color w:val="000000"/>
                <w:sz w:val="16"/>
                <w:szCs w:val="16"/>
                <w:lang w:eastAsia="lv-LV"/>
              </w:rPr>
              <w:t>Prioritārie zinātņu virzieni ietver ar RIS3 mērķiem, prioritātēm un jomām saistītas tēmas</w:t>
            </w:r>
            <w:r w:rsidRPr="00635070">
              <w:rPr>
                <w:rFonts w:ascii="Candara" w:hAnsi="Candara"/>
                <w:sz w:val="16"/>
                <w:szCs w:val="16"/>
                <w:lang w:eastAsia="lv-LV"/>
              </w:rPr>
              <w:tab/>
            </w:r>
          </w:p>
        </w:tc>
        <w:tc>
          <w:tcPr>
            <w:tcW w:w="2694" w:type="dxa"/>
            <w:shd w:val="clear" w:color="auto" w:fill="FFFFFF" w:themeFill="background1"/>
          </w:tcPr>
          <w:p w:rsidR="00B8601C" w:rsidRPr="00635070" w:rsidP="00B8601C" w14:paraId="1BB9A96A" w14:textId="77777777">
            <w:pPr>
              <w:widowControl w:val="0"/>
              <w:spacing w:after="0" w:line="240" w:lineRule="auto"/>
              <w:contextualSpacing/>
              <w:rPr>
                <w:rFonts w:ascii="Candara" w:eastAsia="Candara" w:hAnsi="Candara" w:cs="Candara"/>
                <w:sz w:val="16"/>
                <w:szCs w:val="16"/>
              </w:rPr>
            </w:pPr>
            <w:r w:rsidRPr="00635070">
              <w:rPr>
                <w:rFonts w:ascii="Candara" w:eastAsia="Candara" w:hAnsi="Candara" w:cs="Candara"/>
                <w:sz w:val="16"/>
                <w:szCs w:val="16"/>
              </w:rPr>
              <w:t>- ar RIS3 tematiskajām jomām un prioritātēm saistīti zinātniskie raksti 6 OECD zināšanu jomās, kas publicēti starptautiskās datu bāzēs indeksētos žurnālos</w:t>
            </w:r>
          </w:p>
        </w:tc>
        <w:tc>
          <w:tcPr>
            <w:tcW w:w="1701" w:type="dxa"/>
            <w:shd w:val="clear" w:color="auto" w:fill="FFFFFF" w:themeFill="background1"/>
          </w:tcPr>
          <w:p w:rsidR="00B8601C" w:rsidRPr="006F5067" w:rsidP="00C6536F" w14:paraId="3CA505A0" w14:textId="77777777">
            <w:pPr>
              <w:widowControl w:val="0"/>
              <w:spacing w:after="0" w:line="240" w:lineRule="auto"/>
              <w:contextualSpacing/>
              <w:rPr>
                <w:rFonts w:ascii="Candara" w:eastAsia="Candara" w:hAnsi="Candara" w:cs="Candara"/>
                <w:sz w:val="16"/>
                <w:szCs w:val="16"/>
              </w:rPr>
            </w:pPr>
            <w:r w:rsidRPr="006F5067">
              <w:rPr>
                <w:rFonts w:ascii="Candara" w:eastAsia="Candara" w:hAnsi="Candara" w:cs="Candara"/>
                <w:sz w:val="16"/>
                <w:szCs w:val="16"/>
              </w:rPr>
              <w:t>IZM</w:t>
            </w:r>
            <w:r w:rsidR="00C6536F">
              <w:rPr>
                <w:rFonts w:ascii="Candara" w:eastAsia="Candara" w:hAnsi="Candara" w:cs="Candara"/>
                <w:sz w:val="16"/>
                <w:szCs w:val="16"/>
              </w:rPr>
              <w:t xml:space="preserve"> esošā budžeta ietvaros</w:t>
            </w:r>
          </w:p>
        </w:tc>
        <w:tc>
          <w:tcPr>
            <w:tcW w:w="1417" w:type="dxa"/>
            <w:shd w:val="clear" w:color="auto" w:fill="FFFFFF" w:themeFill="background1"/>
          </w:tcPr>
          <w:p w:rsidR="00B8601C" w:rsidRPr="006F5067" w:rsidP="00B8601C" w14:paraId="21D594DB" w14:textId="77777777">
            <w:pPr>
              <w:widowControl w:val="0"/>
              <w:spacing w:after="0" w:line="240" w:lineRule="auto"/>
              <w:contextualSpacing/>
              <w:rPr>
                <w:rFonts w:ascii="Candara" w:eastAsia="Candara" w:hAnsi="Candara" w:cs="Candara"/>
                <w:sz w:val="16"/>
                <w:szCs w:val="16"/>
              </w:rPr>
            </w:pPr>
            <w:r w:rsidRPr="006F5067">
              <w:rPr>
                <w:rFonts w:ascii="Candara" w:eastAsia="Candara" w:hAnsi="Candara" w:cs="Candara"/>
                <w:sz w:val="16"/>
                <w:szCs w:val="16"/>
              </w:rPr>
              <w:t>IZM</w:t>
            </w:r>
          </w:p>
        </w:tc>
        <w:tc>
          <w:tcPr>
            <w:tcW w:w="1276" w:type="dxa"/>
            <w:shd w:val="clear" w:color="auto" w:fill="FFFFFF" w:themeFill="background1"/>
          </w:tcPr>
          <w:p w:rsidR="00B8601C" w:rsidRPr="00003013" w14:paraId="19BC6536" w14:textId="5968DF28">
            <w:pPr>
              <w:widowControl w:val="0"/>
              <w:spacing w:after="0" w:line="240" w:lineRule="auto"/>
              <w:contextualSpacing/>
              <w:rPr>
                <w:rFonts w:ascii="Candara" w:eastAsia="Candara" w:hAnsi="Candara" w:cs="Candara"/>
                <w:sz w:val="16"/>
                <w:szCs w:val="16"/>
              </w:rPr>
            </w:pPr>
            <w:r w:rsidRPr="00003013">
              <w:rPr>
                <w:rFonts w:ascii="Candara" w:eastAsia="Candara" w:hAnsi="Candara" w:cs="Candara"/>
                <w:sz w:val="16"/>
                <w:szCs w:val="16"/>
              </w:rPr>
              <w:t>201</w:t>
            </w:r>
            <w:r w:rsidR="00C6536F">
              <w:rPr>
                <w:rFonts w:ascii="Candara" w:eastAsia="Candara" w:hAnsi="Candara" w:cs="Candara"/>
                <w:sz w:val="16"/>
                <w:szCs w:val="16"/>
              </w:rPr>
              <w:t>8</w:t>
            </w:r>
          </w:p>
        </w:tc>
      </w:tr>
      <w:tr w14:paraId="271D950F" w14:textId="77777777" w:rsidTr="00D13CD1">
        <w:tblPrEx>
          <w:tblW w:w="14601" w:type="dxa"/>
          <w:tblInd w:w="-147" w:type="dxa"/>
          <w:tblLayout w:type="fixed"/>
          <w:tblLook w:val="0400"/>
        </w:tblPrEx>
        <w:trPr>
          <w:trHeight w:val="2545"/>
        </w:trPr>
        <w:tc>
          <w:tcPr>
            <w:tcW w:w="1985" w:type="dxa"/>
            <w:shd w:val="clear" w:color="auto" w:fill="FFFFFF" w:themeFill="background1"/>
          </w:tcPr>
          <w:p w:rsidR="00B8601C" w:rsidRPr="007F3216" w:rsidP="00BA3A9A" w14:paraId="2EB810D5" w14:textId="77777777">
            <w:pPr>
              <w:widowControl w:val="0"/>
              <w:numPr>
                <w:ilvl w:val="1"/>
                <w:numId w:val="35"/>
              </w:numPr>
              <w:spacing w:after="0" w:line="240" w:lineRule="auto"/>
              <w:ind w:hanging="360"/>
              <w:rPr>
                <w:rFonts w:ascii="Candara" w:hAnsi="Candara"/>
                <w:color w:val="000000"/>
                <w:sz w:val="16"/>
                <w:szCs w:val="16"/>
                <w:lang w:eastAsia="lv-LV"/>
              </w:rPr>
            </w:pPr>
            <w:r w:rsidRPr="007F3216">
              <w:rPr>
                <w:rFonts w:ascii="Candara" w:hAnsi="Candara"/>
                <w:color w:val="000000"/>
                <w:sz w:val="16"/>
                <w:szCs w:val="16"/>
                <w:lang w:eastAsia="lv-LV"/>
              </w:rPr>
              <w:t>Veidot valsts pasūtījumu zinātnei un izstrādāt</w:t>
            </w:r>
            <w:r w:rsidR="00EF5CD8">
              <w:rPr>
                <w:rFonts w:ascii="Candara" w:hAnsi="Candara"/>
                <w:color w:val="000000"/>
                <w:sz w:val="16"/>
                <w:szCs w:val="16"/>
                <w:lang w:eastAsia="lv-LV"/>
              </w:rPr>
              <w:t xml:space="preserve"> jaunus valsts pētījumu programmu noteikumus un </w:t>
            </w:r>
            <w:r w:rsidRPr="007F3216">
              <w:rPr>
                <w:rFonts w:ascii="Candara" w:hAnsi="Candara"/>
                <w:color w:val="000000"/>
                <w:sz w:val="16"/>
                <w:szCs w:val="16"/>
                <w:lang w:eastAsia="lv-LV"/>
              </w:rPr>
              <w:t xml:space="preserve"> jaunas valsts pētījumu programmas</w:t>
            </w:r>
            <w:r w:rsidR="00EF5CD8">
              <w:rPr>
                <w:rFonts w:ascii="Candara" w:hAnsi="Candara"/>
                <w:color w:val="000000"/>
                <w:sz w:val="16"/>
                <w:szCs w:val="16"/>
                <w:lang w:eastAsia="lv-LV"/>
              </w:rPr>
              <w:t xml:space="preserve">, ieskaitot EM finansēto valsts pētījumu programmu enerģētikā un IZM finansētās programmas latviešu valodā un </w:t>
            </w:r>
            <w:r w:rsidR="00DF13F0">
              <w:rPr>
                <w:rFonts w:ascii="Candara" w:hAnsi="Candara"/>
                <w:color w:val="000000"/>
                <w:sz w:val="16"/>
                <w:szCs w:val="16"/>
                <w:lang w:eastAsia="lv-LV"/>
              </w:rPr>
              <w:t>L</w:t>
            </w:r>
            <w:r w:rsidR="00EF5CD8">
              <w:rPr>
                <w:rFonts w:ascii="Candara" w:hAnsi="Candara"/>
                <w:color w:val="000000"/>
                <w:sz w:val="16"/>
                <w:szCs w:val="16"/>
                <w:lang w:eastAsia="lv-LV"/>
              </w:rPr>
              <w:t>etonikā</w:t>
            </w:r>
          </w:p>
        </w:tc>
        <w:tc>
          <w:tcPr>
            <w:tcW w:w="2268" w:type="dxa"/>
            <w:shd w:val="clear" w:color="auto" w:fill="FFFFFF" w:themeFill="background1"/>
          </w:tcPr>
          <w:p w:rsidR="00B8601C" w:rsidRPr="00003013" w14:paraId="666A7D17" w14:textId="77777777">
            <w:pPr>
              <w:spacing w:after="0" w:line="240" w:lineRule="auto"/>
              <w:rPr>
                <w:rFonts w:ascii="Candara" w:hAnsi="Candara"/>
                <w:color w:val="000000"/>
                <w:sz w:val="16"/>
                <w:szCs w:val="16"/>
                <w:lang w:eastAsia="lv-LV"/>
              </w:rPr>
            </w:pPr>
            <w:r w:rsidRPr="006F5067">
              <w:rPr>
                <w:rFonts w:ascii="Candara" w:hAnsi="Candara"/>
                <w:color w:val="000000"/>
                <w:sz w:val="16"/>
                <w:szCs w:val="16"/>
                <w:lang w:eastAsia="lv-LV"/>
              </w:rPr>
              <w:t>Izveidotas jaunas nozaru ministriju VPP, kas ir  nozaru P&amp;A pasūtījums RIS3 jomās un prioritātēs, t.sk. enerģētikā, biomedicīnā un farmācijā, bioekonomikā un drošības tehnoloģi</w:t>
            </w:r>
            <w:r w:rsidRPr="00003013">
              <w:rPr>
                <w:rFonts w:ascii="Candara" w:hAnsi="Candara"/>
                <w:color w:val="000000"/>
                <w:sz w:val="16"/>
                <w:szCs w:val="16"/>
                <w:lang w:eastAsia="lv-LV"/>
              </w:rPr>
              <w:t>jās</w:t>
            </w:r>
          </w:p>
        </w:tc>
        <w:tc>
          <w:tcPr>
            <w:tcW w:w="3260" w:type="dxa"/>
            <w:shd w:val="clear" w:color="auto" w:fill="FFFFFF" w:themeFill="background1"/>
          </w:tcPr>
          <w:p w:rsidR="00B8601C" w:rsidRPr="000419A4" w:rsidP="00B8601C" w14:paraId="1E4DC0A9" w14:textId="77777777">
            <w:pPr>
              <w:spacing w:after="0" w:line="240" w:lineRule="auto"/>
              <w:rPr>
                <w:rFonts w:ascii="Candara" w:eastAsia="Candara" w:hAnsi="Candara" w:cs="Candara"/>
                <w:sz w:val="16"/>
                <w:szCs w:val="16"/>
              </w:rPr>
            </w:pPr>
            <w:r w:rsidRPr="000419A4">
              <w:rPr>
                <w:rFonts w:ascii="Candara" w:eastAsia="Candara" w:hAnsi="Candara" w:cs="Candara"/>
                <w:sz w:val="16"/>
                <w:szCs w:val="16"/>
              </w:rPr>
              <w:t>- Programmu skaits un pētījumu finansējuma apjoms RIS3 jomās un prioritātēs</w:t>
            </w:r>
            <w:r w:rsidRPr="000419A4">
              <w:rPr>
                <w:rFonts w:ascii="Candara" w:eastAsia="Candara" w:hAnsi="Candara" w:cs="Candara"/>
                <w:sz w:val="16"/>
                <w:szCs w:val="16"/>
              </w:rPr>
              <w:t xml:space="preserve"> </w:t>
            </w:r>
          </w:p>
          <w:p w:rsidR="00B8601C" w:rsidRPr="00635070" w:rsidP="00B8601C" w14:paraId="27E4DD0D" w14:textId="77777777">
            <w:pPr>
              <w:spacing w:after="0" w:line="240" w:lineRule="auto"/>
              <w:rPr>
                <w:rFonts w:ascii="Candara" w:eastAsia="Candara" w:hAnsi="Candara" w:cs="Candara"/>
                <w:sz w:val="16"/>
                <w:szCs w:val="16"/>
              </w:rPr>
            </w:pPr>
            <w:r w:rsidRPr="00635070">
              <w:rPr>
                <w:rFonts w:ascii="Candara" w:eastAsia="Candara" w:hAnsi="Candara" w:cs="Candara"/>
                <w:sz w:val="16"/>
                <w:szCs w:val="16"/>
              </w:rPr>
              <w:t>- no ārvalstīm piesaistīto un reemigrējušo jauno zinātnieku skaits</w:t>
            </w:r>
          </w:p>
          <w:p w:rsidR="00B8601C" w:rsidRPr="00635070" w:rsidP="00B8601C" w14:paraId="12010468" w14:textId="77777777">
            <w:pPr>
              <w:spacing w:after="0" w:line="240" w:lineRule="auto"/>
              <w:rPr>
                <w:rFonts w:ascii="Candara" w:eastAsia="Candara" w:hAnsi="Candara" w:cs="Candara"/>
                <w:sz w:val="16"/>
                <w:szCs w:val="16"/>
              </w:rPr>
            </w:pPr>
            <w:r w:rsidRPr="00635070">
              <w:rPr>
                <w:rFonts w:ascii="Candara" w:eastAsia="Candara" w:hAnsi="Candara" w:cs="Candara"/>
                <w:sz w:val="16"/>
                <w:szCs w:val="16"/>
              </w:rPr>
              <w:t>- nozaru ministriju un valsts kapitālsabiedrību finansējums P&amp;A projektiem</w:t>
            </w:r>
          </w:p>
          <w:p w:rsidR="00B8601C" w:rsidRPr="00635070" w:rsidP="00B8601C" w14:paraId="4C12C499" w14:textId="77777777">
            <w:pPr>
              <w:spacing w:after="0" w:line="240" w:lineRule="auto"/>
              <w:rPr>
                <w:rFonts w:ascii="Candara" w:eastAsia="Candara" w:hAnsi="Candara" w:cs="Candara"/>
                <w:sz w:val="16"/>
                <w:szCs w:val="16"/>
              </w:rPr>
            </w:pPr>
            <w:r w:rsidRPr="00635070">
              <w:rPr>
                <w:rFonts w:ascii="Candara" w:eastAsia="Candara" w:hAnsi="Candara" w:cs="Candara"/>
                <w:sz w:val="16"/>
                <w:szCs w:val="16"/>
              </w:rPr>
              <w:t>- valsts kapitālsabiedrību skaits, kas īsteno  jaunu produktu un tehnoloģiju izstrādes projektus</w:t>
            </w:r>
          </w:p>
          <w:p w:rsidR="00B8601C" w:rsidRPr="00635070" w:rsidP="00B8601C" w14:paraId="070D11FA" w14:textId="77777777">
            <w:pPr>
              <w:spacing w:after="0" w:line="240" w:lineRule="auto"/>
              <w:rPr>
                <w:rFonts w:ascii="Candara" w:hAnsi="Candara"/>
                <w:color w:val="000000"/>
                <w:sz w:val="16"/>
                <w:szCs w:val="16"/>
                <w:lang w:eastAsia="lv-LV"/>
              </w:rPr>
            </w:pPr>
            <w:r w:rsidRPr="00635070">
              <w:rPr>
                <w:rFonts w:ascii="Candara" w:eastAsia="Candara" w:hAnsi="Candara" w:cs="Candara"/>
                <w:sz w:val="16"/>
                <w:szCs w:val="16"/>
              </w:rPr>
              <w:t>- komunikācijas pasākumu skaits</w:t>
            </w:r>
          </w:p>
        </w:tc>
        <w:tc>
          <w:tcPr>
            <w:tcW w:w="2694" w:type="dxa"/>
            <w:shd w:val="clear" w:color="auto" w:fill="FFFFFF" w:themeFill="background1"/>
          </w:tcPr>
          <w:p w:rsidR="00B8601C" w:rsidRPr="00635070" w:rsidP="00B8601C" w14:paraId="1B7768FB" w14:textId="77777777">
            <w:pPr>
              <w:widowControl w:val="0"/>
              <w:spacing w:after="0" w:line="240" w:lineRule="auto"/>
              <w:contextualSpacing/>
              <w:rPr>
                <w:rFonts w:ascii="Candara" w:eastAsia="Candara" w:hAnsi="Candara" w:cs="Candara"/>
                <w:sz w:val="16"/>
                <w:szCs w:val="16"/>
              </w:rPr>
            </w:pPr>
            <w:r w:rsidRPr="00635070">
              <w:rPr>
                <w:rFonts w:ascii="Candara" w:eastAsia="Candara" w:hAnsi="Candara" w:cs="Candara"/>
                <w:sz w:val="16"/>
                <w:szCs w:val="16"/>
              </w:rPr>
              <w:t>Nozaru attīstībai nepieciešamās zināšanas un tehnoloģijas;</w:t>
            </w:r>
          </w:p>
          <w:p w:rsidR="00B8601C" w:rsidRPr="004074D2" w:rsidP="00B8601C" w14:paraId="4F0331C2" w14:textId="77777777">
            <w:pPr>
              <w:widowControl w:val="0"/>
              <w:spacing w:after="0" w:line="240" w:lineRule="auto"/>
              <w:contextualSpacing/>
              <w:rPr>
                <w:rFonts w:ascii="Candara" w:eastAsia="Candara" w:hAnsi="Candara" w:cs="Candara"/>
                <w:sz w:val="16"/>
                <w:szCs w:val="16"/>
              </w:rPr>
            </w:pPr>
            <w:r w:rsidRPr="004074D2">
              <w:rPr>
                <w:rFonts w:ascii="Candara" w:eastAsia="Candara" w:hAnsi="Candara" w:cs="Candara"/>
                <w:sz w:val="16"/>
                <w:szCs w:val="16"/>
              </w:rPr>
              <w:t>Ar nozaru attīstībai svarīgiem jautājumiem saistīti zinātniskie raksti, kas publicēti starptautiskās datu bāzēs indeksētos žurnālos;</w:t>
            </w:r>
          </w:p>
          <w:p w:rsidR="00B8601C" w:rsidRPr="00613867" w:rsidP="00B8601C" w14:paraId="4898D1BE" w14:textId="77777777">
            <w:pPr>
              <w:widowControl w:val="0"/>
              <w:spacing w:after="0" w:line="240" w:lineRule="auto"/>
              <w:contextualSpacing/>
              <w:rPr>
                <w:rFonts w:ascii="Candara" w:eastAsia="Candara" w:hAnsi="Candara" w:cs="Candara"/>
                <w:sz w:val="16"/>
                <w:szCs w:val="16"/>
              </w:rPr>
            </w:pPr>
            <w:r w:rsidRPr="00613867">
              <w:rPr>
                <w:rFonts w:ascii="Candara" w:eastAsia="Candara" w:hAnsi="Candara" w:cs="Candara"/>
                <w:sz w:val="16"/>
                <w:szCs w:val="16"/>
              </w:rPr>
              <w:t xml:space="preserve">Nozaru jautājumu izpētē un tehnoloģiju  izstrādē iesaistīti zinātniekiem institūti, augstskolas un studējošie. </w:t>
            </w:r>
          </w:p>
          <w:p w:rsidR="00B8601C" w:rsidRPr="00613867" w:rsidP="00B8601C" w14:paraId="29B33FF0" w14:textId="77777777">
            <w:pPr>
              <w:widowControl w:val="0"/>
              <w:spacing w:after="0" w:line="240" w:lineRule="auto"/>
              <w:contextualSpacing/>
              <w:rPr>
                <w:rFonts w:ascii="Candara" w:eastAsia="Candara" w:hAnsi="Candara" w:cs="Candara"/>
                <w:sz w:val="16"/>
                <w:szCs w:val="16"/>
              </w:rPr>
            </w:pPr>
          </w:p>
        </w:tc>
        <w:tc>
          <w:tcPr>
            <w:tcW w:w="1701" w:type="dxa"/>
            <w:shd w:val="clear" w:color="auto" w:fill="FFFFFF" w:themeFill="background1"/>
          </w:tcPr>
          <w:p w:rsidR="003930F9" w:rsidP="003930F9" w14:paraId="5CA8B2D4" w14:textId="77777777">
            <w:pPr>
              <w:widowControl w:val="0"/>
              <w:contextualSpacing/>
              <w:rPr>
                <w:rFonts w:ascii="Candara" w:eastAsia="Candara" w:hAnsi="Candara" w:cs="Candara"/>
                <w:sz w:val="16"/>
                <w:szCs w:val="16"/>
              </w:rPr>
            </w:pPr>
            <w:r w:rsidRPr="006F5067">
              <w:rPr>
                <w:rFonts w:ascii="Candara" w:eastAsia="Candara" w:hAnsi="Candara" w:cs="Candara"/>
                <w:sz w:val="16"/>
                <w:szCs w:val="16"/>
              </w:rPr>
              <w:t>IZM</w:t>
            </w:r>
            <w:r>
              <w:rPr>
                <w:rFonts w:ascii="Candara" w:eastAsia="Candara" w:hAnsi="Candara" w:cs="Candara"/>
                <w:sz w:val="16"/>
                <w:szCs w:val="16"/>
              </w:rPr>
              <w:t xml:space="preserve"> 2018.–2020. gada ietvaros VPP  </w:t>
            </w:r>
            <w:r w:rsidRPr="00C423EA">
              <w:rPr>
                <w:rFonts w:ascii="Candara" w:eastAsia="Candara" w:hAnsi="Candara" w:cs="Candara"/>
                <w:sz w:val="16"/>
                <w:szCs w:val="16"/>
              </w:rPr>
              <w:t>latviešu valod</w:t>
            </w:r>
            <w:r>
              <w:rPr>
                <w:rFonts w:ascii="Candara" w:eastAsia="Candara" w:hAnsi="Candara" w:cs="Candara"/>
                <w:sz w:val="16"/>
                <w:szCs w:val="16"/>
              </w:rPr>
              <w:t>ā un Letonikā ik gadu 4,1 milj. euro.</w:t>
            </w:r>
          </w:p>
          <w:p w:rsidR="003930F9" w:rsidP="003930F9" w14:paraId="4EE14449" w14:textId="77777777">
            <w:pPr>
              <w:widowControl w:val="0"/>
              <w:contextualSpacing/>
              <w:rPr>
                <w:rFonts w:ascii="Candara" w:eastAsia="Candara" w:hAnsi="Candara" w:cs="Candara"/>
                <w:sz w:val="16"/>
                <w:szCs w:val="16"/>
              </w:rPr>
            </w:pPr>
          </w:p>
          <w:p w:rsidR="00B8601C" w:rsidRPr="006F5067" w:rsidP="003930F9" w14:paraId="3305731F" w14:textId="77777777">
            <w:pPr>
              <w:widowControl w:val="0"/>
              <w:spacing w:after="0" w:line="240" w:lineRule="auto"/>
              <w:contextualSpacing/>
              <w:rPr>
                <w:rFonts w:ascii="Candara" w:eastAsia="Candara" w:hAnsi="Candara" w:cs="Candara"/>
                <w:sz w:val="16"/>
                <w:szCs w:val="16"/>
              </w:rPr>
            </w:pPr>
            <w:r>
              <w:rPr>
                <w:rFonts w:ascii="Candara" w:eastAsia="Candara" w:hAnsi="Candara" w:cs="Candara"/>
                <w:sz w:val="16"/>
                <w:szCs w:val="16"/>
              </w:rPr>
              <w:t xml:space="preserve">EM  2018.–2020.  gada  ietvaros  VPP enerģētikā </w:t>
            </w:r>
            <w:r w:rsidRPr="00C14BEE">
              <w:rPr>
                <w:rFonts w:ascii="Candara" w:eastAsia="Candara" w:hAnsi="Candara" w:cs="Candara"/>
                <w:sz w:val="16"/>
                <w:szCs w:val="16"/>
              </w:rPr>
              <w:t>ik gadu 2 milj. euro.</w:t>
            </w:r>
          </w:p>
        </w:tc>
        <w:tc>
          <w:tcPr>
            <w:tcW w:w="1417" w:type="dxa"/>
            <w:shd w:val="clear" w:color="auto" w:fill="FFFFFF" w:themeFill="background1"/>
          </w:tcPr>
          <w:p w:rsidR="00B8601C" w:rsidRPr="000419A4" w:rsidP="00B8601C" w14:paraId="731E347D" w14:textId="77777777">
            <w:pPr>
              <w:widowControl w:val="0"/>
              <w:spacing w:after="0" w:line="240" w:lineRule="auto"/>
              <w:contextualSpacing/>
              <w:rPr>
                <w:rFonts w:ascii="Candara" w:eastAsia="Candara" w:hAnsi="Candara" w:cs="Candara"/>
                <w:sz w:val="16"/>
                <w:szCs w:val="16"/>
              </w:rPr>
            </w:pPr>
            <w:r w:rsidRPr="00003013">
              <w:rPr>
                <w:rFonts w:ascii="Candara" w:eastAsia="Candara" w:hAnsi="Candara" w:cs="Candara"/>
                <w:sz w:val="16"/>
                <w:szCs w:val="16"/>
              </w:rPr>
              <w:t>IZM</w:t>
            </w:r>
            <w:r w:rsidRPr="00003013" w:rsidR="00B16DB3">
              <w:rPr>
                <w:rFonts w:ascii="Candara" w:eastAsia="Candara" w:hAnsi="Candara" w:cs="Candara"/>
                <w:sz w:val="16"/>
                <w:szCs w:val="16"/>
              </w:rPr>
              <w:t>, EM u.c. nozaru ministrijas</w:t>
            </w:r>
            <w:r w:rsidRPr="000419A4" w:rsidR="00B16DB3">
              <w:rPr>
                <w:rFonts w:ascii="Candara" w:eastAsia="Candara" w:hAnsi="Candara" w:cs="Candara"/>
                <w:sz w:val="16"/>
                <w:szCs w:val="16"/>
              </w:rPr>
              <w:t>, LZP, SZA</w:t>
            </w:r>
          </w:p>
        </w:tc>
        <w:tc>
          <w:tcPr>
            <w:tcW w:w="1276" w:type="dxa"/>
            <w:shd w:val="clear" w:color="auto" w:fill="FFFFFF" w:themeFill="background1"/>
          </w:tcPr>
          <w:p w:rsidR="00B8601C" w:rsidRPr="00635070" w:rsidP="00B8601C" w14:paraId="68D0A382" w14:textId="77777777">
            <w:pPr>
              <w:widowControl w:val="0"/>
              <w:spacing w:after="0" w:line="240" w:lineRule="auto"/>
              <w:contextualSpacing/>
              <w:rPr>
                <w:rFonts w:ascii="Candara" w:eastAsia="Candara" w:hAnsi="Candara" w:cs="Candara"/>
                <w:sz w:val="16"/>
                <w:szCs w:val="16"/>
              </w:rPr>
            </w:pPr>
            <w:r w:rsidRPr="00635070">
              <w:rPr>
                <w:rFonts w:ascii="Candara" w:eastAsia="Candara" w:hAnsi="Candara" w:cs="Candara"/>
                <w:sz w:val="16"/>
                <w:szCs w:val="16"/>
              </w:rPr>
              <w:t>Vismaz 3 jaunas VPP 2018.g. un 3 – 2019.g.</w:t>
            </w:r>
          </w:p>
        </w:tc>
      </w:tr>
      <w:tr w14:paraId="70B7F8C6" w14:textId="77777777" w:rsidTr="00D13CD1">
        <w:tblPrEx>
          <w:tblW w:w="14601" w:type="dxa"/>
          <w:tblInd w:w="-147" w:type="dxa"/>
          <w:tblLayout w:type="fixed"/>
          <w:tblLook w:val="0400"/>
        </w:tblPrEx>
        <w:trPr>
          <w:trHeight w:val="2545"/>
        </w:trPr>
        <w:tc>
          <w:tcPr>
            <w:tcW w:w="1985" w:type="dxa"/>
            <w:shd w:val="clear" w:color="auto" w:fill="FFFFFF" w:themeFill="background1"/>
          </w:tcPr>
          <w:p w:rsidR="00214E4F" w:rsidRPr="007F3216" w:rsidP="00214E4F" w14:paraId="34EC2A54" w14:textId="77777777">
            <w:pPr>
              <w:widowControl w:val="0"/>
              <w:numPr>
                <w:ilvl w:val="1"/>
                <w:numId w:val="35"/>
              </w:numPr>
              <w:spacing w:after="0" w:line="240" w:lineRule="auto"/>
              <w:ind w:hanging="360"/>
              <w:rPr>
                <w:rFonts w:ascii="Candara" w:hAnsi="Candara"/>
                <w:color w:val="000000"/>
                <w:sz w:val="16"/>
                <w:szCs w:val="16"/>
                <w:lang w:eastAsia="lv-LV"/>
              </w:rPr>
            </w:pPr>
            <w:r>
              <w:rPr>
                <w:rFonts w:ascii="Candara" w:hAnsi="Candara"/>
                <w:color w:val="000000"/>
                <w:sz w:val="16"/>
                <w:szCs w:val="16"/>
                <w:lang w:eastAsia="lv-LV"/>
              </w:rPr>
              <w:t xml:space="preserve">Izveidot konceptuāli jaunu uz ekselenci vērstu FLP programmu, kas nodrošina ekonomikas attīstībai nepieciešamo zināšanu bāzi, t.sk </w:t>
            </w:r>
            <w:r w:rsidR="006F5067">
              <w:rPr>
                <w:rFonts w:ascii="Candara" w:hAnsi="Candara"/>
                <w:color w:val="000000"/>
                <w:sz w:val="16"/>
                <w:szCs w:val="16"/>
                <w:lang w:eastAsia="lv-LV"/>
              </w:rPr>
              <w:t>i</w:t>
            </w:r>
            <w:r w:rsidRPr="007F3216">
              <w:rPr>
                <w:rFonts w:ascii="Candara" w:hAnsi="Candara"/>
                <w:color w:val="000000"/>
                <w:sz w:val="16"/>
                <w:szCs w:val="16"/>
                <w:lang w:eastAsia="lv-LV"/>
              </w:rPr>
              <w:t xml:space="preserve">zstrādāt jaunus noteikumus FLP projektu īstenošanai </w:t>
            </w:r>
          </w:p>
        </w:tc>
        <w:tc>
          <w:tcPr>
            <w:tcW w:w="2268" w:type="dxa"/>
            <w:shd w:val="clear" w:color="auto" w:fill="FFFFFF" w:themeFill="background1"/>
          </w:tcPr>
          <w:p w:rsidR="00214E4F" w:rsidRPr="000419A4" w:rsidP="00214E4F" w14:paraId="6320B619" w14:textId="77777777">
            <w:pPr>
              <w:spacing w:after="0" w:line="240" w:lineRule="auto"/>
              <w:rPr>
                <w:rFonts w:ascii="Candara" w:hAnsi="Candara"/>
                <w:color w:val="000000"/>
                <w:sz w:val="16"/>
                <w:szCs w:val="16"/>
                <w:lang w:eastAsia="lv-LV"/>
              </w:rPr>
            </w:pPr>
            <w:r w:rsidRPr="006F5067">
              <w:rPr>
                <w:rFonts w:ascii="Candara" w:hAnsi="Candara"/>
                <w:color w:val="000000"/>
                <w:sz w:val="16"/>
                <w:szCs w:val="16"/>
                <w:lang w:eastAsia="lv-LV"/>
              </w:rPr>
              <w:t xml:space="preserve">Uzlabota FLP izvērtēšanas un finansēšanas kārtība, piešķirot finansējumu projektiem visās </w:t>
            </w:r>
            <w:r w:rsidRPr="00003013">
              <w:rPr>
                <w:rFonts w:ascii="Candara" w:hAnsi="Candara"/>
                <w:color w:val="000000"/>
                <w:sz w:val="16"/>
                <w:szCs w:val="16"/>
                <w:lang w:eastAsia="lv-LV"/>
              </w:rPr>
              <w:t xml:space="preserve">OECD zinātņu </w:t>
            </w:r>
            <w:r w:rsidRPr="00003013">
              <w:rPr>
                <w:rFonts w:ascii="Candara" w:hAnsi="Candara"/>
                <w:iCs/>
                <w:color w:val="000000"/>
                <w:sz w:val="16"/>
                <w:szCs w:val="16"/>
                <w:lang w:eastAsia="lv-LV"/>
              </w:rPr>
              <w:t>nozaru grupās</w:t>
            </w:r>
            <w:r w:rsidRPr="00003013">
              <w:rPr>
                <w:rFonts w:ascii="Candara" w:hAnsi="Candara"/>
                <w:i/>
                <w:iCs/>
                <w:color w:val="000000"/>
                <w:sz w:val="16"/>
                <w:szCs w:val="16"/>
                <w:lang w:eastAsia="lv-LV"/>
              </w:rPr>
              <w:t xml:space="preserve"> </w:t>
            </w:r>
            <w:r w:rsidRPr="000419A4">
              <w:rPr>
                <w:rFonts w:ascii="Candara" w:hAnsi="Candara"/>
                <w:color w:val="000000"/>
                <w:sz w:val="16"/>
                <w:szCs w:val="16"/>
                <w:lang w:eastAsia="lv-LV"/>
              </w:rPr>
              <w:t>atbilstoši prioritāriem zinātņu virzieniem, kā galveno projektu vērtēšanas kritēriju nosakot zinātnisko kvalitāti</w:t>
            </w:r>
          </w:p>
        </w:tc>
        <w:tc>
          <w:tcPr>
            <w:tcW w:w="3260" w:type="dxa"/>
            <w:shd w:val="clear" w:color="auto" w:fill="FFFFFF" w:themeFill="background1"/>
          </w:tcPr>
          <w:p w:rsidR="00214E4F" w:rsidRPr="00635070" w:rsidP="00214E4F" w14:paraId="78F6D843" w14:textId="77777777">
            <w:pPr>
              <w:spacing w:after="0" w:line="240" w:lineRule="auto"/>
              <w:rPr>
                <w:rFonts w:ascii="Candara" w:eastAsia="Candara" w:hAnsi="Candara" w:cs="Candara"/>
                <w:sz w:val="16"/>
                <w:szCs w:val="16"/>
              </w:rPr>
            </w:pPr>
            <w:r w:rsidRPr="000419A4">
              <w:rPr>
                <w:rFonts w:ascii="Candara" w:eastAsia="Candara" w:hAnsi="Candara" w:cs="Candara"/>
                <w:sz w:val="16"/>
                <w:szCs w:val="16"/>
              </w:rPr>
              <w:t>- FLP projektu skaits un pētījumu finansējuma apjoms 5 RIS3 specializācijas jomās un prioritātēs</w:t>
            </w:r>
            <w:r w:rsidRPr="00635070">
              <w:rPr>
                <w:rFonts w:ascii="Candara" w:eastAsia="Candara" w:hAnsi="Candara" w:cs="Candara"/>
                <w:sz w:val="16"/>
                <w:szCs w:val="16"/>
              </w:rPr>
              <w:t xml:space="preserve"> </w:t>
            </w:r>
          </w:p>
          <w:p w:rsidR="00214E4F" w:rsidRPr="00635070" w:rsidP="00214E4F" w14:paraId="30D373DC" w14:textId="77777777">
            <w:pPr>
              <w:spacing w:after="0" w:line="240" w:lineRule="auto"/>
              <w:rPr>
                <w:rFonts w:ascii="Candara" w:eastAsia="Candara" w:hAnsi="Candara" w:cs="Candara"/>
                <w:sz w:val="16"/>
                <w:szCs w:val="16"/>
              </w:rPr>
            </w:pPr>
            <w:r w:rsidRPr="00635070">
              <w:rPr>
                <w:rFonts w:ascii="Candara" w:eastAsia="Candara" w:hAnsi="Candara" w:cs="Candara"/>
                <w:sz w:val="16"/>
                <w:szCs w:val="16"/>
              </w:rPr>
              <w:t>- komunikācijas pasākumu skaits</w:t>
            </w:r>
          </w:p>
        </w:tc>
        <w:tc>
          <w:tcPr>
            <w:tcW w:w="2694" w:type="dxa"/>
            <w:shd w:val="clear" w:color="auto" w:fill="FFFFFF" w:themeFill="background1"/>
          </w:tcPr>
          <w:p w:rsidR="00214E4F" w:rsidRPr="004074D2" w:rsidP="00214E4F" w14:paraId="3B107997" w14:textId="77777777">
            <w:pPr>
              <w:pStyle w:val="ListParagraph"/>
              <w:ind w:left="0" w:firstLine="46"/>
              <w:rPr>
                <w:rFonts w:ascii="Candara" w:hAnsi="Candara"/>
                <w:color w:val="000000"/>
                <w:sz w:val="16"/>
                <w:szCs w:val="16"/>
                <w:lang w:eastAsia="lv-LV"/>
              </w:rPr>
            </w:pPr>
            <w:r w:rsidRPr="00635070">
              <w:rPr>
                <w:rFonts w:ascii="Candara" w:hAnsi="Candara"/>
                <w:color w:val="000000"/>
                <w:sz w:val="16"/>
                <w:szCs w:val="16"/>
                <w:lang w:eastAsia="lv-LV"/>
              </w:rPr>
              <w:t xml:space="preserve">- cilvēkresursu pieaugums P&amp;A visās OECD zinātņu </w:t>
            </w:r>
            <w:r w:rsidRPr="00635070">
              <w:rPr>
                <w:rFonts w:ascii="Candara" w:hAnsi="Candara"/>
                <w:iCs/>
                <w:color w:val="000000"/>
                <w:sz w:val="16"/>
                <w:szCs w:val="16"/>
                <w:lang w:eastAsia="lv-LV"/>
              </w:rPr>
              <w:t>nozaru grupās</w:t>
            </w:r>
            <w:r w:rsidRPr="004074D2">
              <w:rPr>
                <w:rFonts w:ascii="Candara" w:hAnsi="Candara"/>
                <w:color w:val="000000"/>
                <w:sz w:val="16"/>
                <w:szCs w:val="16"/>
                <w:lang w:eastAsia="lv-LV"/>
              </w:rPr>
              <w:t>,</w:t>
            </w:r>
          </w:p>
          <w:p w:rsidR="00214E4F" w:rsidRPr="00613867" w:rsidP="00214E4F" w14:paraId="02157851" w14:textId="77777777">
            <w:pPr>
              <w:widowControl w:val="0"/>
              <w:spacing w:after="0" w:line="240" w:lineRule="auto"/>
              <w:contextualSpacing/>
              <w:rPr>
                <w:rFonts w:ascii="Candara" w:eastAsia="Candara" w:hAnsi="Candara" w:cs="Candara"/>
                <w:sz w:val="16"/>
                <w:szCs w:val="16"/>
              </w:rPr>
            </w:pPr>
            <w:r w:rsidRPr="004074D2">
              <w:rPr>
                <w:rFonts w:ascii="Candara" w:hAnsi="Candara"/>
                <w:color w:val="000000"/>
                <w:sz w:val="16"/>
                <w:szCs w:val="16"/>
                <w:lang w:eastAsia="lv-LV"/>
              </w:rPr>
              <w:t xml:space="preserve">- zināšanu bāze visās OECD zinātņu </w:t>
            </w:r>
            <w:r w:rsidRPr="00613867">
              <w:rPr>
                <w:rFonts w:ascii="Candara" w:hAnsi="Candara"/>
                <w:iCs/>
                <w:color w:val="000000"/>
                <w:sz w:val="16"/>
                <w:szCs w:val="16"/>
                <w:lang w:eastAsia="lv-LV"/>
              </w:rPr>
              <w:t>nozaru grupās.</w:t>
            </w:r>
          </w:p>
        </w:tc>
        <w:tc>
          <w:tcPr>
            <w:tcW w:w="1701" w:type="dxa"/>
            <w:shd w:val="clear" w:color="auto" w:fill="FFFFFF" w:themeFill="background1"/>
          </w:tcPr>
          <w:p w:rsidR="00214E4F" w:rsidRPr="006F5067" w:rsidP="00214E4F" w14:paraId="0CB56278" w14:textId="77777777">
            <w:pPr>
              <w:pStyle w:val="ListParagraph"/>
              <w:ind w:left="0" w:firstLine="46"/>
              <w:rPr>
                <w:rFonts w:ascii="Candara" w:hAnsi="Candara"/>
                <w:color w:val="000000"/>
                <w:sz w:val="16"/>
                <w:szCs w:val="16"/>
                <w:lang w:eastAsia="lv-LV"/>
              </w:rPr>
            </w:pPr>
            <w:r w:rsidRPr="006F5067">
              <w:rPr>
                <w:rFonts w:ascii="Candara" w:eastAsia="Candara" w:hAnsi="Candara" w:cs="Candara"/>
                <w:sz w:val="16"/>
                <w:szCs w:val="16"/>
              </w:rPr>
              <w:t>IZM</w:t>
            </w:r>
            <w:r w:rsidR="00C6536F">
              <w:rPr>
                <w:rFonts w:ascii="Candara" w:eastAsia="Candara" w:hAnsi="Candara" w:cs="Candara"/>
                <w:sz w:val="16"/>
                <w:szCs w:val="16"/>
              </w:rPr>
              <w:t xml:space="preserve"> esošā budžeta ietvaros</w:t>
            </w:r>
          </w:p>
        </w:tc>
        <w:tc>
          <w:tcPr>
            <w:tcW w:w="1417" w:type="dxa"/>
            <w:shd w:val="clear" w:color="auto" w:fill="FFFFFF" w:themeFill="background1"/>
          </w:tcPr>
          <w:p w:rsidR="00214E4F" w:rsidRPr="006F5067" w:rsidP="00214E4F" w14:paraId="258F3B10" w14:textId="77777777">
            <w:pPr>
              <w:pStyle w:val="ListParagraph"/>
              <w:ind w:left="0" w:firstLine="46"/>
              <w:rPr>
                <w:rFonts w:ascii="Candara" w:hAnsi="Candara"/>
                <w:color w:val="000000"/>
                <w:sz w:val="16"/>
                <w:szCs w:val="16"/>
                <w:lang w:eastAsia="lv-LV"/>
              </w:rPr>
            </w:pPr>
            <w:r w:rsidRPr="006F5067">
              <w:rPr>
                <w:rFonts w:ascii="Candara" w:eastAsia="Candara" w:hAnsi="Candara" w:cs="Candara"/>
                <w:sz w:val="16"/>
                <w:szCs w:val="16"/>
              </w:rPr>
              <w:t>IZM</w:t>
            </w:r>
          </w:p>
        </w:tc>
        <w:tc>
          <w:tcPr>
            <w:tcW w:w="1276" w:type="dxa"/>
            <w:shd w:val="clear" w:color="auto" w:fill="FFFFFF" w:themeFill="background1"/>
          </w:tcPr>
          <w:p w:rsidR="00214E4F" w:rsidRPr="00003013" w:rsidP="00214E4F" w14:paraId="02D99864" w14:textId="2745D6E0">
            <w:pPr>
              <w:pStyle w:val="ListParagraph"/>
              <w:ind w:left="0" w:firstLine="46"/>
              <w:rPr>
                <w:rFonts w:ascii="Candara" w:hAnsi="Candara"/>
                <w:color w:val="000000"/>
                <w:sz w:val="16"/>
                <w:szCs w:val="16"/>
                <w:lang w:eastAsia="lv-LV"/>
              </w:rPr>
            </w:pPr>
            <w:r w:rsidRPr="00003013">
              <w:rPr>
                <w:rFonts w:ascii="Candara" w:eastAsia="Candara" w:hAnsi="Candara" w:cs="Candara"/>
                <w:sz w:val="16"/>
                <w:szCs w:val="16"/>
              </w:rPr>
              <w:t>201</w:t>
            </w:r>
            <w:r w:rsidR="00C6536F">
              <w:rPr>
                <w:rFonts w:ascii="Candara" w:eastAsia="Candara" w:hAnsi="Candara" w:cs="Candara"/>
                <w:sz w:val="16"/>
                <w:szCs w:val="16"/>
              </w:rPr>
              <w:t>8</w:t>
            </w:r>
          </w:p>
        </w:tc>
      </w:tr>
      <w:tr w14:paraId="6B857DAE" w14:textId="77777777" w:rsidTr="00D13CD1">
        <w:tblPrEx>
          <w:tblW w:w="14601" w:type="dxa"/>
          <w:tblInd w:w="-147" w:type="dxa"/>
          <w:tblLayout w:type="fixed"/>
          <w:tblLook w:val="0400"/>
        </w:tblPrEx>
        <w:tc>
          <w:tcPr>
            <w:tcW w:w="1985" w:type="dxa"/>
            <w:shd w:val="clear" w:color="auto" w:fill="FFFFFF" w:themeFill="background1"/>
          </w:tcPr>
          <w:p w:rsidR="00B8601C" w:rsidRPr="007F3216" w:rsidP="00AB73E1" w14:paraId="5CCFAE37" w14:textId="77777777">
            <w:pPr>
              <w:widowControl w:val="0"/>
              <w:numPr>
                <w:ilvl w:val="1"/>
                <w:numId w:val="35"/>
              </w:numPr>
              <w:spacing w:after="0" w:line="240" w:lineRule="auto"/>
              <w:ind w:hanging="360"/>
              <w:rPr>
                <w:rFonts w:ascii="Candara" w:hAnsi="Candara"/>
                <w:color w:val="000000"/>
                <w:sz w:val="16"/>
                <w:szCs w:val="16"/>
                <w:lang w:eastAsia="lv-LV"/>
              </w:rPr>
            </w:pPr>
            <w:r w:rsidRPr="007F3216">
              <w:rPr>
                <w:rFonts w:ascii="Candara" w:hAnsi="Candara"/>
                <w:color w:val="000000"/>
                <w:sz w:val="16"/>
                <w:szCs w:val="16"/>
                <w:lang w:eastAsia="lv-LV"/>
              </w:rPr>
              <w:t xml:space="preserve">Izstrādāt inovāciju </w:t>
            </w:r>
            <w:r w:rsidR="00AB73E1">
              <w:rPr>
                <w:rFonts w:ascii="Candara" w:hAnsi="Candara"/>
                <w:color w:val="000000"/>
                <w:sz w:val="16"/>
                <w:szCs w:val="16"/>
                <w:lang w:eastAsia="lv-LV"/>
              </w:rPr>
              <w:t xml:space="preserve">partnerības procedūras iepirkuma </w:t>
            </w:r>
            <w:r w:rsidRPr="007F3216">
              <w:rPr>
                <w:rFonts w:ascii="Candara" w:hAnsi="Candara"/>
                <w:color w:val="000000"/>
                <w:sz w:val="16"/>
                <w:szCs w:val="16"/>
                <w:lang w:eastAsia="lv-LV"/>
              </w:rPr>
              <w:t>praktiskās piemērošanas vadlīnijas un iestrādāt inovāciju iepirkuma prasību visās atbilstošajās RIS3 īstenošanas programmās</w:t>
            </w:r>
          </w:p>
        </w:tc>
        <w:tc>
          <w:tcPr>
            <w:tcW w:w="2268" w:type="dxa"/>
            <w:shd w:val="clear" w:color="auto" w:fill="FFFFFF" w:themeFill="background1"/>
          </w:tcPr>
          <w:p w:rsidR="00B8601C" w:rsidRPr="007F3216" w:rsidP="00AB73E1" w14:paraId="265B6AE5" w14:textId="77777777">
            <w:pPr>
              <w:spacing w:after="0" w:line="240" w:lineRule="auto"/>
              <w:rPr>
                <w:rFonts w:ascii="Candara" w:hAnsi="Candara"/>
                <w:color w:val="000000"/>
                <w:sz w:val="16"/>
                <w:szCs w:val="16"/>
                <w:lang w:eastAsia="lv-LV"/>
              </w:rPr>
            </w:pPr>
            <w:r w:rsidRPr="007F3216">
              <w:rPr>
                <w:rFonts w:ascii="Candara" w:hAnsi="Candara"/>
                <w:color w:val="000000"/>
                <w:sz w:val="16"/>
                <w:szCs w:val="16"/>
                <w:lang w:eastAsia="lv-LV"/>
              </w:rPr>
              <w:t xml:space="preserve">RIS3 programmās </w:t>
            </w:r>
            <w:r w:rsidR="00AB73E1">
              <w:rPr>
                <w:rFonts w:ascii="Candara" w:hAnsi="Candara"/>
                <w:color w:val="000000"/>
                <w:sz w:val="16"/>
                <w:szCs w:val="16"/>
                <w:lang w:eastAsia="lv-LV"/>
              </w:rPr>
              <w:t>piemērota inovāciju partnerības procedūra</w:t>
            </w:r>
            <w:r w:rsidRPr="007F3216">
              <w:rPr>
                <w:rFonts w:ascii="Candara" w:hAnsi="Candara"/>
                <w:color w:val="000000"/>
                <w:sz w:val="16"/>
                <w:szCs w:val="16"/>
                <w:lang w:eastAsia="lv-LV"/>
              </w:rPr>
              <w:t xml:space="preserve"> un palielinās pasūtījums inovāciju radīšanai</w:t>
            </w:r>
          </w:p>
        </w:tc>
        <w:tc>
          <w:tcPr>
            <w:tcW w:w="3260" w:type="dxa"/>
            <w:shd w:val="clear" w:color="auto" w:fill="FFFFFF" w:themeFill="background1"/>
          </w:tcPr>
          <w:p w:rsidR="00B8601C" w:rsidRPr="007F3216" w:rsidP="00AB73E1" w14:paraId="1C2090C9" w14:textId="77777777">
            <w:pPr>
              <w:spacing w:after="0" w:line="240" w:lineRule="auto"/>
              <w:rPr>
                <w:rFonts w:ascii="Candara" w:eastAsia="Candara" w:hAnsi="Candara" w:cs="Candara"/>
                <w:sz w:val="16"/>
                <w:szCs w:val="16"/>
              </w:rPr>
            </w:pPr>
            <w:r w:rsidRPr="007F3216">
              <w:rPr>
                <w:rFonts w:ascii="Candara" w:hAnsi="Candara"/>
                <w:sz w:val="16"/>
                <w:szCs w:val="16"/>
              </w:rPr>
              <w:t xml:space="preserve">Inovāciju </w:t>
            </w:r>
            <w:r w:rsidR="00AB73E1">
              <w:rPr>
                <w:rFonts w:ascii="Candara" w:hAnsi="Candara"/>
                <w:sz w:val="16"/>
                <w:szCs w:val="16"/>
              </w:rPr>
              <w:t>partnerības procedūras ietvaros īstenoto iepirkumu</w:t>
            </w:r>
            <w:r w:rsidRPr="007F3216" w:rsidR="00AB73E1">
              <w:rPr>
                <w:rFonts w:ascii="Candara" w:hAnsi="Candara"/>
                <w:sz w:val="16"/>
                <w:szCs w:val="16"/>
              </w:rPr>
              <w:t xml:space="preserve"> </w:t>
            </w:r>
            <w:r w:rsidRPr="007F3216">
              <w:rPr>
                <w:rFonts w:ascii="Candara" w:hAnsi="Candara"/>
                <w:sz w:val="16"/>
                <w:szCs w:val="16"/>
              </w:rPr>
              <w:t>piemērošanas gadījumu skaits</w:t>
            </w:r>
          </w:p>
        </w:tc>
        <w:tc>
          <w:tcPr>
            <w:tcW w:w="2694" w:type="dxa"/>
            <w:shd w:val="clear" w:color="auto" w:fill="FFFFFF" w:themeFill="background1"/>
          </w:tcPr>
          <w:p w:rsidR="00B8601C" w:rsidRPr="007F3216" w:rsidP="00B8601C" w14:paraId="285F2E56" w14:textId="77777777">
            <w:pPr>
              <w:pStyle w:val="ListParagraph"/>
              <w:ind w:left="0" w:firstLine="0"/>
              <w:rPr>
                <w:rFonts w:ascii="Candara" w:hAnsi="Candara"/>
                <w:color w:val="000000"/>
                <w:sz w:val="16"/>
                <w:szCs w:val="16"/>
                <w:lang w:eastAsia="lv-LV"/>
              </w:rPr>
            </w:pPr>
            <w:r w:rsidRPr="007F3216">
              <w:rPr>
                <w:rFonts w:ascii="Candara" w:hAnsi="Candara"/>
                <w:color w:val="000000"/>
                <w:sz w:val="16"/>
                <w:szCs w:val="16"/>
                <w:lang w:eastAsia="lv-LV"/>
              </w:rPr>
              <w:t>Inovatīvo uzņēmumu un pasūtījumu apjoms zinātniskajām institūcijām</w:t>
            </w:r>
          </w:p>
        </w:tc>
        <w:tc>
          <w:tcPr>
            <w:tcW w:w="1701" w:type="dxa"/>
            <w:shd w:val="clear" w:color="auto" w:fill="FFFFFF" w:themeFill="background1"/>
          </w:tcPr>
          <w:p w:rsidR="00B8601C" w:rsidRPr="007F3216" w:rsidP="00B8601C" w14:paraId="66815F5F" w14:textId="77777777">
            <w:pPr>
              <w:pStyle w:val="ListParagraph"/>
              <w:ind w:left="0" w:firstLine="0"/>
              <w:rPr>
                <w:rFonts w:ascii="Candara" w:hAnsi="Candara"/>
                <w:color w:val="000000"/>
                <w:sz w:val="16"/>
                <w:szCs w:val="16"/>
                <w:lang w:eastAsia="lv-LV"/>
              </w:rPr>
            </w:pPr>
            <w:r w:rsidRPr="007F3216">
              <w:rPr>
                <w:rFonts w:ascii="Candara" w:eastAsia="Candara" w:hAnsi="Candara" w:cs="Candara"/>
                <w:sz w:val="16"/>
                <w:szCs w:val="16"/>
              </w:rPr>
              <w:t>Esošā budžeta ietvaros</w:t>
            </w:r>
          </w:p>
        </w:tc>
        <w:tc>
          <w:tcPr>
            <w:tcW w:w="1417" w:type="dxa"/>
            <w:shd w:val="clear" w:color="auto" w:fill="FFFFFF" w:themeFill="background1"/>
          </w:tcPr>
          <w:p w:rsidR="00B8601C" w:rsidRPr="007F3216" w:rsidP="00B8601C" w14:paraId="0C34C051" w14:textId="77777777">
            <w:pPr>
              <w:pStyle w:val="ListParagraph"/>
              <w:ind w:left="0" w:firstLine="0"/>
              <w:rPr>
                <w:rFonts w:ascii="Candara" w:eastAsia="Candara" w:hAnsi="Candara" w:cs="Candara"/>
                <w:sz w:val="16"/>
                <w:szCs w:val="16"/>
              </w:rPr>
            </w:pPr>
            <w:r w:rsidRPr="007F3216">
              <w:rPr>
                <w:rFonts w:ascii="Candara" w:eastAsia="Candara" w:hAnsi="Candara" w:cs="Candara"/>
                <w:sz w:val="16"/>
                <w:szCs w:val="16"/>
              </w:rPr>
              <w:t>FM, EM</w:t>
            </w:r>
          </w:p>
        </w:tc>
        <w:tc>
          <w:tcPr>
            <w:tcW w:w="1276" w:type="dxa"/>
            <w:shd w:val="clear" w:color="auto" w:fill="FFFFFF" w:themeFill="background1"/>
          </w:tcPr>
          <w:p w:rsidR="00B8601C" w:rsidRPr="00600185" w:rsidP="00B8601C" w14:paraId="5EC2A01E" w14:textId="77777777">
            <w:pPr>
              <w:pStyle w:val="ListParagraph"/>
              <w:ind w:left="0" w:firstLine="0"/>
              <w:rPr>
                <w:rFonts w:ascii="Candara" w:eastAsia="Candara" w:hAnsi="Candara" w:cs="Candara"/>
                <w:sz w:val="16"/>
                <w:szCs w:val="16"/>
              </w:rPr>
            </w:pPr>
            <w:r>
              <w:rPr>
                <w:rFonts w:ascii="Candara" w:eastAsia="Candara" w:hAnsi="Candara" w:cs="Candara"/>
                <w:sz w:val="16"/>
                <w:szCs w:val="16"/>
              </w:rPr>
              <w:t>2020</w:t>
            </w:r>
          </w:p>
        </w:tc>
      </w:tr>
    </w:tbl>
    <w:p w:rsidR="005B7152" w:rsidP="005B7152" w14:paraId="7B3373CB" w14:textId="77777777">
      <w:pPr>
        <w:shd w:val="clear" w:color="auto" w:fill="FFFFFF"/>
        <w:spacing w:after="0" w:line="240" w:lineRule="auto"/>
        <w:ind w:left="482" w:hanging="340"/>
        <w:rPr>
          <w:rFonts w:ascii="Candara" w:eastAsia="Candara" w:hAnsi="Candara" w:cs="Candara"/>
          <w:b/>
          <w:color w:val="FFFFFF"/>
          <w:sz w:val="24"/>
          <w:szCs w:val="24"/>
        </w:rPr>
      </w:pPr>
    </w:p>
    <w:p w:rsidR="005B7152" w:rsidP="005B7152" w14:paraId="7FEE2F0C" w14:textId="77777777">
      <w:pPr>
        <w:shd w:val="clear" w:color="auto" w:fill="1F3864"/>
        <w:spacing w:after="0" w:line="240" w:lineRule="auto"/>
        <w:ind w:left="482" w:hanging="340"/>
        <w:rPr>
          <w:rFonts w:ascii="Candara" w:eastAsia="Candara" w:hAnsi="Candara" w:cs="Candara"/>
          <w:b/>
          <w:color w:val="FFFFFF"/>
          <w:sz w:val="24"/>
          <w:szCs w:val="24"/>
        </w:rPr>
      </w:pPr>
      <w:r>
        <w:rPr>
          <w:rFonts w:ascii="Candara" w:eastAsia="Candara" w:hAnsi="Candara" w:cs="Candara"/>
          <w:b/>
          <w:color w:val="FFFFFF"/>
          <w:sz w:val="24"/>
          <w:szCs w:val="24"/>
        </w:rPr>
        <w:t>2.Konkurētspējas stiprināšana</w:t>
      </w:r>
    </w:p>
    <w:p w:rsidR="00B8601C" w:rsidRPr="00B8601C" w:rsidP="00B8601C" w14:paraId="6F8FECBF" w14:textId="77777777">
      <w:pPr>
        <w:pStyle w:val="Caption"/>
        <w:rPr>
          <w:sz w:val="4"/>
          <w:szCs w:val="4"/>
        </w:rPr>
      </w:pPr>
    </w:p>
    <w:tbl>
      <w:tblPr>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3"/>
        <w:gridCol w:w="2268"/>
        <w:gridCol w:w="3260"/>
        <w:gridCol w:w="2694"/>
        <w:gridCol w:w="1701"/>
        <w:gridCol w:w="1417"/>
        <w:gridCol w:w="1276"/>
      </w:tblGrid>
      <w:tr w14:paraId="73A08A63" w14:textId="77777777" w:rsidTr="005B7152">
        <w:tblPrEx>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953" w:type="dxa"/>
            <w:shd w:val="clear" w:color="auto" w:fill="D9D9D9"/>
            <w:vAlign w:val="center"/>
          </w:tcPr>
          <w:p w:rsidR="00B8601C" w:rsidRPr="00057738" w:rsidP="00B8601C" w14:paraId="7F7A524B"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Atbalsta instrumenti un politikas iniciatīvas</w:t>
            </w:r>
          </w:p>
        </w:tc>
        <w:tc>
          <w:tcPr>
            <w:tcW w:w="2268" w:type="dxa"/>
            <w:shd w:val="clear" w:color="auto" w:fill="D9D9D9"/>
            <w:vAlign w:val="center"/>
          </w:tcPr>
          <w:p w:rsidR="00B8601C" w:rsidRPr="00057738" w:rsidP="00B8601C" w14:paraId="12B411A4"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 xml:space="preserve">Sagaidāmās izmaiņas </w:t>
            </w:r>
          </w:p>
        </w:tc>
        <w:tc>
          <w:tcPr>
            <w:tcW w:w="3260" w:type="dxa"/>
            <w:shd w:val="clear" w:color="auto" w:fill="D9D9D9"/>
            <w:vAlign w:val="center"/>
          </w:tcPr>
          <w:p w:rsidR="00B8601C" w:rsidRPr="00057738" w:rsidP="00B8601C" w14:paraId="211586F0"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Rezultāta indikatori</w:t>
            </w:r>
          </w:p>
        </w:tc>
        <w:tc>
          <w:tcPr>
            <w:tcW w:w="2694" w:type="dxa"/>
            <w:shd w:val="clear" w:color="auto" w:fill="D9D9D9"/>
            <w:vAlign w:val="center"/>
          </w:tcPr>
          <w:p w:rsidR="00B8601C" w:rsidRPr="00057738" w:rsidP="00B8601C" w14:paraId="51E66E2B"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Iznākuma/ rezultāta rādītāji</w:t>
            </w:r>
          </w:p>
        </w:tc>
        <w:tc>
          <w:tcPr>
            <w:tcW w:w="1701" w:type="dxa"/>
            <w:shd w:val="clear" w:color="auto" w:fill="D9D9D9"/>
          </w:tcPr>
          <w:p w:rsidR="00B8601C" w:rsidRPr="00057738" w:rsidP="00B8601C" w14:paraId="101D3E51"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Finansējuma avots un apmērs</w:t>
            </w:r>
          </w:p>
        </w:tc>
        <w:tc>
          <w:tcPr>
            <w:tcW w:w="1417" w:type="dxa"/>
            <w:shd w:val="clear" w:color="auto" w:fill="D9D9D9"/>
          </w:tcPr>
          <w:p w:rsidR="00B8601C" w:rsidRPr="00057738" w:rsidP="00B8601C" w14:paraId="4CEC62F8"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Par uzdevuma izpildi atbildīgās institūcijas</w:t>
            </w:r>
          </w:p>
        </w:tc>
        <w:tc>
          <w:tcPr>
            <w:tcW w:w="1276" w:type="dxa"/>
            <w:shd w:val="clear" w:color="auto" w:fill="D9D9D9"/>
          </w:tcPr>
          <w:p w:rsidR="00B8601C" w:rsidRPr="00057738" w:rsidP="00B8601C" w14:paraId="239DB11E"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Uzdevuma izpildes termiņš (gads)</w:t>
            </w:r>
          </w:p>
        </w:tc>
      </w:tr>
      <w:tr w14:paraId="6796A480"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70E9E489" w14:textId="77777777">
            <w:pPr>
              <w:widowControl w:val="0"/>
              <w:numPr>
                <w:ilvl w:val="0"/>
                <w:numId w:val="52"/>
              </w:numPr>
              <w:spacing w:after="0" w:line="240" w:lineRule="auto"/>
              <w:ind w:left="310" w:hanging="284"/>
              <w:rPr>
                <w:rFonts w:ascii="Candara" w:eastAsia="Candara" w:hAnsi="Candara" w:cs="Candara"/>
                <w:sz w:val="16"/>
                <w:szCs w:val="16"/>
              </w:rPr>
            </w:pPr>
            <w:r w:rsidRPr="00057738">
              <w:rPr>
                <w:rFonts w:ascii="Candara" w:eastAsia="Candara" w:hAnsi="Candara" w:cs="Candara"/>
                <w:sz w:val="16"/>
                <w:szCs w:val="16"/>
              </w:rPr>
              <w:t xml:space="preserve">Sekmēt strauji augošu uzņēmumu rašanos un jaunuzņēmumu attīstību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7F13D40"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Pilnveidota Latvijas jaunuzņēmumu ekosistēma piecos prioritāros virzienos:</w:t>
            </w:r>
          </w:p>
          <w:p w:rsidR="00B8601C" w:rsidRPr="00057738" w:rsidP="00B8601C" w14:paraId="5CC7A63A" w14:textId="77777777">
            <w:pPr>
              <w:widowControl w:val="0"/>
              <w:numPr>
                <w:ilvl w:val="0"/>
                <w:numId w:val="30"/>
              </w:numPr>
              <w:spacing w:after="0" w:line="240" w:lineRule="auto"/>
              <w:ind w:left="244" w:hanging="244"/>
              <w:rPr>
                <w:rFonts w:ascii="Candara" w:hAnsi="Candara"/>
                <w:sz w:val="16"/>
                <w:szCs w:val="16"/>
              </w:rPr>
            </w:pPr>
            <w:r w:rsidRPr="00057738">
              <w:rPr>
                <w:rFonts w:ascii="Candara" w:eastAsia="Candara" w:hAnsi="Candara" w:cs="Candara"/>
                <w:sz w:val="16"/>
                <w:szCs w:val="16"/>
              </w:rPr>
              <w:t>Latvijas jaunuzņēmumu ekosistēmas atpazīstamība</w:t>
            </w:r>
          </w:p>
          <w:p w:rsidR="00B8601C" w:rsidRPr="00057738" w:rsidP="00B8601C" w14:paraId="7240E113" w14:textId="77777777">
            <w:pPr>
              <w:widowControl w:val="0"/>
              <w:numPr>
                <w:ilvl w:val="0"/>
                <w:numId w:val="30"/>
              </w:numPr>
              <w:spacing w:after="0" w:line="240" w:lineRule="auto"/>
              <w:ind w:left="244" w:hanging="244"/>
              <w:rPr>
                <w:rFonts w:ascii="Candara" w:hAnsi="Candara"/>
                <w:sz w:val="16"/>
                <w:szCs w:val="16"/>
              </w:rPr>
            </w:pPr>
            <w:r w:rsidRPr="00057738">
              <w:rPr>
                <w:rFonts w:ascii="Candara" w:eastAsia="Candara" w:hAnsi="Candara" w:cs="Candara"/>
                <w:sz w:val="16"/>
                <w:szCs w:val="16"/>
              </w:rPr>
              <w:t>Efektīvas jaunuzņēmumu vides pārvaldība</w:t>
            </w:r>
          </w:p>
          <w:p w:rsidR="00B8601C" w:rsidRPr="00057738" w:rsidP="00B8601C" w14:paraId="3E078638" w14:textId="77777777">
            <w:pPr>
              <w:widowControl w:val="0"/>
              <w:numPr>
                <w:ilvl w:val="0"/>
                <w:numId w:val="30"/>
              </w:numPr>
              <w:spacing w:after="0" w:line="240" w:lineRule="auto"/>
              <w:ind w:left="244" w:hanging="244"/>
              <w:rPr>
                <w:rFonts w:ascii="Candara" w:hAnsi="Candara"/>
                <w:sz w:val="16"/>
                <w:szCs w:val="16"/>
              </w:rPr>
            </w:pPr>
            <w:r w:rsidRPr="00057738">
              <w:rPr>
                <w:rFonts w:ascii="Candara" w:eastAsia="Candara" w:hAnsi="Candara" w:cs="Candara"/>
                <w:sz w:val="16"/>
                <w:szCs w:val="16"/>
              </w:rPr>
              <w:t>Moderns tiesiskais regulējums jaunuzņēmumu attīstībai</w:t>
            </w:r>
          </w:p>
          <w:p w:rsidR="00B8601C" w:rsidRPr="00057738" w:rsidP="00B8601C" w14:paraId="41B4F6F9" w14:textId="77777777">
            <w:pPr>
              <w:widowControl w:val="0"/>
              <w:numPr>
                <w:ilvl w:val="0"/>
                <w:numId w:val="30"/>
              </w:numPr>
              <w:spacing w:after="0" w:line="240" w:lineRule="auto"/>
              <w:ind w:left="244" w:hanging="244"/>
              <w:rPr>
                <w:rFonts w:ascii="Candara" w:hAnsi="Candara"/>
                <w:sz w:val="16"/>
                <w:szCs w:val="16"/>
              </w:rPr>
            </w:pPr>
            <w:r w:rsidRPr="00057738">
              <w:rPr>
                <w:rFonts w:ascii="Candara" w:eastAsia="Candara" w:hAnsi="Candara" w:cs="Candara"/>
                <w:sz w:val="16"/>
                <w:szCs w:val="16"/>
              </w:rPr>
              <w:t>Investīciju piesaiste un finansējuma pieejamība  jaunuzņēmumiem</w:t>
            </w:r>
          </w:p>
          <w:p w:rsidR="00B8601C" w:rsidRPr="00057738" w:rsidP="00B8601C" w14:paraId="5673861F" w14:textId="77777777">
            <w:pPr>
              <w:widowControl w:val="0"/>
              <w:numPr>
                <w:ilvl w:val="0"/>
                <w:numId w:val="30"/>
              </w:numPr>
              <w:spacing w:after="0" w:line="240" w:lineRule="auto"/>
              <w:ind w:left="244" w:hanging="244"/>
              <w:rPr>
                <w:rFonts w:ascii="Candara" w:hAnsi="Candara"/>
                <w:sz w:val="16"/>
                <w:szCs w:val="16"/>
              </w:rPr>
            </w:pPr>
            <w:r w:rsidRPr="00057738">
              <w:rPr>
                <w:rFonts w:ascii="Candara" w:eastAsia="Candara" w:hAnsi="Candara" w:cs="Candara"/>
                <w:sz w:val="16"/>
                <w:szCs w:val="16"/>
              </w:rPr>
              <w:t xml:space="preserve">Jaunuzņēmumu komandu attīstība un talantu piesaiste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8ED4109" w14:textId="77777777">
            <w:pPr>
              <w:widowControl w:val="0"/>
              <w:numPr>
                <w:ilvl w:val="0"/>
                <w:numId w:val="30"/>
              </w:numPr>
              <w:spacing w:after="0" w:line="240" w:lineRule="auto"/>
              <w:ind w:left="124" w:hanging="124"/>
              <w:rPr>
                <w:rFonts w:ascii="Candara" w:hAnsi="Candara"/>
                <w:sz w:val="16"/>
                <w:szCs w:val="16"/>
              </w:rPr>
            </w:pPr>
            <w:r w:rsidRPr="00057738">
              <w:rPr>
                <w:rFonts w:ascii="Candara" w:eastAsia="Candara" w:hAnsi="Candara" w:cs="Candara"/>
                <w:sz w:val="16"/>
                <w:szCs w:val="16"/>
              </w:rPr>
              <w:t>Jaunuzņēmumu skaits Latvijā;</w:t>
            </w:r>
          </w:p>
          <w:p w:rsidR="00B8601C" w:rsidRPr="00057738" w:rsidP="00B8601C" w14:paraId="30E4ADB8" w14:textId="77777777">
            <w:pPr>
              <w:widowControl w:val="0"/>
              <w:numPr>
                <w:ilvl w:val="0"/>
                <w:numId w:val="30"/>
              </w:numPr>
              <w:spacing w:after="0" w:line="240" w:lineRule="auto"/>
              <w:ind w:left="124" w:hanging="124"/>
              <w:rPr>
                <w:rFonts w:ascii="Candara" w:hAnsi="Candara"/>
                <w:sz w:val="16"/>
                <w:szCs w:val="16"/>
              </w:rPr>
            </w:pPr>
            <w:r w:rsidRPr="00057738">
              <w:rPr>
                <w:rFonts w:ascii="Candara" w:eastAsia="Candara" w:hAnsi="Candara" w:cs="Candara"/>
                <w:sz w:val="16"/>
                <w:szCs w:val="16"/>
              </w:rPr>
              <w:t>Piesaistīto investīciju apjoms jaunuzņēmumiem</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FE92F34"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2020.gadā:</w:t>
            </w:r>
          </w:p>
          <w:p w:rsidR="00B8601C" w:rsidRPr="00057738" w:rsidP="00B8601C" w14:paraId="3FC4C30B" w14:textId="77777777">
            <w:pPr>
              <w:widowControl w:val="0"/>
              <w:numPr>
                <w:ilvl w:val="0"/>
                <w:numId w:val="54"/>
              </w:numPr>
              <w:spacing w:after="0" w:line="240" w:lineRule="auto"/>
              <w:ind w:left="185" w:hanging="185"/>
              <w:rPr>
                <w:rFonts w:ascii="Candara" w:hAnsi="Candara"/>
                <w:sz w:val="16"/>
                <w:szCs w:val="16"/>
              </w:rPr>
            </w:pPr>
            <w:r w:rsidRPr="00057738">
              <w:rPr>
                <w:rFonts w:ascii="Candara" w:eastAsia="Candara" w:hAnsi="Candara" w:cs="Candara"/>
                <w:sz w:val="16"/>
                <w:szCs w:val="16"/>
              </w:rPr>
              <w:t>Jaunuzņēmumi, kas saņēmuši atbalstu valsts atbalsta programmā – 30;</w:t>
            </w:r>
          </w:p>
          <w:p w:rsidR="00B8601C" w:rsidRPr="00057738" w:rsidP="00B8601C" w14:paraId="7A7B5F13" w14:textId="77777777">
            <w:pPr>
              <w:widowControl w:val="0"/>
              <w:numPr>
                <w:ilvl w:val="0"/>
                <w:numId w:val="54"/>
              </w:numPr>
              <w:spacing w:after="0" w:line="240" w:lineRule="auto"/>
              <w:ind w:left="185" w:hanging="185"/>
              <w:rPr>
                <w:rFonts w:ascii="Candara" w:hAnsi="Candara"/>
                <w:sz w:val="16"/>
                <w:szCs w:val="16"/>
              </w:rPr>
            </w:pPr>
            <w:r w:rsidRPr="00057738">
              <w:rPr>
                <w:rFonts w:ascii="Candara" w:eastAsia="Candara" w:hAnsi="Candara" w:cs="Candara"/>
                <w:sz w:val="16"/>
                <w:szCs w:val="16"/>
              </w:rPr>
              <w:t>Piesaistīto investīciju apjoms jaunuzņēmumiem – 800 milj. EUR;</w:t>
            </w:r>
          </w:p>
          <w:p w:rsidR="00B8601C" w:rsidRPr="00057738" w:rsidP="00B8601C" w14:paraId="69FB5330" w14:textId="77777777">
            <w:pPr>
              <w:widowControl w:val="0"/>
              <w:numPr>
                <w:ilvl w:val="0"/>
                <w:numId w:val="54"/>
              </w:numPr>
              <w:spacing w:after="0" w:line="240" w:lineRule="auto"/>
              <w:ind w:left="185" w:hanging="185"/>
              <w:rPr>
                <w:rFonts w:ascii="Candara" w:hAnsi="Candara"/>
                <w:sz w:val="16"/>
                <w:szCs w:val="16"/>
              </w:rPr>
            </w:pPr>
            <w:r w:rsidRPr="00057738">
              <w:rPr>
                <w:rFonts w:ascii="Candara" w:eastAsia="Candara" w:hAnsi="Candara" w:cs="Candara"/>
                <w:sz w:val="16"/>
                <w:szCs w:val="16"/>
              </w:rPr>
              <w:t>Jaunuzņēmumu skaits: 360 (vidēji 60 jaunuzņēmumu gadā)</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9B338DE"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EM budžeta ietvaros;</w:t>
            </w:r>
          </w:p>
          <w:p w:rsidR="00B8601C" w:rsidRPr="00057738" w:rsidP="00B8601C" w14:paraId="1B999416"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1.2.1.2. pasākums "Atbalsts tehnoloģiju pārneses sistēmas pilnveidošanai" (40,6 milj. EUR)*;</w:t>
            </w:r>
          </w:p>
          <w:p w:rsidR="00B8601C" w:rsidRPr="00057738" w:rsidP="00B8601C" w14:paraId="6DD2D7FF"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ALTUM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CB540D4"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EM, LIAA, ALTUM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084F422" w14:textId="77777777">
            <w:pPr>
              <w:spacing w:after="0" w:line="240" w:lineRule="auto"/>
              <w:rPr>
                <w:rFonts w:ascii="Candara" w:eastAsia="Candara" w:hAnsi="Candara" w:cs="Candara"/>
                <w:sz w:val="16"/>
                <w:szCs w:val="16"/>
              </w:rPr>
            </w:pPr>
            <w:r>
              <w:rPr>
                <w:rFonts w:ascii="Candara" w:eastAsia="Candara" w:hAnsi="Candara" w:cs="Candara"/>
                <w:sz w:val="16"/>
                <w:szCs w:val="16"/>
              </w:rPr>
              <w:t>2020</w:t>
            </w:r>
          </w:p>
        </w:tc>
      </w:tr>
      <w:tr w14:paraId="67EB0E74"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931AEC6" w14:textId="77777777">
            <w:pPr>
              <w:widowControl w:val="0"/>
              <w:numPr>
                <w:ilvl w:val="0"/>
                <w:numId w:val="52"/>
              </w:numPr>
              <w:spacing w:after="0" w:line="240" w:lineRule="auto"/>
              <w:ind w:left="310" w:hanging="310"/>
              <w:rPr>
                <w:rFonts w:ascii="Candara" w:eastAsia="Candara" w:hAnsi="Candara" w:cs="Candara"/>
                <w:sz w:val="16"/>
                <w:szCs w:val="16"/>
              </w:rPr>
            </w:pPr>
            <w:r w:rsidRPr="00057738">
              <w:rPr>
                <w:rFonts w:ascii="Candara" w:eastAsia="Candara" w:hAnsi="Candara" w:cs="Candara"/>
                <w:sz w:val="16"/>
                <w:szCs w:val="16"/>
              </w:rPr>
              <w:t xml:space="preserve">Atbalstīt jaunu dzīvotspējīgu un konkurētspējīgu komersantu izveidi un attīstību Latvijas reģionos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20AA777" w14:textId="77777777">
            <w:pPr>
              <w:widowControl w:val="0"/>
              <w:numPr>
                <w:ilvl w:val="0"/>
                <w:numId w:val="56"/>
              </w:numPr>
              <w:spacing w:after="0" w:line="240" w:lineRule="auto"/>
              <w:ind w:left="244" w:hanging="244"/>
              <w:rPr>
                <w:rFonts w:ascii="Candara" w:hAnsi="Candara"/>
                <w:sz w:val="16"/>
                <w:szCs w:val="16"/>
              </w:rPr>
            </w:pPr>
            <w:r w:rsidRPr="00057738">
              <w:rPr>
                <w:rFonts w:ascii="Candara" w:eastAsia="Candara" w:hAnsi="Candara" w:cs="Candara"/>
                <w:sz w:val="16"/>
                <w:szCs w:val="16"/>
              </w:rPr>
              <w:t>14 reģionālajos biznesa inkubatoros un 1 radošo industriju inkubatorā Rīgā tiek nodrošināti ar uzņēmējdarbības veicināšanu saistītie pakalpojumi, apmācības, mentorings, piešķirot grantus, veidojot koprades telpu, organizējot citus pasākumus</w:t>
            </w:r>
          </w:p>
          <w:p w:rsidR="00B8601C" w:rsidRPr="00057738" w:rsidP="00B8601C" w14:paraId="0DC7494A" w14:textId="77777777">
            <w:pPr>
              <w:widowControl w:val="0"/>
              <w:numPr>
                <w:ilvl w:val="0"/>
                <w:numId w:val="56"/>
              </w:numPr>
              <w:spacing w:after="0" w:line="240" w:lineRule="auto"/>
              <w:ind w:left="244" w:hanging="244"/>
              <w:rPr>
                <w:rFonts w:ascii="Candara" w:hAnsi="Candara"/>
                <w:sz w:val="16"/>
                <w:szCs w:val="16"/>
              </w:rPr>
            </w:pPr>
            <w:r w:rsidRPr="00057738">
              <w:rPr>
                <w:rFonts w:ascii="Candara" w:eastAsia="Candara" w:hAnsi="Candara" w:cs="Candara"/>
                <w:sz w:val="16"/>
                <w:szCs w:val="16"/>
              </w:rPr>
              <w:t>uzņēmējdarbības un konkurētspējas gara veicināšana Latvijas reģionos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153532E"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Nodrošināta biznesa inkubācijas pakalpojumu pieejamību reģionos (EM, LIAA)</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4AAE77F"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2023.12.31.:</w:t>
            </w:r>
          </w:p>
          <w:p w:rsidR="00B8601C" w:rsidRPr="00057738" w:rsidP="00B8601C" w14:paraId="0B7FE089" w14:textId="77777777">
            <w:pPr>
              <w:widowControl w:val="0"/>
              <w:numPr>
                <w:ilvl w:val="0"/>
                <w:numId w:val="57"/>
              </w:numPr>
              <w:spacing w:after="0" w:line="240" w:lineRule="auto"/>
              <w:ind w:left="185" w:hanging="185"/>
              <w:rPr>
                <w:rFonts w:ascii="Candara" w:hAnsi="Candara"/>
                <w:sz w:val="16"/>
                <w:szCs w:val="16"/>
              </w:rPr>
            </w:pPr>
            <w:r w:rsidRPr="00057738">
              <w:rPr>
                <w:rFonts w:ascii="Candara" w:eastAsia="Candara" w:hAnsi="Candara" w:cs="Candara"/>
                <w:sz w:val="16"/>
                <w:szCs w:val="16"/>
              </w:rPr>
              <w:t>200 MVU sniegts atbalsts (grants);</w:t>
            </w:r>
          </w:p>
          <w:p w:rsidR="00B8601C" w:rsidRPr="00057738" w:rsidP="00B8601C" w14:paraId="43D5A2BD" w14:textId="77777777">
            <w:pPr>
              <w:widowControl w:val="0"/>
              <w:numPr>
                <w:ilvl w:val="0"/>
                <w:numId w:val="57"/>
              </w:numPr>
              <w:spacing w:after="0" w:line="240" w:lineRule="auto"/>
              <w:ind w:left="185" w:hanging="185"/>
              <w:rPr>
                <w:rFonts w:ascii="Candara" w:hAnsi="Candara"/>
                <w:sz w:val="16"/>
                <w:szCs w:val="16"/>
              </w:rPr>
            </w:pPr>
            <w:r w:rsidRPr="00057738">
              <w:rPr>
                <w:rFonts w:ascii="Candara" w:eastAsia="Candara" w:hAnsi="Candara" w:cs="Candara"/>
                <w:sz w:val="16"/>
                <w:szCs w:val="16"/>
              </w:rPr>
              <w:t>148 jaunizveidoti MVU, kas saņem atbalstu</w:t>
            </w:r>
          </w:p>
          <w:p w:rsidR="00B8601C" w:rsidRPr="00057738" w:rsidP="00B8601C" w14:paraId="75D1049F" w14:textId="77777777">
            <w:pPr>
              <w:widowControl w:val="0"/>
              <w:numPr>
                <w:ilvl w:val="0"/>
                <w:numId w:val="57"/>
              </w:numPr>
              <w:spacing w:after="0" w:line="240" w:lineRule="auto"/>
              <w:ind w:left="185" w:hanging="185"/>
              <w:rPr>
                <w:rFonts w:ascii="Candara" w:hAnsi="Candara"/>
                <w:sz w:val="16"/>
                <w:szCs w:val="16"/>
              </w:rPr>
            </w:pPr>
            <w:r w:rsidRPr="00057738">
              <w:rPr>
                <w:rFonts w:ascii="Candara" w:eastAsia="Candara" w:hAnsi="Candara" w:cs="Candara"/>
                <w:sz w:val="16"/>
                <w:szCs w:val="16"/>
              </w:rPr>
              <w:t>40 radošo industriju MVU, kas saņem atbalstu</w:t>
            </w:r>
          </w:p>
          <w:p w:rsidR="00B8601C" w:rsidRPr="00057738" w:rsidP="00B8601C" w14:paraId="6EAB5167" w14:textId="77777777">
            <w:pPr>
              <w:widowControl w:val="0"/>
              <w:numPr>
                <w:ilvl w:val="0"/>
                <w:numId w:val="57"/>
              </w:numPr>
              <w:spacing w:after="0" w:line="240" w:lineRule="auto"/>
              <w:ind w:left="185" w:hanging="185"/>
              <w:rPr>
                <w:rFonts w:ascii="Candara" w:hAnsi="Candara"/>
                <w:sz w:val="16"/>
                <w:szCs w:val="16"/>
              </w:rPr>
            </w:pPr>
            <w:r w:rsidRPr="00057738">
              <w:rPr>
                <w:rFonts w:ascii="Candara" w:eastAsia="Candara" w:hAnsi="Candara" w:cs="Candara"/>
                <w:sz w:val="16"/>
                <w:szCs w:val="16"/>
              </w:rPr>
              <w:t>180 pirmsinkubācijas atbalsta saņēmēji</w:t>
            </w:r>
          </w:p>
          <w:p w:rsidR="00B8601C" w:rsidRPr="00057738" w:rsidP="00B8601C" w14:paraId="3D5ED02F" w14:textId="77777777">
            <w:pPr>
              <w:widowControl w:val="0"/>
              <w:numPr>
                <w:ilvl w:val="0"/>
                <w:numId w:val="57"/>
              </w:numPr>
              <w:spacing w:after="0" w:line="240" w:lineRule="auto"/>
              <w:ind w:left="185" w:hanging="185"/>
              <w:rPr>
                <w:rFonts w:ascii="Candara" w:hAnsi="Candara"/>
                <w:sz w:val="16"/>
                <w:szCs w:val="16"/>
              </w:rPr>
            </w:pPr>
            <w:r w:rsidRPr="00057738">
              <w:rPr>
                <w:rFonts w:ascii="Candara" w:eastAsia="Candara" w:hAnsi="Candara" w:cs="Candara"/>
                <w:sz w:val="16"/>
                <w:szCs w:val="16"/>
              </w:rPr>
              <w:t>200 pilnas slodzes ekvivalentu nodarbinātības pieaugums atbalstītajos MVU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796566F9"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3.1.1.6. pasākums " Reģionālie biznesa inkubatori un radošo industriju inkubators" (32,8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22C5EBC"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EM, LIAA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B3B2AF0"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4F1306CA"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F966D1B" w14:textId="77777777">
            <w:pPr>
              <w:widowControl w:val="0"/>
              <w:numPr>
                <w:ilvl w:val="0"/>
                <w:numId w:val="52"/>
              </w:numPr>
              <w:spacing w:after="0" w:line="240" w:lineRule="auto"/>
              <w:ind w:left="310" w:hanging="310"/>
              <w:rPr>
                <w:rFonts w:ascii="Candara" w:eastAsia="Candara" w:hAnsi="Candara" w:cs="Candara"/>
                <w:sz w:val="16"/>
                <w:szCs w:val="16"/>
              </w:rPr>
            </w:pPr>
            <w:r w:rsidRPr="00057738">
              <w:rPr>
                <w:rFonts w:ascii="Candara" w:eastAsia="Candara" w:hAnsi="Candara" w:cs="Candara"/>
                <w:sz w:val="16"/>
                <w:szCs w:val="16"/>
              </w:rPr>
              <w:t>Nodrošināt finansējuma pieejamību komersantiem uzņēmējdarbības uzsākšanai un attīstībai, tostarp RIS3 prioritārajās nozarēs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8E46D0B"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Nodrošināta finanšu instrumentu programmu pieejamība un plānoto rezultātu sasniegšana līdz 2023.gadam</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E37F65E" w14:textId="77777777">
            <w:pPr>
              <w:widowControl w:val="0"/>
              <w:numPr>
                <w:ilvl w:val="0"/>
                <w:numId w:val="46"/>
              </w:numPr>
              <w:spacing w:after="0" w:line="240" w:lineRule="auto"/>
              <w:ind w:left="124" w:hanging="142"/>
              <w:rPr>
                <w:rFonts w:ascii="Candara" w:hAnsi="Candara"/>
                <w:sz w:val="16"/>
                <w:szCs w:val="16"/>
              </w:rPr>
            </w:pPr>
            <w:r w:rsidRPr="00057738">
              <w:rPr>
                <w:rFonts w:ascii="Candara" w:eastAsia="Candara" w:hAnsi="Candara" w:cs="Candara"/>
                <w:sz w:val="16"/>
                <w:szCs w:val="16"/>
              </w:rPr>
              <w:t>Uzņēmumu līdzfinansējums P&amp;A projektiem (EUR);</w:t>
            </w:r>
          </w:p>
          <w:p w:rsidR="00B8601C" w:rsidRPr="00057738" w:rsidP="00B8601C" w14:paraId="03F356E8" w14:textId="77777777">
            <w:pPr>
              <w:widowControl w:val="0"/>
              <w:numPr>
                <w:ilvl w:val="0"/>
                <w:numId w:val="46"/>
              </w:numPr>
              <w:spacing w:after="0" w:line="240" w:lineRule="auto"/>
              <w:ind w:left="124" w:hanging="142"/>
              <w:rPr>
                <w:rFonts w:ascii="Candara" w:hAnsi="Candara"/>
                <w:sz w:val="16"/>
                <w:szCs w:val="16"/>
              </w:rPr>
            </w:pPr>
            <w:r w:rsidRPr="00057738">
              <w:rPr>
                <w:rFonts w:ascii="Candara" w:eastAsia="Candara" w:hAnsi="Candara" w:cs="Candara"/>
                <w:sz w:val="16"/>
                <w:szCs w:val="16"/>
              </w:rPr>
              <w:t>Uzņēmumu skaits, kas saņēmuši atbalstu, lai ieviestu jaunus produktus un tehnoloģijas;</w:t>
            </w:r>
          </w:p>
          <w:p w:rsidR="00B8601C" w:rsidRPr="00057738" w:rsidP="00B8601C" w14:paraId="2959C532" w14:textId="77777777">
            <w:pPr>
              <w:widowControl w:val="0"/>
              <w:numPr>
                <w:ilvl w:val="0"/>
                <w:numId w:val="46"/>
              </w:numPr>
              <w:spacing w:after="0" w:line="240" w:lineRule="auto"/>
              <w:ind w:left="124" w:hanging="142"/>
              <w:rPr>
                <w:rFonts w:ascii="Candara" w:hAnsi="Candara"/>
                <w:sz w:val="16"/>
                <w:szCs w:val="16"/>
              </w:rPr>
            </w:pPr>
            <w:r w:rsidRPr="00057738">
              <w:rPr>
                <w:rFonts w:ascii="Candara" w:eastAsia="Candara" w:hAnsi="Candara" w:cs="Candara"/>
                <w:sz w:val="16"/>
                <w:szCs w:val="16"/>
              </w:rPr>
              <w:t>Atbalstīto jaunizveidoto uzņēmumu skaits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73EECA81"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2023.12.31.:</w:t>
            </w:r>
          </w:p>
          <w:p w:rsidR="00B8601C" w:rsidRPr="00057738" w:rsidP="00B8601C" w14:paraId="2ADBB1AC" w14:textId="77777777">
            <w:pPr>
              <w:widowControl w:val="0"/>
              <w:numPr>
                <w:ilvl w:val="0"/>
                <w:numId w:val="47"/>
              </w:numPr>
              <w:spacing w:after="0" w:line="240" w:lineRule="auto"/>
              <w:ind w:left="185" w:hanging="185"/>
              <w:rPr>
                <w:rFonts w:ascii="Candara" w:hAnsi="Candara"/>
                <w:sz w:val="16"/>
                <w:szCs w:val="16"/>
              </w:rPr>
            </w:pPr>
            <w:r w:rsidRPr="00057738">
              <w:rPr>
                <w:rFonts w:ascii="Candara" w:eastAsia="Candara" w:hAnsi="Candara" w:cs="Candara"/>
                <w:sz w:val="16"/>
                <w:szCs w:val="16"/>
              </w:rPr>
              <w:t>790 komersanti, kas saņēmuši finansiālu atbalstu, kas nav granti</w:t>
            </w:r>
          </w:p>
          <w:p w:rsidR="00B8601C" w:rsidRPr="00057738" w:rsidP="00B8601C" w14:paraId="493BE23C" w14:textId="77777777">
            <w:pPr>
              <w:widowControl w:val="0"/>
              <w:numPr>
                <w:ilvl w:val="0"/>
                <w:numId w:val="47"/>
              </w:numPr>
              <w:spacing w:after="0" w:line="240" w:lineRule="auto"/>
              <w:ind w:left="185" w:hanging="185"/>
              <w:rPr>
                <w:rFonts w:ascii="Candara" w:hAnsi="Candara"/>
                <w:sz w:val="16"/>
                <w:szCs w:val="16"/>
              </w:rPr>
            </w:pPr>
            <w:r w:rsidRPr="00057738">
              <w:rPr>
                <w:rFonts w:ascii="Candara" w:eastAsia="Candara" w:hAnsi="Candara" w:cs="Candara"/>
                <w:sz w:val="16"/>
                <w:szCs w:val="16"/>
              </w:rPr>
              <w:t>atbalstīto jaunizveidoto komersantu skaits – 160</w:t>
            </w:r>
          </w:p>
          <w:p w:rsidR="00B8601C" w:rsidRPr="00057738" w:rsidP="00B8601C" w14:paraId="1962EDF8" w14:textId="77777777">
            <w:pPr>
              <w:widowControl w:val="0"/>
              <w:numPr>
                <w:ilvl w:val="0"/>
                <w:numId w:val="47"/>
              </w:numPr>
              <w:spacing w:after="0" w:line="240" w:lineRule="auto"/>
              <w:ind w:left="185" w:hanging="185"/>
              <w:rPr>
                <w:rFonts w:ascii="Candara" w:hAnsi="Candara"/>
                <w:sz w:val="16"/>
                <w:szCs w:val="16"/>
              </w:rPr>
            </w:pPr>
            <w:r w:rsidRPr="00057738">
              <w:rPr>
                <w:rFonts w:ascii="Candara" w:eastAsia="Candara" w:hAnsi="Candara" w:cs="Candara"/>
                <w:sz w:val="16"/>
                <w:szCs w:val="16"/>
              </w:rPr>
              <w:t>piesaistītais privātais līdzfinansējums - 12 750 000 EUR</w:t>
            </w:r>
          </w:p>
          <w:p w:rsidR="00B8601C" w:rsidRPr="00057738" w:rsidP="00B8601C" w14:paraId="034FF23A" w14:textId="77777777">
            <w:pPr>
              <w:widowControl w:val="0"/>
              <w:numPr>
                <w:ilvl w:val="0"/>
                <w:numId w:val="47"/>
              </w:numPr>
              <w:spacing w:after="0" w:line="240" w:lineRule="auto"/>
              <w:ind w:left="185" w:hanging="185"/>
              <w:rPr>
                <w:rFonts w:ascii="Candara" w:hAnsi="Candara"/>
                <w:sz w:val="16"/>
                <w:szCs w:val="16"/>
              </w:rPr>
            </w:pPr>
            <w:r w:rsidRPr="00057738">
              <w:rPr>
                <w:rFonts w:ascii="Candara" w:eastAsia="Candara" w:hAnsi="Candara" w:cs="Candara"/>
                <w:sz w:val="16"/>
                <w:szCs w:val="16"/>
              </w:rPr>
              <w:t>nodarbinātības pieaugums atbalstītajos uzņēmumos - 160 pilnslodžu ekvivalents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D0C5837"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SAM 3.1.1. "Sekmēt mazo un vidējo komersantu izveidi un attīstību, īpaši apstrādes rūpniecībā un RIS3 prioritārajās nozarēs" un SAM 3.1.2. "Palielināt straujas izaugsmes komersantu skaitu" </w:t>
            </w:r>
            <w:r w:rsidRPr="00057738">
              <w:rPr>
                <w:rFonts w:ascii="Candara" w:eastAsia="Candara" w:hAnsi="Candara" w:cs="Candara"/>
                <w:sz w:val="16"/>
                <w:szCs w:val="16"/>
              </w:rPr>
              <w:t>pasākumu ieviešanai" (60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DA0F1DA"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EM, ALTUM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26B07B2"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bl>
    <w:p w:rsidR="005B7152" w:rsidP="005B7152" w14:paraId="729DC7CD" w14:textId="77777777">
      <w:pPr>
        <w:spacing w:after="0" w:line="240" w:lineRule="auto"/>
        <w:rPr>
          <w:rFonts w:ascii="Candara" w:eastAsia="Candara" w:hAnsi="Candara" w:cs="Candara"/>
          <w:b/>
          <w:color w:val="FFFFFF"/>
          <w:sz w:val="18"/>
          <w:szCs w:val="18"/>
        </w:rPr>
      </w:pPr>
    </w:p>
    <w:p w:rsidR="005B7152" w:rsidP="005B7152" w14:paraId="2A06FF08" w14:textId="77777777">
      <w:pPr>
        <w:shd w:val="clear" w:color="auto" w:fill="FFFFFF"/>
        <w:spacing w:after="0" w:line="240" w:lineRule="auto"/>
        <w:ind w:left="482" w:hanging="340"/>
        <w:rPr>
          <w:rFonts w:ascii="Candara" w:eastAsia="Candara" w:hAnsi="Candara" w:cs="Candara"/>
          <w:b/>
          <w:color w:val="FFFFFF"/>
          <w:sz w:val="24"/>
          <w:szCs w:val="24"/>
        </w:rPr>
      </w:pPr>
    </w:p>
    <w:p w:rsidR="005B7152" w:rsidP="005B7152" w14:paraId="69729D9C" w14:textId="77777777">
      <w:pPr>
        <w:shd w:val="clear" w:color="auto" w:fill="1F3864"/>
        <w:spacing w:after="0" w:line="240" w:lineRule="auto"/>
        <w:ind w:left="482" w:hanging="340"/>
        <w:rPr>
          <w:rFonts w:ascii="Candara" w:eastAsia="Candara" w:hAnsi="Candara" w:cs="Candara"/>
          <w:b/>
          <w:color w:val="FFFFFF"/>
          <w:sz w:val="24"/>
          <w:szCs w:val="24"/>
        </w:rPr>
      </w:pPr>
      <w:r>
        <w:rPr>
          <w:rFonts w:ascii="Candara" w:eastAsia="Candara" w:hAnsi="Candara" w:cs="Candara"/>
          <w:b/>
          <w:color w:val="FFFFFF"/>
          <w:sz w:val="24"/>
          <w:szCs w:val="24"/>
        </w:rPr>
        <w:t>3.Investīciju piesaiste</w:t>
      </w:r>
    </w:p>
    <w:p w:rsidR="00B8601C" w:rsidRPr="00B8601C" w:rsidP="00B8601C" w14:paraId="6D15635A" w14:textId="77777777">
      <w:pPr>
        <w:pStyle w:val="Caption"/>
        <w:rPr>
          <w:sz w:val="4"/>
          <w:szCs w:val="4"/>
        </w:rPr>
      </w:pPr>
    </w:p>
    <w:tbl>
      <w:tblPr>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3"/>
        <w:gridCol w:w="2268"/>
        <w:gridCol w:w="3260"/>
        <w:gridCol w:w="2694"/>
        <w:gridCol w:w="1701"/>
        <w:gridCol w:w="1417"/>
        <w:gridCol w:w="1276"/>
      </w:tblGrid>
      <w:tr w14:paraId="3C3A0231" w14:textId="77777777" w:rsidTr="005B7152">
        <w:tblPrEx>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953" w:type="dxa"/>
            <w:shd w:val="clear" w:color="auto" w:fill="D9D9D9"/>
            <w:vAlign w:val="center"/>
          </w:tcPr>
          <w:p w:rsidR="00B8601C" w:rsidRPr="00057738" w:rsidP="00B8601C" w14:paraId="6891734C"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Atbalsta instrumenti un politikas iniciatīvas</w:t>
            </w:r>
          </w:p>
        </w:tc>
        <w:tc>
          <w:tcPr>
            <w:tcW w:w="2268" w:type="dxa"/>
            <w:shd w:val="clear" w:color="auto" w:fill="D9D9D9"/>
            <w:vAlign w:val="center"/>
          </w:tcPr>
          <w:p w:rsidR="00B8601C" w:rsidRPr="00057738" w:rsidP="00B8601C" w14:paraId="2F011156"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 xml:space="preserve">Sagaidāmās izmaiņas </w:t>
            </w:r>
          </w:p>
        </w:tc>
        <w:tc>
          <w:tcPr>
            <w:tcW w:w="3260" w:type="dxa"/>
            <w:shd w:val="clear" w:color="auto" w:fill="D9D9D9"/>
            <w:vAlign w:val="center"/>
          </w:tcPr>
          <w:p w:rsidR="00B8601C" w:rsidRPr="00057738" w:rsidP="00B8601C" w14:paraId="5702EB34"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Rezultāta indikatori</w:t>
            </w:r>
          </w:p>
        </w:tc>
        <w:tc>
          <w:tcPr>
            <w:tcW w:w="2694" w:type="dxa"/>
            <w:shd w:val="clear" w:color="auto" w:fill="D9D9D9"/>
            <w:vAlign w:val="center"/>
          </w:tcPr>
          <w:p w:rsidR="00B8601C" w:rsidRPr="00057738" w:rsidP="00B8601C" w14:paraId="2606175D"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Iznākuma/ rezultāta rādītāji</w:t>
            </w:r>
          </w:p>
        </w:tc>
        <w:tc>
          <w:tcPr>
            <w:tcW w:w="1701" w:type="dxa"/>
            <w:shd w:val="clear" w:color="auto" w:fill="D9D9D9"/>
          </w:tcPr>
          <w:p w:rsidR="00B8601C" w:rsidRPr="00057738" w:rsidP="00B8601C" w14:paraId="52BB0CB9"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Finansējuma avots un apmērs</w:t>
            </w:r>
          </w:p>
        </w:tc>
        <w:tc>
          <w:tcPr>
            <w:tcW w:w="1417" w:type="dxa"/>
            <w:shd w:val="clear" w:color="auto" w:fill="D9D9D9"/>
          </w:tcPr>
          <w:p w:rsidR="00B8601C" w:rsidRPr="00057738" w:rsidP="00B8601C" w14:paraId="6CE3E90D"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Par uzdevuma izpildi atbildīgās institūcijas</w:t>
            </w:r>
          </w:p>
        </w:tc>
        <w:tc>
          <w:tcPr>
            <w:tcW w:w="1276" w:type="dxa"/>
            <w:shd w:val="clear" w:color="auto" w:fill="D9D9D9"/>
          </w:tcPr>
          <w:p w:rsidR="00B8601C" w:rsidRPr="00057738" w:rsidP="00B8601C" w14:paraId="7E707B60"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Uzdevuma izpildes termiņš (gads)</w:t>
            </w:r>
          </w:p>
        </w:tc>
      </w:tr>
      <w:tr w14:paraId="416B7953"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872F66F" w14:textId="77777777">
            <w:pPr>
              <w:widowControl w:val="0"/>
              <w:numPr>
                <w:ilvl w:val="0"/>
                <w:numId w:val="42"/>
              </w:numPr>
              <w:spacing w:after="0" w:line="240" w:lineRule="auto"/>
              <w:ind w:left="325" w:hanging="325"/>
              <w:rPr>
                <w:rFonts w:ascii="Candara" w:eastAsia="Candara" w:hAnsi="Candara" w:cs="Candara"/>
                <w:sz w:val="16"/>
                <w:szCs w:val="16"/>
              </w:rPr>
            </w:pPr>
            <w:r w:rsidRPr="00057738">
              <w:rPr>
                <w:rFonts w:ascii="Candara" w:eastAsia="Candara" w:hAnsi="Candara" w:cs="Candara"/>
                <w:sz w:val="16"/>
                <w:szCs w:val="16"/>
              </w:rPr>
              <w:t>Veicināt inovāciju ietilpīgas investīcijas, veicot grozījumus Latvijas preču un pakalpojumu eksporta veicināšanas un ārvalstu investīciju piesaistes pamatnostādnēs 2013.-2019.gadam, mainot fokusu no darba spēka ietilpīgu investīciju piesaistes uz inovāciju ietilpīgām investīcijām</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D64B1A1"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Pieaudzis inovāciju un tehnoloģiju ietilpīgu investīciju apjoms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AFF34E5"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n/a</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3EED0BA" w14:textId="77777777">
            <w:pPr>
              <w:widowControl w:val="0"/>
              <w:numPr>
                <w:ilvl w:val="0"/>
                <w:numId w:val="50"/>
              </w:numPr>
              <w:spacing w:after="0" w:line="240" w:lineRule="auto"/>
              <w:ind w:left="200" w:hanging="200"/>
              <w:rPr>
                <w:sz w:val="16"/>
                <w:szCs w:val="16"/>
              </w:rPr>
            </w:pPr>
            <w:r w:rsidRPr="00057738">
              <w:rPr>
                <w:rFonts w:ascii="Candara" w:eastAsia="Candara" w:hAnsi="Candara" w:cs="Candara"/>
                <w:sz w:val="16"/>
                <w:szCs w:val="16"/>
              </w:rPr>
              <w:t>Piesaistītas “Fortune 500” uzņēmumu investīcijas (2019.) – 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BCA2E5C"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6616181"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EA22E5" w14:paraId="20E662DD" w14:textId="2DF8BAEA">
            <w:pPr>
              <w:widowControl w:val="0"/>
              <w:spacing w:after="0" w:line="240" w:lineRule="auto"/>
              <w:rPr>
                <w:rFonts w:ascii="Candara" w:eastAsia="Candara" w:hAnsi="Candara" w:cs="Candara"/>
                <w:sz w:val="16"/>
                <w:szCs w:val="16"/>
              </w:rPr>
            </w:pPr>
            <w:r>
              <w:rPr>
                <w:rFonts w:ascii="Candara" w:eastAsia="Candara" w:hAnsi="Candara" w:cs="Candara"/>
                <w:sz w:val="16"/>
                <w:szCs w:val="16"/>
              </w:rPr>
              <w:t>201</w:t>
            </w:r>
            <w:r w:rsidR="00EA22E5">
              <w:rPr>
                <w:rFonts w:ascii="Candara" w:eastAsia="Candara" w:hAnsi="Candara" w:cs="Candara"/>
                <w:sz w:val="16"/>
                <w:szCs w:val="16"/>
              </w:rPr>
              <w:t>9</w:t>
            </w:r>
          </w:p>
        </w:tc>
      </w:tr>
      <w:tr w14:paraId="7E8284F6"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31A321A" w14:textId="77777777">
            <w:pPr>
              <w:widowControl w:val="0"/>
              <w:numPr>
                <w:ilvl w:val="0"/>
                <w:numId w:val="42"/>
              </w:numPr>
              <w:spacing w:after="0" w:line="240" w:lineRule="auto"/>
              <w:ind w:left="325" w:hanging="325"/>
              <w:rPr>
                <w:rFonts w:ascii="Candara" w:eastAsia="Candara" w:hAnsi="Candara" w:cs="Candara"/>
                <w:sz w:val="16"/>
                <w:szCs w:val="16"/>
              </w:rPr>
            </w:pPr>
            <w:r w:rsidRPr="00057738">
              <w:rPr>
                <w:rFonts w:ascii="Candara" w:eastAsia="Candara" w:hAnsi="Candara" w:cs="Candara"/>
                <w:sz w:val="16"/>
                <w:szCs w:val="16"/>
              </w:rPr>
              <w:t>Īstenot proaktīvu darbību investīciju piesaistē</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F00FE31"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Nodrošināta proaktīva pieeja ārvalstu investīciju piesaistīšanai:</w:t>
            </w:r>
          </w:p>
          <w:p w:rsidR="00B8601C" w:rsidRPr="00057738" w:rsidP="00B8601C" w14:paraId="5424631C" w14:textId="77777777">
            <w:pPr>
              <w:widowControl w:val="0"/>
              <w:numPr>
                <w:ilvl w:val="0"/>
                <w:numId w:val="48"/>
              </w:numPr>
              <w:spacing w:after="0" w:line="240" w:lineRule="auto"/>
              <w:ind w:left="259" w:hanging="259"/>
              <w:rPr>
                <w:sz w:val="16"/>
                <w:szCs w:val="16"/>
              </w:rPr>
            </w:pPr>
            <w:r w:rsidRPr="00057738">
              <w:rPr>
                <w:rFonts w:ascii="Candara" w:eastAsia="Candara" w:hAnsi="Candara" w:cs="Candara"/>
                <w:sz w:val="16"/>
                <w:szCs w:val="16"/>
              </w:rPr>
              <w:t>“Fortune 500” uzņēmumu investīciju piesaiste</w:t>
            </w:r>
          </w:p>
          <w:p w:rsidR="00B8601C" w:rsidRPr="00057738" w:rsidP="00B8601C" w14:paraId="12FB03B0" w14:textId="77777777">
            <w:pPr>
              <w:widowControl w:val="0"/>
              <w:numPr>
                <w:ilvl w:val="0"/>
                <w:numId w:val="48"/>
              </w:numPr>
              <w:spacing w:after="0" w:line="240" w:lineRule="auto"/>
              <w:ind w:left="259" w:hanging="259"/>
              <w:rPr>
                <w:sz w:val="16"/>
                <w:szCs w:val="16"/>
              </w:rPr>
            </w:pPr>
            <w:r w:rsidRPr="00057738">
              <w:rPr>
                <w:rFonts w:ascii="Candara" w:eastAsia="Candara" w:hAnsi="Candara" w:cs="Candara"/>
                <w:sz w:val="16"/>
                <w:szCs w:val="16"/>
              </w:rPr>
              <w:t>Identificēti potenciāli investīciju projekti (sagatavoti piedāvājumi augsta līmeņa amatpersonu vizītēm) prioritārajās valstīs (tirgos)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2C93A99"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n/a</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CD9DA3F" w14:textId="77777777">
            <w:pPr>
              <w:widowControl w:val="0"/>
              <w:numPr>
                <w:ilvl w:val="0"/>
                <w:numId w:val="51"/>
              </w:numPr>
              <w:spacing w:after="0" w:line="240" w:lineRule="auto"/>
              <w:ind w:left="200" w:hanging="142"/>
              <w:rPr>
                <w:sz w:val="16"/>
                <w:szCs w:val="16"/>
              </w:rPr>
            </w:pPr>
            <w:r w:rsidRPr="00057738">
              <w:rPr>
                <w:rFonts w:ascii="Candara" w:eastAsia="Candara" w:hAnsi="Candara" w:cs="Candara"/>
                <w:sz w:val="16"/>
                <w:szCs w:val="16"/>
              </w:rPr>
              <w:t>Piesaistītas “Fortune 500” uzņēmumu investīcijas (2019.) – 3</w:t>
            </w:r>
          </w:p>
          <w:p w:rsidR="00B8601C" w:rsidRPr="00057738" w:rsidP="00B8601C" w14:paraId="0C96747D" w14:textId="77777777">
            <w:pPr>
              <w:widowControl w:val="0"/>
              <w:numPr>
                <w:ilvl w:val="0"/>
                <w:numId w:val="51"/>
              </w:numPr>
              <w:spacing w:after="0" w:line="240" w:lineRule="auto"/>
              <w:ind w:left="200" w:hanging="142"/>
              <w:rPr>
                <w:sz w:val="16"/>
                <w:szCs w:val="16"/>
              </w:rPr>
            </w:pPr>
            <w:r w:rsidRPr="00057738">
              <w:rPr>
                <w:rFonts w:ascii="Candara" w:eastAsia="Candara" w:hAnsi="Candara" w:cs="Candara"/>
                <w:sz w:val="16"/>
                <w:szCs w:val="16"/>
              </w:rPr>
              <w:t>Prioritārajās valstīs (tirgos) identificēti potenciālie investīciju projekti (sagatavoti piedāvājumi augsta līmeņa amatpersonu vizītēm) (2019.) – 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2FF8B79"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0964CF1"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EM, LIAA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11284EE" w14:textId="77777777">
            <w:pPr>
              <w:widowControl w:val="0"/>
              <w:spacing w:after="0" w:line="240" w:lineRule="auto"/>
              <w:rPr>
                <w:rFonts w:ascii="Candara" w:eastAsia="Candara" w:hAnsi="Candara" w:cs="Candara"/>
                <w:sz w:val="16"/>
                <w:szCs w:val="16"/>
              </w:rPr>
            </w:pPr>
            <w:r>
              <w:rPr>
                <w:rFonts w:ascii="Candara" w:eastAsia="Candara" w:hAnsi="Candara" w:cs="Candara"/>
                <w:sz w:val="16"/>
                <w:szCs w:val="16"/>
              </w:rPr>
              <w:t>2019</w:t>
            </w:r>
          </w:p>
        </w:tc>
      </w:tr>
      <w:tr w14:paraId="678E33B1"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7033BDC9" w14:textId="77777777">
            <w:pPr>
              <w:widowControl w:val="0"/>
              <w:numPr>
                <w:ilvl w:val="0"/>
                <w:numId w:val="42"/>
              </w:numPr>
              <w:spacing w:after="0" w:line="240" w:lineRule="auto"/>
              <w:ind w:left="325" w:hanging="325"/>
              <w:rPr>
                <w:rFonts w:ascii="Candara" w:eastAsia="Candara" w:hAnsi="Candara" w:cs="Candara"/>
                <w:sz w:val="16"/>
                <w:szCs w:val="16"/>
              </w:rPr>
            </w:pPr>
            <w:r w:rsidRPr="00057738">
              <w:rPr>
                <w:rFonts w:ascii="Candara" w:eastAsia="Candara" w:hAnsi="Candara" w:cs="Candara"/>
                <w:sz w:val="16"/>
                <w:szCs w:val="16"/>
              </w:rPr>
              <w:t>Veicināt esošo ārvalstu investoru turpmākas investīcijas inovācijās un tehnoloģijās</w:t>
            </w:r>
            <w:r w:rsidRPr="00057738">
              <w:rPr>
                <w:rFonts w:ascii="Candara" w:eastAsia="Candara" w:hAnsi="Candara" w:cs="Candara"/>
                <w:b/>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C04C1EE" w14:textId="77777777">
            <w:pPr>
              <w:spacing w:after="0" w:line="240" w:lineRule="auto"/>
              <w:rPr>
                <w:rFonts w:ascii="Candara" w:eastAsia="Candara" w:hAnsi="Candara" w:cs="Candara"/>
                <w:sz w:val="16"/>
                <w:szCs w:val="16"/>
              </w:rPr>
            </w:pPr>
            <w:r w:rsidRPr="00057738">
              <w:rPr>
                <w:rFonts w:ascii="Candara" w:eastAsia="Candara" w:hAnsi="Candara" w:cs="Candara"/>
                <w:b/>
                <w:sz w:val="16"/>
                <w:szCs w:val="16"/>
              </w:rPr>
              <w:t>I</w:t>
            </w:r>
            <w:r w:rsidRPr="00057738">
              <w:rPr>
                <w:rFonts w:ascii="Candara" w:eastAsia="Candara" w:hAnsi="Candara" w:cs="Candara"/>
                <w:sz w:val="16"/>
                <w:szCs w:val="16"/>
              </w:rPr>
              <w:t>eviesta pēcapkalpošana, paredzot palīdzību jau Latvijā strādājošajiem ārvalstu investoriem identificēt jomas, kurās veikt jaunas investīcijas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D908F52"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n/a</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EA22E5" w14:paraId="5AE8C592" w14:textId="2E1150F7">
            <w:pPr>
              <w:widowControl w:val="0"/>
              <w:numPr>
                <w:ilvl w:val="0"/>
                <w:numId w:val="49"/>
              </w:numPr>
              <w:spacing w:after="0" w:line="240" w:lineRule="auto"/>
              <w:ind w:left="200" w:hanging="200"/>
              <w:rPr>
                <w:sz w:val="16"/>
                <w:szCs w:val="16"/>
              </w:rPr>
            </w:pPr>
            <w:r w:rsidRPr="00057738">
              <w:rPr>
                <w:rFonts w:ascii="Candara" w:eastAsia="Candara" w:hAnsi="Candara" w:cs="Candara"/>
                <w:sz w:val="16"/>
                <w:szCs w:val="16"/>
              </w:rPr>
              <w:t xml:space="preserve">Uzrunāti </w:t>
            </w:r>
            <w:r w:rsidR="00EA22E5">
              <w:rPr>
                <w:rFonts w:ascii="Candara" w:eastAsia="Candara" w:hAnsi="Candara" w:cs="Candara"/>
                <w:sz w:val="16"/>
                <w:szCs w:val="16"/>
              </w:rPr>
              <w:t>30</w:t>
            </w:r>
            <w:r w:rsidRPr="00057738">
              <w:rPr>
                <w:rFonts w:ascii="Candara" w:eastAsia="Candara" w:hAnsi="Candara" w:cs="Candara"/>
                <w:sz w:val="16"/>
                <w:szCs w:val="16"/>
              </w:rPr>
              <w:t xml:space="preserve"> esošie ārvalstu investori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EF05971"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5A41100"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EA22E5" w14:paraId="122D1BBF" w14:textId="15FEF8C0">
            <w:pPr>
              <w:widowControl w:val="0"/>
              <w:spacing w:after="0" w:line="240" w:lineRule="auto"/>
              <w:rPr>
                <w:rFonts w:ascii="Candara" w:eastAsia="Candara" w:hAnsi="Candara" w:cs="Candara"/>
                <w:sz w:val="16"/>
                <w:szCs w:val="16"/>
              </w:rPr>
            </w:pPr>
            <w:r>
              <w:rPr>
                <w:rFonts w:ascii="Candara" w:eastAsia="Candara" w:hAnsi="Candara" w:cs="Candara"/>
                <w:sz w:val="16"/>
                <w:szCs w:val="16"/>
              </w:rPr>
              <w:t>201</w:t>
            </w:r>
            <w:r w:rsidR="00EA22E5">
              <w:rPr>
                <w:rFonts w:ascii="Candara" w:eastAsia="Candara" w:hAnsi="Candara" w:cs="Candara"/>
                <w:sz w:val="16"/>
                <w:szCs w:val="16"/>
              </w:rPr>
              <w:t>8</w:t>
            </w:r>
          </w:p>
        </w:tc>
      </w:tr>
      <w:tr w14:paraId="2A332C4C"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5620E2D" w14:textId="77777777">
            <w:pPr>
              <w:widowControl w:val="0"/>
              <w:numPr>
                <w:ilvl w:val="0"/>
                <w:numId w:val="42"/>
              </w:numPr>
              <w:spacing w:after="0" w:line="240" w:lineRule="auto"/>
              <w:ind w:left="310" w:hanging="310"/>
              <w:rPr>
                <w:rFonts w:ascii="Candara" w:eastAsia="Candara" w:hAnsi="Candara" w:cs="Candara"/>
                <w:sz w:val="16"/>
                <w:szCs w:val="16"/>
              </w:rPr>
            </w:pPr>
            <w:r w:rsidRPr="00057738">
              <w:rPr>
                <w:rFonts w:ascii="Candara" w:eastAsia="Candara" w:hAnsi="Candara" w:cs="Candara"/>
                <w:sz w:val="16"/>
                <w:szCs w:val="16"/>
              </w:rPr>
              <w:t xml:space="preserve">Īstenot pasākumus nodarbināto </w:t>
            </w:r>
            <w:r w:rsidRPr="00057738">
              <w:rPr>
                <w:rFonts w:ascii="Candara" w:eastAsia="Candara" w:hAnsi="Candara" w:cs="Candara"/>
                <w:sz w:val="16"/>
                <w:szCs w:val="16"/>
              </w:rPr>
              <w:t>apmācībām, atbilstoši investoru vajadzībām</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DC6BE5F"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Nodrošinātas apmācības darbaspēka kvalifikācijas un </w:t>
            </w:r>
            <w:r w:rsidRPr="00057738">
              <w:rPr>
                <w:rFonts w:ascii="Candara" w:eastAsia="Candara" w:hAnsi="Candara" w:cs="Candara"/>
                <w:sz w:val="16"/>
                <w:szCs w:val="16"/>
              </w:rPr>
              <w:t>prasmju celšanai, atbilstoši investoru vajadzībām</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C821D2D"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Apmācītie darbinieki</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6A618F1"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Nodrošinātas apmācības 7 ārvalstu investoriem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D17CE57"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1.2.2.3. pasākums "Atbalsts IKT un </w:t>
            </w:r>
            <w:r w:rsidRPr="00057738">
              <w:rPr>
                <w:rFonts w:ascii="Candara" w:eastAsia="Candara" w:hAnsi="Candara" w:cs="Candara"/>
                <w:sz w:val="16"/>
                <w:szCs w:val="16"/>
              </w:rPr>
              <w:t>netehnoloģiskām apmācībām, kā arī apmācībām, lai sekmētu investoru piesaisti" (2,9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5538B96"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EM, LIAA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11EEB3C"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bl>
    <w:p w:rsidR="005B7152" w:rsidP="005B7152" w14:paraId="08372EBD" w14:textId="77777777">
      <w:pPr>
        <w:shd w:val="clear" w:color="auto" w:fill="FFFFFF"/>
        <w:spacing w:after="0" w:line="240" w:lineRule="auto"/>
        <w:ind w:left="482" w:hanging="340"/>
        <w:rPr>
          <w:rFonts w:ascii="Candara" w:eastAsia="Candara" w:hAnsi="Candara" w:cs="Candara"/>
          <w:b/>
          <w:color w:val="FFFFFF"/>
          <w:sz w:val="24"/>
          <w:szCs w:val="24"/>
        </w:rPr>
      </w:pPr>
    </w:p>
    <w:p w:rsidR="005B7152" w:rsidP="005B7152" w14:paraId="4808B4F1" w14:textId="77777777">
      <w:pPr>
        <w:shd w:val="clear" w:color="auto" w:fill="1F3864"/>
        <w:spacing w:after="0" w:line="240" w:lineRule="auto"/>
        <w:ind w:left="482" w:hanging="340"/>
        <w:rPr>
          <w:rFonts w:ascii="Candara" w:eastAsia="Candara" w:hAnsi="Candara" w:cs="Candara"/>
          <w:b/>
          <w:color w:val="FFFFFF"/>
          <w:sz w:val="24"/>
          <w:szCs w:val="24"/>
        </w:rPr>
      </w:pPr>
      <w:r>
        <w:rPr>
          <w:rFonts w:ascii="Candara" w:eastAsia="Candara" w:hAnsi="Candara" w:cs="Candara"/>
          <w:b/>
          <w:color w:val="FFFFFF"/>
          <w:sz w:val="24"/>
          <w:szCs w:val="24"/>
        </w:rPr>
        <w:t>4.Eksporta veicināšana</w:t>
      </w:r>
    </w:p>
    <w:p w:rsidR="00B8601C" w:rsidP="00B8601C" w14:paraId="111268CE" w14:textId="77777777">
      <w:pPr>
        <w:pStyle w:val="Caption"/>
        <w:spacing w:before="0" w:after="0"/>
      </w:pPr>
    </w:p>
    <w:tbl>
      <w:tblPr>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3"/>
        <w:gridCol w:w="2268"/>
        <w:gridCol w:w="3260"/>
        <w:gridCol w:w="2694"/>
        <w:gridCol w:w="1701"/>
        <w:gridCol w:w="1417"/>
        <w:gridCol w:w="1276"/>
      </w:tblGrid>
      <w:tr w14:paraId="126B4C34" w14:textId="77777777" w:rsidTr="005B7152">
        <w:tblPrEx>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953" w:type="dxa"/>
            <w:shd w:val="clear" w:color="auto" w:fill="D9D9D9"/>
            <w:vAlign w:val="center"/>
          </w:tcPr>
          <w:p w:rsidR="00B8601C" w:rsidRPr="00057738" w:rsidP="00B8601C" w14:paraId="0A4B65DB"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Atbalsta instrumenti un politikas iniciatīvas</w:t>
            </w:r>
          </w:p>
        </w:tc>
        <w:tc>
          <w:tcPr>
            <w:tcW w:w="2268" w:type="dxa"/>
            <w:shd w:val="clear" w:color="auto" w:fill="D9D9D9"/>
            <w:vAlign w:val="center"/>
          </w:tcPr>
          <w:p w:rsidR="00B8601C" w:rsidRPr="00057738" w:rsidP="00B8601C" w14:paraId="098F2CD2"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 xml:space="preserve">Sagaidāmās izmaiņas </w:t>
            </w:r>
          </w:p>
        </w:tc>
        <w:tc>
          <w:tcPr>
            <w:tcW w:w="3260" w:type="dxa"/>
            <w:shd w:val="clear" w:color="auto" w:fill="D9D9D9"/>
            <w:vAlign w:val="center"/>
          </w:tcPr>
          <w:p w:rsidR="00B8601C" w:rsidRPr="00057738" w:rsidP="00B8601C" w14:paraId="54B738D9"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Rezultāta indikatori</w:t>
            </w:r>
          </w:p>
        </w:tc>
        <w:tc>
          <w:tcPr>
            <w:tcW w:w="2694" w:type="dxa"/>
            <w:shd w:val="clear" w:color="auto" w:fill="D9D9D9"/>
            <w:vAlign w:val="center"/>
          </w:tcPr>
          <w:p w:rsidR="00B8601C" w:rsidRPr="00057738" w:rsidP="00B8601C" w14:paraId="140CBE64"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Iznākuma/ rezultāta rādītāji</w:t>
            </w:r>
          </w:p>
        </w:tc>
        <w:tc>
          <w:tcPr>
            <w:tcW w:w="1701" w:type="dxa"/>
            <w:shd w:val="clear" w:color="auto" w:fill="D9D9D9"/>
          </w:tcPr>
          <w:p w:rsidR="00B8601C" w:rsidRPr="00057738" w:rsidP="00B8601C" w14:paraId="47F0C8D6"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Finansējuma avots un apmērs</w:t>
            </w:r>
          </w:p>
        </w:tc>
        <w:tc>
          <w:tcPr>
            <w:tcW w:w="1417" w:type="dxa"/>
            <w:shd w:val="clear" w:color="auto" w:fill="D9D9D9"/>
          </w:tcPr>
          <w:p w:rsidR="00B8601C" w:rsidRPr="00057738" w:rsidP="00B8601C" w14:paraId="7B5590A8"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Par uzdevuma izpildi atbildīgās institūcijas</w:t>
            </w:r>
          </w:p>
        </w:tc>
        <w:tc>
          <w:tcPr>
            <w:tcW w:w="1276" w:type="dxa"/>
            <w:shd w:val="clear" w:color="auto" w:fill="D9D9D9"/>
          </w:tcPr>
          <w:p w:rsidR="00B8601C" w:rsidRPr="00057738" w:rsidP="00B8601C" w14:paraId="1C9B71D9"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Uzdevuma izpildes termiņš (gads)</w:t>
            </w:r>
          </w:p>
        </w:tc>
      </w:tr>
      <w:tr w14:paraId="0E99FD27"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9572D79" w14:textId="77777777">
            <w:pPr>
              <w:widowControl w:val="0"/>
              <w:numPr>
                <w:ilvl w:val="0"/>
                <w:numId w:val="43"/>
              </w:numPr>
              <w:spacing w:after="0" w:line="240" w:lineRule="auto"/>
              <w:ind w:left="310" w:hanging="310"/>
              <w:rPr>
                <w:rFonts w:ascii="Candara" w:eastAsia="Candara" w:hAnsi="Candara" w:cs="Candara"/>
                <w:sz w:val="16"/>
                <w:szCs w:val="16"/>
              </w:rPr>
            </w:pPr>
            <w:r w:rsidRPr="00057738">
              <w:rPr>
                <w:rFonts w:ascii="Candara" w:eastAsia="Candara" w:hAnsi="Candara" w:cs="Candara"/>
                <w:sz w:val="16"/>
                <w:szCs w:val="16"/>
              </w:rPr>
              <w:t xml:space="preserve">Īstenot tiešos eksporta atbalsta pakalpojumus Latvijas komersantiem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07858D7"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Nodrošināti eksporta pakalpojumi komersantiem</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3F520CD" w14:textId="77777777">
            <w:pPr>
              <w:widowControl w:val="0"/>
              <w:numPr>
                <w:ilvl w:val="0"/>
                <w:numId w:val="44"/>
              </w:numPr>
              <w:spacing w:after="0" w:line="240" w:lineRule="auto"/>
              <w:ind w:left="124" w:hanging="142"/>
              <w:rPr>
                <w:rFonts w:ascii="Candara" w:hAnsi="Candara"/>
                <w:sz w:val="16"/>
                <w:szCs w:val="16"/>
              </w:rPr>
            </w:pPr>
            <w:r w:rsidRPr="00057738">
              <w:rPr>
                <w:rFonts w:ascii="Candara" w:eastAsia="Candara" w:hAnsi="Candara" w:cs="Candara"/>
                <w:sz w:val="16"/>
                <w:szCs w:val="16"/>
              </w:rPr>
              <w:t>Atbalstīto komersantu skaits;</w:t>
            </w:r>
          </w:p>
          <w:p w:rsidR="00B8601C" w:rsidRPr="00057738" w:rsidP="00B8601C" w14:paraId="6DF81324" w14:textId="77777777">
            <w:pPr>
              <w:widowControl w:val="0"/>
              <w:numPr>
                <w:ilvl w:val="0"/>
                <w:numId w:val="44"/>
              </w:numPr>
              <w:spacing w:after="0" w:line="240" w:lineRule="auto"/>
              <w:ind w:left="124" w:hanging="142"/>
              <w:rPr>
                <w:rFonts w:ascii="Candara" w:hAnsi="Candara"/>
                <w:sz w:val="16"/>
                <w:szCs w:val="16"/>
              </w:rPr>
            </w:pPr>
            <w:r w:rsidRPr="00057738">
              <w:rPr>
                <w:rFonts w:ascii="Candara" w:eastAsia="Candara" w:hAnsi="Candara" w:cs="Candara"/>
                <w:sz w:val="16"/>
                <w:szCs w:val="16"/>
              </w:rPr>
              <w:t>Īstenoto atbalsta pasākumu skaits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1032E88" w14:textId="77777777">
            <w:pPr>
              <w:widowControl w:val="0"/>
              <w:numPr>
                <w:ilvl w:val="0"/>
                <w:numId w:val="44"/>
              </w:numPr>
              <w:spacing w:after="0" w:line="240" w:lineRule="auto"/>
              <w:ind w:left="185" w:hanging="185"/>
              <w:rPr>
                <w:rFonts w:ascii="Candara" w:hAnsi="Candara"/>
                <w:sz w:val="16"/>
                <w:szCs w:val="16"/>
              </w:rPr>
            </w:pPr>
            <w:r w:rsidRPr="00057738">
              <w:rPr>
                <w:rFonts w:ascii="Candara" w:eastAsia="Candara" w:hAnsi="Candara" w:cs="Candara"/>
                <w:sz w:val="16"/>
                <w:szCs w:val="16"/>
              </w:rPr>
              <w:t>Noorganizētas 30 tirdzniecības misijas gadā, kuros piedalās  uzņēmumi – 200</w:t>
            </w:r>
          </w:p>
          <w:p w:rsidR="00B8601C" w:rsidRPr="00057738" w:rsidP="00B8601C" w14:paraId="521D0B52" w14:textId="77777777">
            <w:pPr>
              <w:widowControl w:val="0"/>
              <w:numPr>
                <w:ilvl w:val="0"/>
                <w:numId w:val="44"/>
              </w:numPr>
              <w:spacing w:after="0" w:line="240" w:lineRule="auto"/>
              <w:ind w:left="185" w:hanging="185"/>
              <w:rPr>
                <w:rFonts w:ascii="Candara" w:hAnsi="Candara"/>
                <w:sz w:val="16"/>
                <w:szCs w:val="16"/>
              </w:rPr>
            </w:pPr>
            <w:r w:rsidRPr="00057738">
              <w:rPr>
                <w:rFonts w:ascii="Candara" w:eastAsia="Candara" w:hAnsi="Candara" w:cs="Candara"/>
                <w:sz w:val="16"/>
                <w:szCs w:val="16"/>
              </w:rPr>
              <w:t>Noorganizētas  Latvijas uzņēmumu individuālās biznesa vizītes gadā – 80</w:t>
            </w:r>
          </w:p>
          <w:p w:rsidR="00B8601C" w:rsidRPr="00057738" w:rsidP="00B8601C" w14:paraId="3F48228E" w14:textId="77777777">
            <w:pPr>
              <w:widowControl w:val="0"/>
              <w:numPr>
                <w:ilvl w:val="0"/>
                <w:numId w:val="44"/>
              </w:numPr>
              <w:spacing w:after="0" w:line="240" w:lineRule="auto"/>
              <w:ind w:left="185" w:hanging="185"/>
              <w:rPr>
                <w:rFonts w:ascii="Candara" w:hAnsi="Candara"/>
                <w:sz w:val="16"/>
                <w:szCs w:val="16"/>
              </w:rPr>
            </w:pPr>
            <w:r w:rsidRPr="00057738">
              <w:rPr>
                <w:rFonts w:ascii="Candara" w:eastAsia="Candara" w:hAnsi="Candara" w:cs="Candara"/>
                <w:sz w:val="16"/>
                <w:szCs w:val="16"/>
              </w:rPr>
              <w:t>Gadā vidēji atbalstīti  komersantus dalībai izstādēs – 85 komersanti/38 izstādes;</w:t>
            </w:r>
          </w:p>
          <w:p w:rsidR="00B8601C" w:rsidRPr="00057738" w:rsidP="00B8601C" w14:paraId="4D626C4A" w14:textId="77777777">
            <w:pPr>
              <w:widowControl w:val="0"/>
              <w:numPr>
                <w:ilvl w:val="0"/>
                <w:numId w:val="44"/>
              </w:numPr>
              <w:spacing w:after="0" w:line="240" w:lineRule="auto"/>
              <w:ind w:left="185" w:hanging="185"/>
              <w:rPr>
                <w:rFonts w:ascii="Candara" w:hAnsi="Candara"/>
                <w:sz w:val="16"/>
                <w:szCs w:val="16"/>
              </w:rPr>
            </w:pPr>
            <w:r w:rsidRPr="00057738">
              <w:rPr>
                <w:rFonts w:ascii="Candara" w:eastAsia="Candara" w:hAnsi="Candara" w:cs="Candara"/>
                <w:sz w:val="16"/>
                <w:szCs w:val="16"/>
              </w:rPr>
              <w:t>Gadā vidēji noorganizēti  nacionālie stendi starptautiskās izstrādēs – 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3E13064"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3.2.1.2. pasākums "</w:t>
            </w:r>
            <w:r>
              <w:fldChar w:fldCharType="begin"/>
            </w:r>
            <w:r>
              <w:instrText xml:space="preserve"> HYPERLINK "https://em.gov.lv/lv/es_fondi/atbalsta_pasakumi_2014_2020/atbalsts_nodarbinato_apmacibam/" </w:instrText>
            </w:r>
            <w:r>
              <w:fldChar w:fldCharType="separate"/>
            </w:r>
            <w:r w:rsidRPr="00057738">
              <w:rPr>
                <w:rFonts w:ascii="Candara" w:eastAsia="Candara" w:hAnsi="Candara" w:cs="Candara"/>
                <w:sz w:val="16"/>
                <w:szCs w:val="16"/>
              </w:rPr>
              <w:t>Starptautiskās konkurētspējas veicināšana</w:t>
            </w:r>
            <w:r>
              <w:fldChar w:fldCharType="end"/>
            </w:r>
            <w:r w:rsidRPr="00057738">
              <w:rPr>
                <w:rFonts w:ascii="Candara" w:eastAsia="Candara" w:hAnsi="Candara" w:cs="Candara"/>
                <w:sz w:val="16"/>
                <w:szCs w:val="16"/>
              </w:rPr>
              <w:t>" (60,9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10A608C"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LIAA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62683C6" w14:textId="77777777">
            <w:pPr>
              <w:widowControl w:val="0"/>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30CD3AD8"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A47BEE7" w14:textId="77777777">
            <w:pPr>
              <w:widowControl w:val="0"/>
              <w:numPr>
                <w:ilvl w:val="0"/>
                <w:numId w:val="43"/>
              </w:numPr>
              <w:spacing w:after="0" w:line="240" w:lineRule="auto"/>
              <w:ind w:left="310" w:hanging="310"/>
              <w:rPr>
                <w:rFonts w:ascii="Candara" w:eastAsia="Candara" w:hAnsi="Candara" w:cs="Candara"/>
                <w:sz w:val="16"/>
                <w:szCs w:val="16"/>
              </w:rPr>
            </w:pPr>
            <w:r w:rsidRPr="00057738">
              <w:rPr>
                <w:rFonts w:ascii="Candara" w:eastAsia="Candara" w:hAnsi="Candara" w:cs="Candara"/>
                <w:sz w:val="16"/>
                <w:szCs w:val="16"/>
              </w:rPr>
              <w:t>Nodrošināt eksporta kredīta garantiju pieejamību</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7D734D33" w14:textId="77777777">
            <w:pPr>
              <w:spacing w:after="0" w:line="240" w:lineRule="auto"/>
              <w:rPr>
                <w:rFonts w:ascii="Candara" w:eastAsia="Candara" w:hAnsi="Candara" w:cs="Candara"/>
                <w:b/>
                <w:sz w:val="16"/>
                <w:szCs w:val="16"/>
              </w:rPr>
            </w:pPr>
            <w:r w:rsidRPr="00057738">
              <w:rPr>
                <w:rFonts w:ascii="Candara" w:eastAsia="Candara" w:hAnsi="Candara" w:cs="Candara"/>
                <w:sz w:val="16"/>
                <w:szCs w:val="16"/>
              </w:rPr>
              <w:t>Nodrošināta eksporta kredita garantiju izsniegšana</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B65A0F4"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n/a</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4DC7B32"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Izsniegtas  eksporta kredītu garantijas – 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96EFCBC"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ALTUM atbalsta pasākumi īstermiņa eksporta kredītu garantiju izsniegšanai un vidēja un ilgtermiņa eksporta kredīta garantiju izsniegšanai (20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1E2B4C0"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EM, ALTUM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13D1EA3"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1BBDF4E7"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A62058" w:rsidP="00B8601C" w14:paraId="4C572BF6" w14:textId="77777777">
            <w:pPr>
              <w:widowControl w:val="0"/>
              <w:numPr>
                <w:ilvl w:val="0"/>
                <w:numId w:val="43"/>
              </w:numPr>
              <w:spacing w:after="0" w:line="240" w:lineRule="auto"/>
              <w:ind w:left="310" w:hanging="284"/>
              <w:rPr>
                <w:rFonts w:ascii="Candara" w:eastAsia="Candara" w:hAnsi="Candara" w:cs="Candara"/>
                <w:sz w:val="16"/>
                <w:szCs w:val="16"/>
              </w:rPr>
            </w:pPr>
            <w:r w:rsidRPr="00A62058">
              <w:rPr>
                <w:rFonts w:ascii="Candara" w:eastAsia="Candara" w:hAnsi="Candara" w:cs="Candara"/>
                <w:sz w:val="16"/>
                <w:szCs w:val="16"/>
              </w:rPr>
              <w:t xml:space="preserve">Īstenot starpnozaru sadarbības pasākumus, savedot kopā dažādu nozaru uzņēmumus ar nolūku attīstīt jaunus produktus (piemēram, IKT un pārējās nozares (Industrija 4.0))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A62058" w:rsidP="00B8601C" w14:paraId="473E5EBF" w14:textId="77777777">
            <w:pPr>
              <w:spacing w:after="0" w:line="240" w:lineRule="auto"/>
              <w:rPr>
                <w:rFonts w:ascii="Candara" w:eastAsia="Candara" w:hAnsi="Candara" w:cs="Candara"/>
                <w:sz w:val="16"/>
                <w:szCs w:val="16"/>
              </w:rPr>
            </w:pPr>
            <w:r w:rsidRPr="00A62058">
              <w:rPr>
                <w:rFonts w:ascii="Candara" w:eastAsia="Candara" w:hAnsi="Candara" w:cs="Candara"/>
                <w:sz w:val="16"/>
                <w:szCs w:val="16"/>
              </w:rPr>
              <w:t>Nodrošināts pastāvīgs starpnozaru sadarbības veicināšanas process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A62058" w:rsidP="00B8601C" w14:paraId="3EC5B22F" w14:textId="77777777">
            <w:pPr>
              <w:spacing w:after="0" w:line="240" w:lineRule="auto"/>
              <w:rPr>
                <w:rFonts w:ascii="Candara" w:eastAsia="Candara" w:hAnsi="Candara" w:cs="Candara"/>
                <w:sz w:val="16"/>
                <w:szCs w:val="16"/>
              </w:rPr>
            </w:pPr>
            <w:r w:rsidRPr="00A62058">
              <w:rPr>
                <w:rFonts w:ascii="Candara" w:eastAsia="Candara" w:hAnsi="Candara" w:cs="Candara"/>
                <w:sz w:val="16"/>
                <w:szCs w:val="16"/>
              </w:rPr>
              <w:t>Jauna biznesa modeļa izstrāde</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A62058" w:rsidP="00B8601C" w14:paraId="41518506" w14:textId="77777777">
            <w:pPr>
              <w:spacing w:after="0" w:line="240" w:lineRule="auto"/>
              <w:rPr>
                <w:rFonts w:ascii="Candara" w:eastAsia="Candara" w:hAnsi="Candara" w:cs="Candara"/>
                <w:sz w:val="16"/>
                <w:szCs w:val="16"/>
              </w:rPr>
            </w:pPr>
            <w:r w:rsidRPr="00A62058">
              <w:rPr>
                <w:rFonts w:ascii="Candara" w:eastAsia="Candara" w:hAnsi="Candara" w:cs="Candara"/>
                <w:sz w:val="16"/>
                <w:szCs w:val="16"/>
              </w:rPr>
              <w:t xml:space="preserve">Pārnozaru sadarbības projekti - 4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A62058" w:rsidP="00B8601C" w14:paraId="6F6909C0" w14:textId="77777777">
            <w:pPr>
              <w:spacing w:after="0" w:line="240" w:lineRule="auto"/>
              <w:rPr>
                <w:rFonts w:ascii="Candara" w:eastAsia="Candara" w:hAnsi="Candara" w:cs="Candara"/>
                <w:sz w:val="16"/>
                <w:szCs w:val="16"/>
              </w:rPr>
            </w:pPr>
            <w:r w:rsidRPr="00A6205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A62058" w:rsidP="00B8601C" w14:paraId="2BA7EB09" w14:textId="77777777">
            <w:pPr>
              <w:spacing w:after="0" w:line="240" w:lineRule="auto"/>
              <w:rPr>
                <w:rFonts w:ascii="Candara" w:eastAsia="Candara" w:hAnsi="Candara" w:cs="Candara"/>
                <w:sz w:val="16"/>
                <w:szCs w:val="16"/>
              </w:rPr>
            </w:pPr>
            <w:r w:rsidRPr="00A62058">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A62058" w:rsidP="00EA22E5" w14:paraId="63F07B7A" w14:textId="0362F1FF">
            <w:pPr>
              <w:spacing w:after="0" w:line="240" w:lineRule="auto"/>
              <w:rPr>
                <w:rFonts w:ascii="Candara" w:eastAsia="Candara" w:hAnsi="Candara" w:cs="Candara"/>
                <w:sz w:val="16"/>
                <w:szCs w:val="16"/>
              </w:rPr>
            </w:pPr>
            <w:r>
              <w:rPr>
                <w:rFonts w:ascii="Candara" w:eastAsia="Candara" w:hAnsi="Candara" w:cs="Candara"/>
                <w:sz w:val="16"/>
                <w:szCs w:val="16"/>
              </w:rPr>
              <w:t>201</w:t>
            </w:r>
            <w:r w:rsidR="00EA22E5">
              <w:rPr>
                <w:rFonts w:ascii="Candara" w:eastAsia="Candara" w:hAnsi="Candara" w:cs="Candara"/>
                <w:sz w:val="16"/>
                <w:szCs w:val="16"/>
              </w:rPr>
              <w:t>8</w:t>
            </w:r>
          </w:p>
        </w:tc>
      </w:tr>
      <w:tr w14:paraId="480C98C1" w14:textId="77777777" w:rsidTr="005B7152">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16905E0" w14:textId="77777777">
            <w:pPr>
              <w:widowControl w:val="0"/>
              <w:numPr>
                <w:ilvl w:val="0"/>
                <w:numId w:val="43"/>
              </w:numPr>
              <w:spacing w:after="0" w:line="240" w:lineRule="auto"/>
              <w:ind w:left="310" w:hanging="310"/>
              <w:rPr>
                <w:rFonts w:ascii="Candara" w:eastAsia="Candara" w:hAnsi="Candara" w:cs="Candara"/>
                <w:sz w:val="16"/>
                <w:szCs w:val="16"/>
              </w:rPr>
            </w:pPr>
            <w:r w:rsidRPr="00057738">
              <w:rPr>
                <w:rFonts w:ascii="Candara" w:eastAsia="Candara" w:hAnsi="Candara" w:cs="Candara"/>
                <w:sz w:val="16"/>
                <w:szCs w:val="16"/>
              </w:rPr>
              <w:t xml:space="preserve">Sniegt atbalstu klasteru attīstībai un sekmēt uzņēmumu </w:t>
            </w:r>
            <w:r w:rsidRPr="00057738">
              <w:rPr>
                <w:rFonts w:ascii="Candara" w:eastAsia="Candara" w:hAnsi="Candara" w:cs="Candara"/>
                <w:sz w:val="16"/>
                <w:szCs w:val="16"/>
              </w:rPr>
              <w:t>specializāciju un iesaistīšanos globālajās vērtību ķēdēs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51358EA"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Izveidota ilgtspējīga klasteru attīstības platforma eksporta, </w:t>
            </w:r>
            <w:r w:rsidRPr="00057738">
              <w:rPr>
                <w:rFonts w:ascii="Candara" w:eastAsia="Candara" w:hAnsi="Candara" w:cs="Candara"/>
                <w:sz w:val="16"/>
                <w:szCs w:val="16"/>
              </w:rPr>
              <w:t>kā arī inovāciju un produktivitātes veicināšanai.</w:t>
            </w:r>
          </w:p>
          <w:p w:rsidR="00B8601C" w:rsidRPr="00057738" w:rsidP="00B8601C" w14:paraId="2246CA1F" w14:textId="77777777">
            <w:pPr>
              <w:spacing w:after="0" w:line="240" w:lineRule="auto"/>
              <w:rPr>
                <w:rFonts w:ascii="Candara" w:eastAsia="Candara" w:hAnsi="Candara" w:cs="Candara"/>
                <w:b/>
                <w:sz w:val="16"/>
                <w:szCs w:val="16"/>
              </w:rPr>
            </w:pPr>
            <w:r w:rsidRPr="00057738">
              <w:rPr>
                <w:rFonts w:ascii="Candara" w:eastAsia="Candara" w:hAnsi="Candara" w:cs="Candara"/>
                <w:sz w:val="16"/>
                <w:szCs w:val="16"/>
              </w:rPr>
              <w:t>Klasteru programmas dalībnieki iesaistās augstskolu un zinātnisko institūciju stratēģiju ieviešanas monitoringā, t.sk. studiju programmu piedāvājuma sagatavošanā un prakses vietu nodrošināšanā.</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0C4DB2F" w14:textId="77777777">
            <w:pPr>
              <w:widowControl w:val="0"/>
              <w:numPr>
                <w:ilvl w:val="0"/>
                <w:numId w:val="45"/>
              </w:numPr>
              <w:spacing w:after="0" w:line="240" w:lineRule="auto"/>
              <w:ind w:left="124" w:hanging="142"/>
              <w:rPr>
                <w:rFonts w:ascii="Candara" w:hAnsi="Candara"/>
                <w:sz w:val="16"/>
                <w:szCs w:val="16"/>
              </w:rPr>
            </w:pPr>
            <w:r w:rsidRPr="00057738">
              <w:rPr>
                <w:rFonts w:ascii="Candara" w:eastAsia="Candara" w:hAnsi="Candara" w:cs="Candara"/>
                <w:sz w:val="16"/>
                <w:szCs w:val="16"/>
              </w:rPr>
              <w:t>Atbalstīto komersantu skaits;</w:t>
            </w:r>
          </w:p>
          <w:p w:rsidR="00B8601C" w:rsidRPr="00057738" w:rsidP="00B8601C" w14:paraId="6B195E55" w14:textId="77777777">
            <w:pPr>
              <w:widowControl w:val="0"/>
              <w:numPr>
                <w:ilvl w:val="0"/>
                <w:numId w:val="45"/>
              </w:numPr>
              <w:spacing w:after="0" w:line="240" w:lineRule="auto"/>
              <w:ind w:left="124" w:hanging="142"/>
              <w:rPr>
                <w:rFonts w:ascii="Candara" w:hAnsi="Candara"/>
                <w:sz w:val="16"/>
                <w:szCs w:val="16"/>
              </w:rPr>
            </w:pPr>
            <w:r w:rsidRPr="00057738">
              <w:rPr>
                <w:rFonts w:ascii="Candara" w:eastAsia="Candara" w:hAnsi="Candara" w:cs="Candara"/>
                <w:sz w:val="16"/>
                <w:szCs w:val="16"/>
              </w:rPr>
              <w:t>Saņemto grantu skaits;</w:t>
            </w:r>
          </w:p>
          <w:p w:rsidR="00B8601C" w:rsidRPr="00057738" w:rsidP="00B8601C" w14:paraId="4744CEED" w14:textId="77777777">
            <w:pPr>
              <w:widowControl w:val="0"/>
              <w:numPr>
                <w:ilvl w:val="0"/>
                <w:numId w:val="45"/>
              </w:numPr>
              <w:spacing w:after="0" w:line="240" w:lineRule="auto"/>
              <w:ind w:left="124" w:hanging="142"/>
              <w:rPr>
                <w:rFonts w:ascii="Candara" w:hAnsi="Candara"/>
                <w:sz w:val="16"/>
                <w:szCs w:val="16"/>
              </w:rPr>
            </w:pPr>
            <w:r w:rsidRPr="00057738">
              <w:rPr>
                <w:rFonts w:ascii="Candara" w:eastAsia="Candara" w:hAnsi="Candara" w:cs="Candara"/>
                <w:sz w:val="16"/>
                <w:szCs w:val="16"/>
              </w:rPr>
              <w:t xml:space="preserve">Komersantu, kas iesaistās augstskolu </w:t>
            </w:r>
            <w:r w:rsidRPr="00057738">
              <w:rPr>
                <w:rFonts w:ascii="Candara" w:eastAsia="Candara" w:hAnsi="Candara" w:cs="Candara"/>
                <w:sz w:val="16"/>
                <w:szCs w:val="16"/>
              </w:rPr>
              <w:t>nozares ekspertu padomju darbā, skaits.</w:t>
            </w:r>
          </w:p>
          <w:p w:rsidR="00B8601C" w:rsidRPr="00057738" w:rsidP="00B8601C" w14:paraId="35C3313D" w14:textId="77777777">
            <w:pPr>
              <w:widowControl w:val="0"/>
              <w:numPr>
                <w:ilvl w:val="0"/>
                <w:numId w:val="45"/>
              </w:numPr>
              <w:spacing w:after="0" w:line="240" w:lineRule="auto"/>
              <w:ind w:left="124" w:hanging="142"/>
              <w:rPr>
                <w:rFonts w:ascii="Candara" w:hAnsi="Candara"/>
                <w:sz w:val="16"/>
                <w:szCs w:val="16"/>
              </w:rPr>
            </w:pPr>
            <w:r w:rsidRPr="00057738">
              <w:rPr>
                <w:rFonts w:ascii="Candara" w:eastAsia="Candara" w:hAnsi="Candara" w:cs="Candara"/>
                <w:sz w:val="16"/>
                <w:szCs w:val="16"/>
              </w:rPr>
              <w:t>Dalību skaits augstskolu un zinātnisko institūciju stratēģiju ieviešanas monitoringā.</w:t>
            </w:r>
          </w:p>
          <w:p w:rsidR="00B8601C" w:rsidRPr="00057738" w:rsidP="00B8601C" w14:paraId="1C44D484" w14:textId="77777777">
            <w:pPr>
              <w:widowControl w:val="0"/>
              <w:spacing w:after="0" w:line="240" w:lineRule="auto"/>
              <w:ind w:left="124"/>
              <w:rPr>
                <w:rFonts w:ascii="Candara" w:hAnsi="Candara"/>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799A040"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 Atbalstīti 14 klasteru izveides vai attīstības projekti, kuru īstenošanā iesaistījušies vismaz 420  komersanti, </w:t>
            </w:r>
            <w:r w:rsidRPr="00057738">
              <w:rPr>
                <w:rFonts w:ascii="Candara" w:eastAsia="Candara" w:hAnsi="Candara" w:cs="Candara"/>
                <w:sz w:val="16"/>
                <w:szCs w:val="16"/>
              </w:rPr>
              <w:t xml:space="preserve">no kuriem atbalstu (grants) saņēmuši vismaz 120. </w:t>
            </w:r>
          </w:p>
          <w:p w:rsidR="00B8601C" w:rsidRPr="00057738" w:rsidP="00B8601C" w14:paraId="7BA577FC"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Samazinājušās darba tirgus disproporcijas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5F8FC5B"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3.2.1.1. pasākums "Klasteru </w:t>
            </w:r>
            <w:r w:rsidRPr="00057738">
              <w:rPr>
                <w:rFonts w:ascii="Candara" w:eastAsia="Candara" w:hAnsi="Candara" w:cs="Candara"/>
                <w:sz w:val="16"/>
                <w:szCs w:val="16"/>
              </w:rPr>
              <w:t>programma" (6,2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BF5E1A4"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72DDF4FE"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bl>
    <w:p w:rsidR="005B7152" w:rsidP="005B7152" w14:paraId="264CEDEB" w14:textId="77777777">
      <w:pPr>
        <w:spacing w:after="0" w:line="240" w:lineRule="auto"/>
        <w:rPr>
          <w:rFonts w:ascii="Candara" w:eastAsia="Candara" w:hAnsi="Candara" w:cs="Candara"/>
          <w:sz w:val="18"/>
          <w:szCs w:val="18"/>
        </w:rPr>
      </w:pPr>
    </w:p>
    <w:p w:rsidR="00B8601C" w:rsidP="00B8601C" w14:paraId="705026FC" w14:textId="77777777">
      <w:pPr>
        <w:shd w:val="clear" w:color="auto" w:fill="1F3864"/>
        <w:spacing w:after="0" w:line="240" w:lineRule="auto"/>
        <w:ind w:left="482" w:hanging="340"/>
        <w:rPr>
          <w:rFonts w:ascii="Candara" w:eastAsia="Candara" w:hAnsi="Candara" w:cs="Candara"/>
          <w:b/>
          <w:color w:val="FFFFFF"/>
          <w:sz w:val="24"/>
          <w:szCs w:val="24"/>
        </w:rPr>
      </w:pPr>
      <w:r>
        <w:rPr>
          <w:rFonts w:ascii="Candara" w:eastAsia="Candara" w:hAnsi="Candara" w:cs="Candara"/>
          <w:b/>
          <w:color w:val="FFFFFF"/>
          <w:sz w:val="24"/>
          <w:szCs w:val="24"/>
        </w:rPr>
        <w:t>5.Uzņēmējdarbības vides pilnveidošana</w:t>
      </w:r>
    </w:p>
    <w:p w:rsidR="00B8601C" w:rsidP="00D13CD1" w14:paraId="4DF490D9" w14:textId="77777777">
      <w:pPr>
        <w:pStyle w:val="Caption"/>
        <w:spacing w:before="0" w:after="0"/>
      </w:pPr>
    </w:p>
    <w:tbl>
      <w:tblPr>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3"/>
        <w:gridCol w:w="2268"/>
        <w:gridCol w:w="3260"/>
        <w:gridCol w:w="2694"/>
        <w:gridCol w:w="1701"/>
        <w:gridCol w:w="1417"/>
        <w:gridCol w:w="1276"/>
      </w:tblGrid>
      <w:tr w14:paraId="68EA2CE4" w14:textId="77777777" w:rsidTr="00D13CD1">
        <w:tblPrEx>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953" w:type="dxa"/>
            <w:shd w:val="clear" w:color="auto" w:fill="D9D9D9"/>
            <w:vAlign w:val="center"/>
          </w:tcPr>
          <w:p w:rsidR="00B8601C" w:rsidRPr="00057738" w:rsidP="00B8601C" w14:paraId="3A65C60D"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Atbalsta instrumenti un politikas iniciatīvas</w:t>
            </w:r>
          </w:p>
        </w:tc>
        <w:tc>
          <w:tcPr>
            <w:tcW w:w="2268" w:type="dxa"/>
            <w:shd w:val="clear" w:color="auto" w:fill="D9D9D9"/>
            <w:vAlign w:val="center"/>
          </w:tcPr>
          <w:p w:rsidR="00B8601C" w:rsidRPr="00057738" w:rsidP="00B8601C" w14:paraId="6D6BA5CE"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 xml:space="preserve">Sagaidāmās izmaiņas </w:t>
            </w:r>
          </w:p>
        </w:tc>
        <w:tc>
          <w:tcPr>
            <w:tcW w:w="3260" w:type="dxa"/>
            <w:shd w:val="clear" w:color="auto" w:fill="D9D9D9"/>
            <w:vAlign w:val="center"/>
          </w:tcPr>
          <w:p w:rsidR="00B8601C" w:rsidRPr="00057738" w:rsidP="00B8601C" w14:paraId="55C4BBCE"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Rezultāta indikatori</w:t>
            </w:r>
          </w:p>
        </w:tc>
        <w:tc>
          <w:tcPr>
            <w:tcW w:w="2694" w:type="dxa"/>
            <w:shd w:val="clear" w:color="auto" w:fill="D9D9D9"/>
            <w:vAlign w:val="center"/>
          </w:tcPr>
          <w:p w:rsidR="00B8601C" w:rsidRPr="00057738" w:rsidP="00B8601C" w14:paraId="7765C44B"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Iznākuma/ rezultāta rādītāji</w:t>
            </w:r>
          </w:p>
        </w:tc>
        <w:tc>
          <w:tcPr>
            <w:tcW w:w="1701" w:type="dxa"/>
            <w:shd w:val="clear" w:color="auto" w:fill="D9D9D9"/>
          </w:tcPr>
          <w:p w:rsidR="00B8601C" w:rsidRPr="00057738" w:rsidP="00B8601C" w14:paraId="1628781F"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Finansējuma avots un apmērs</w:t>
            </w:r>
          </w:p>
        </w:tc>
        <w:tc>
          <w:tcPr>
            <w:tcW w:w="1417" w:type="dxa"/>
            <w:shd w:val="clear" w:color="auto" w:fill="D9D9D9"/>
          </w:tcPr>
          <w:p w:rsidR="00B8601C" w:rsidRPr="00057738" w:rsidP="00B8601C" w14:paraId="2994EEF1"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Par uzdevuma izpildi atbildīgās institūcijas</w:t>
            </w:r>
          </w:p>
        </w:tc>
        <w:tc>
          <w:tcPr>
            <w:tcW w:w="1276" w:type="dxa"/>
            <w:shd w:val="clear" w:color="auto" w:fill="D9D9D9"/>
          </w:tcPr>
          <w:p w:rsidR="00B8601C" w:rsidRPr="00057738" w:rsidP="00B8601C" w14:paraId="519F576F" w14:textId="77777777">
            <w:pPr>
              <w:spacing w:after="0" w:line="240" w:lineRule="auto"/>
              <w:jc w:val="center"/>
              <w:rPr>
                <w:rFonts w:ascii="Candara" w:eastAsia="Candara" w:hAnsi="Candara" w:cs="Candara"/>
                <w:b/>
                <w:sz w:val="16"/>
                <w:szCs w:val="16"/>
              </w:rPr>
            </w:pPr>
            <w:r w:rsidRPr="00057738">
              <w:rPr>
                <w:rFonts w:ascii="Candara" w:eastAsia="Candara" w:hAnsi="Candara" w:cs="Candara"/>
                <w:b/>
                <w:sz w:val="16"/>
                <w:szCs w:val="16"/>
              </w:rPr>
              <w:t>Uzdevuma izpildes termiņš (gads)</w:t>
            </w:r>
          </w:p>
        </w:tc>
      </w:tr>
      <w:tr w14:paraId="388CF635"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7AC9126C" w14:textId="77777777">
            <w:pPr>
              <w:widowControl w:val="0"/>
              <w:numPr>
                <w:ilvl w:val="0"/>
                <w:numId w:val="34"/>
              </w:numPr>
              <w:spacing w:after="0" w:line="240" w:lineRule="auto"/>
              <w:ind w:left="288" w:hanging="288"/>
              <w:rPr>
                <w:rFonts w:ascii="Candara" w:eastAsia="Candara" w:hAnsi="Candara" w:cs="Candara"/>
                <w:sz w:val="16"/>
                <w:szCs w:val="16"/>
              </w:rPr>
            </w:pPr>
            <w:r w:rsidRPr="00057738">
              <w:rPr>
                <w:rFonts w:ascii="Candara" w:eastAsia="Candara" w:hAnsi="Candara" w:cs="Candara"/>
                <w:color w:val="000000"/>
                <w:sz w:val="16"/>
                <w:szCs w:val="16"/>
              </w:rPr>
              <w:t xml:space="preserve">Uzņēmējdarbības vides pilnveidošanas pasākumu plāna aktualizēšana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ED4B325" w14:textId="1BAFADC9">
            <w:pPr>
              <w:spacing w:after="0" w:line="240" w:lineRule="auto"/>
              <w:ind w:left="-101" w:firstLine="101"/>
              <w:rPr>
                <w:rFonts w:ascii="Candara" w:eastAsia="Candara" w:hAnsi="Candara" w:cs="Candara"/>
                <w:sz w:val="16"/>
                <w:szCs w:val="16"/>
              </w:rPr>
            </w:pPr>
            <w:r w:rsidRPr="00057738">
              <w:rPr>
                <w:rFonts w:ascii="Candara" w:eastAsia="Candara" w:hAnsi="Candara" w:cs="Candara"/>
                <w:sz w:val="16"/>
                <w:szCs w:val="16"/>
              </w:rPr>
              <w:t xml:space="preserve">Mazināts administratīvais slogs, vienkāršotas procedūras, novērsta informācijas dublēšanās un sekmēta e-pakalpojumu attīstība valsts un pašvaldību sniegtajos pakalpojumos. </w:t>
            </w:r>
            <w:r w:rsidR="00EA22E5">
              <w:rPr>
                <w:rFonts w:ascii="Candara" w:eastAsia="Candara" w:hAnsi="Candara" w:cs="Candara"/>
                <w:sz w:val="16"/>
                <w:szCs w:val="16"/>
              </w:rPr>
              <w:t xml:space="preserve"> Inovācijas sadaļas iekļaušana.</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0E95A4D" w14:textId="77777777">
            <w:pPr>
              <w:widowControl w:val="0"/>
              <w:numPr>
                <w:ilvl w:val="0"/>
                <w:numId w:val="23"/>
              </w:numPr>
              <w:spacing w:after="0" w:line="240" w:lineRule="auto"/>
              <w:ind w:left="124" w:hanging="142"/>
              <w:rPr>
                <w:rFonts w:ascii="Candara" w:hAnsi="Candara"/>
                <w:sz w:val="16"/>
                <w:szCs w:val="16"/>
              </w:rPr>
            </w:pPr>
            <w:r w:rsidRPr="00057738">
              <w:rPr>
                <w:rFonts w:ascii="Candara" w:eastAsia="Candara" w:hAnsi="Candara" w:cs="Candara"/>
                <w:sz w:val="16"/>
                <w:szCs w:val="16"/>
              </w:rPr>
              <w:t>Pozīcija Doing Business;</w:t>
            </w:r>
          </w:p>
          <w:p w:rsidR="00B8601C" w:rsidRPr="00EA22E5" w:rsidP="00B8601C" w14:paraId="3DAAC725" w14:textId="77777777">
            <w:pPr>
              <w:widowControl w:val="0"/>
              <w:numPr>
                <w:ilvl w:val="0"/>
                <w:numId w:val="23"/>
              </w:numPr>
              <w:spacing w:after="0" w:line="240" w:lineRule="auto"/>
              <w:ind w:left="124" w:hanging="142"/>
              <w:rPr>
                <w:rFonts w:ascii="Candara" w:hAnsi="Candara"/>
                <w:sz w:val="16"/>
                <w:szCs w:val="16"/>
              </w:rPr>
            </w:pPr>
            <w:r w:rsidRPr="00057738">
              <w:rPr>
                <w:rFonts w:ascii="Candara" w:eastAsia="Candara" w:hAnsi="Candara" w:cs="Candara"/>
                <w:sz w:val="16"/>
                <w:szCs w:val="16"/>
              </w:rPr>
              <w:t>Pozīcija Global Competitiveness Index</w:t>
            </w:r>
          </w:p>
          <w:p w:rsidR="00EA22E5" w:rsidRPr="00057738" w:rsidP="00B8601C" w14:paraId="6339F6DD" w14:textId="48E0D98A">
            <w:pPr>
              <w:widowControl w:val="0"/>
              <w:numPr>
                <w:ilvl w:val="0"/>
                <w:numId w:val="23"/>
              </w:numPr>
              <w:spacing w:after="0" w:line="240" w:lineRule="auto"/>
              <w:ind w:left="124" w:hanging="142"/>
              <w:rPr>
                <w:rFonts w:ascii="Candara" w:hAnsi="Candara"/>
                <w:sz w:val="16"/>
                <w:szCs w:val="16"/>
              </w:rPr>
            </w:pPr>
            <w:r>
              <w:rPr>
                <w:rFonts w:ascii="Candara" w:eastAsia="Candara" w:hAnsi="Candara" w:cs="Candara"/>
                <w:sz w:val="16"/>
                <w:szCs w:val="16"/>
              </w:rPr>
              <w:t>Pozīcija European Innovation Scoreboard</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1C073A5"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Katru gadu iesniegts aktualizēts Uzņēmējdarbības vides pilnveidošanas pasākumu plāns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F216859"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FACC4EC" w14:textId="77777777">
            <w:pPr>
              <w:spacing w:after="0" w:line="240" w:lineRule="auto"/>
              <w:rPr>
                <w:rFonts w:ascii="Candara" w:eastAsia="Candara" w:hAnsi="Candara" w:cs="Candara"/>
                <w:sz w:val="16"/>
                <w:szCs w:val="16"/>
              </w:rPr>
            </w:pPr>
            <w:r w:rsidRPr="00057738">
              <w:rPr>
                <w:rFonts w:ascii="Candara" w:eastAsia="Candara" w:hAnsi="Candara" w:cs="Candara"/>
                <w:color w:val="000000"/>
                <w:sz w:val="16"/>
                <w:szCs w:val="16"/>
              </w:rPr>
              <w:t>EM, FM, TM, LM, SM, VARAM, VM, ZM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EA22E5" w14:paraId="720B5A1D" w14:textId="12B8F0A5">
            <w:pPr>
              <w:spacing w:after="0" w:line="240" w:lineRule="auto"/>
              <w:rPr>
                <w:rFonts w:ascii="Candara" w:eastAsia="Candara" w:hAnsi="Candara" w:cs="Candara"/>
                <w:sz w:val="16"/>
                <w:szCs w:val="16"/>
              </w:rPr>
            </w:pPr>
            <w:r>
              <w:rPr>
                <w:rFonts w:ascii="Candara" w:eastAsia="Candara" w:hAnsi="Candara" w:cs="Candara"/>
                <w:sz w:val="16"/>
                <w:szCs w:val="16"/>
              </w:rPr>
              <w:t>201</w:t>
            </w:r>
            <w:r w:rsidR="00EA22E5">
              <w:rPr>
                <w:rFonts w:ascii="Candara" w:eastAsia="Candara" w:hAnsi="Candara" w:cs="Candara"/>
                <w:sz w:val="16"/>
                <w:szCs w:val="16"/>
              </w:rPr>
              <w:t>8</w:t>
            </w:r>
          </w:p>
        </w:tc>
      </w:tr>
      <w:tr w14:paraId="6ACC9337"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D13CD1" w14:paraId="6519B8FD" w14:textId="77777777">
            <w:pPr>
              <w:widowControl w:val="0"/>
              <w:numPr>
                <w:ilvl w:val="0"/>
                <w:numId w:val="31"/>
              </w:numPr>
              <w:spacing w:after="0" w:line="240" w:lineRule="auto"/>
              <w:ind w:left="288" w:hanging="288"/>
              <w:rPr>
                <w:rFonts w:ascii="Candara" w:eastAsia="Candara" w:hAnsi="Candara" w:cs="Candara"/>
                <w:sz w:val="16"/>
                <w:szCs w:val="16"/>
              </w:rPr>
            </w:pPr>
            <w:r w:rsidRPr="00057738">
              <w:rPr>
                <w:rFonts w:ascii="Candara" w:eastAsia="Candara" w:hAnsi="Candara" w:cs="Candara"/>
                <w:color w:val="000000"/>
                <w:sz w:val="16"/>
                <w:szCs w:val="16"/>
              </w:rPr>
              <w:t>0% UIN reinvestētās peļņas modeļa ieviešana Latvijā</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6DAC15D"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Ieviesta uzņēmējdarbības attīstībai labvēlīga nodokļu sistēma:</w:t>
            </w:r>
          </w:p>
          <w:p w:rsidR="00B8601C" w:rsidRPr="00057738" w:rsidP="00B8601C" w14:paraId="3138E580" w14:textId="77777777">
            <w:pPr>
              <w:widowControl w:val="0"/>
              <w:numPr>
                <w:ilvl w:val="0"/>
                <w:numId w:val="36"/>
              </w:numPr>
              <w:spacing w:after="0" w:line="240" w:lineRule="auto"/>
              <w:ind w:left="208" w:hanging="208"/>
              <w:rPr>
                <w:rFonts w:ascii="Candara" w:hAnsi="Candara"/>
                <w:sz w:val="16"/>
                <w:szCs w:val="16"/>
              </w:rPr>
            </w:pPr>
            <w:r w:rsidRPr="00057738">
              <w:rPr>
                <w:rFonts w:ascii="Candara" w:eastAsia="Candara" w:hAnsi="Candara" w:cs="Candara"/>
                <w:color w:val="000000"/>
                <w:sz w:val="16"/>
                <w:szCs w:val="16"/>
              </w:rPr>
              <w:t>Turpmākajos gados pieaudzis kredītu apjoms;</w:t>
            </w:r>
          </w:p>
          <w:p w:rsidR="00B8601C" w:rsidRPr="00057738" w:rsidP="00B8601C" w14:paraId="6EC93BBC" w14:textId="77777777">
            <w:pPr>
              <w:widowControl w:val="0"/>
              <w:numPr>
                <w:ilvl w:val="0"/>
                <w:numId w:val="36"/>
              </w:numPr>
              <w:spacing w:after="0" w:line="240" w:lineRule="auto"/>
              <w:ind w:left="208" w:hanging="208"/>
              <w:rPr>
                <w:rFonts w:ascii="Candara" w:hAnsi="Candara"/>
                <w:sz w:val="16"/>
                <w:szCs w:val="16"/>
              </w:rPr>
            </w:pPr>
            <w:r w:rsidRPr="00057738">
              <w:rPr>
                <w:rFonts w:ascii="Candara" w:eastAsia="Candara" w:hAnsi="Candara" w:cs="Candara"/>
                <w:color w:val="000000"/>
                <w:sz w:val="16"/>
                <w:szCs w:val="16"/>
              </w:rPr>
              <w:t>Uzlabojusies Latvijas uzņēmumu kapitalizācija;</w:t>
            </w:r>
          </w:p>
          <w:p w:rsidR="00B8601C" w:rsidRPr="00057738" w:rsidP="00B8601C" w14:paraId="39058C24" w14:textId="77777777">
            <w:pPr>
              <w:widowControl w:val="0"/>
              <w:numPr>
                <w:ilvl w:val="0"/>
                <w:numId w:val="36"/>
              </w:numPr>
              <w:spacing w:after="0" w:line="240" w:lineRule="auto"/>
              <w:ind w:left="208" w:hanging="208"/>
              <w:rPr>
                <w:rFonts w:ascii="Candara" w:hAnsi="Candara"/>
                <w:sz w:val="16"/>
                <w:szCs w:val="16"/>
              </w:rPr>
            </w:pPr>
            <w:r w:rsidRPr="00057738">
              <w:rPr>
                <w:rFonts w:ascii="Candara" w:eastAsia="Candara" w:hAnsi="Candara" w:cs="Candara"/>
                <w:color w:val="000000"/>
                <w:sz w:val="16"/>
                <w:szCs w:val="16"/>
              </w:rPr>
              <w:t>Samazinājusies ēnu ekonomika.</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4DE09D6"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n/a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752C1887" w14:textId="77777777">
            <w:pPr>
              <w:widowControl w:val="0"/>
              <w:numPr>
                <w:ilvl w:val="0"/>
                <w:numId w:val="38"/>
              </w:numPr>
              <w:spacing w:after="0" w:line="240" w:lineRule="auto"/>
              <w:ind w:left="148" w:hanging="148"/>
              <w:rPr>
                <w:rFonts w:ascii="Candara" w:hAnsi="Candara"/>
                <w:sz w:val="16"/>
                <w:szCs w:val="16"/>
              </w:rPr>
            </w:pPr>
            <w:r w:rsidRPr="00057738">
              <w:rPr>
                <w:rFonts w:ascii="Candara" w:eastAsia="Candara" w:hAnsi="Candara" w:cs="Candara"/>
                <w:color w:val="000000"/>
                <w:sz w:val="16"/>
                <w:szCs w:val="16"/>
              </w:rPr>
              <w:t>Kopējais rezidentu kredītportfelis papildus 5 procentpunktiem;</w:t>
            </w:r>
          </w:p>
          <w:p w:rsidR="00B8601C" w:rsidRPr="00057738" w:rsidP="00B8601C" w14:paraId="37B5DF51" w14:textId="77777777">
            <w:pPr>
              <w:widowControl w:val="0"/>
              <w:numPr>
                <w:ilvl w:val="0"/>
                <w:numId w:val="38"/>
              </w:numPr>
              <w:spacing w:after="0" w:line="240" w:lineRule="auto"/>
              <w:ind w:left="148" w:hanging="148"/>
              <w:rPr>
                <w:rFonts w:ascii="Candara" w:hAnsi="Candara"/>
                <w:sz w:val="16"/>
                <w:szCs w:val="16"/>
              </w:rPr>
            </w:pPr>
            <w:r w:rsidRPr="00057738">
              <w:rPr>
                <w:rFonts w:ascii="Candara" w:eastAsia="Candara" w:hAnsi="Candara" w:cs="Candara"/>
                <w:color w:val="000000"/>
                <w:sz w:val="16"/>
                <w:szCs w:val="16"/>
              </w:rPr>
              <w:t>pieaug pamatkapitāls (+574 milj.EUR 2019.g)</w:t>
            </w:r>
          </w:p>
          <w:p w:rsidR="00B8601C" w:rsidRPr="00057738" w:rsidP="00B8601C" w14:paraId="5744EC08" w14:textId="77777777">
            <w:pPr>
              <w:widowControl w:val="0"/>
              <w:numPr>
                <w:ilvl w:val="0"/>
                <w:numId w:val="38"/>
              </w:numPr>
              <w:spacing w:after="0" w:line="240" w:lineRule="auto"/>
              <w:ind w:left="148" w:hanging="148"/>
              <w:rPr>
                <w:rFonts w:ascii="Candara" w:hAnsi="Candara"/>
                <w:sz w:val="16"/>
                <w:szCs w:val="16"/>
              </w:rPr>
            </w:pPr>
            <w:r w:rsidRPr="00057738">
              <w:rPr>
                <w:rFonts w:ascii="Candara" w:eastAsia="Candara" w:hAnsi="Candara" w:cs="Candara"/>
                <w:color w:val="000000"/>
                <w:sz w:val="16"/>
                <w:szCs w:val="16"/>
              </w:rPr>
              <w:t>samazināta ēnu ekonomika (-1%)</w:t>
            </w:r>
          </w:p>
          <w:p w:rsidR="00B8601C" w:rsidRPr="00057738" w:rsidP="00B8601C" w14:paraId="0A1FE54C" w14:textId="77777777">
            <w:pPr>
              <w:spacing w:after="0" w:line="240" w:lineRule="auto"/>
              <w:rPr>
                <w:rFonts w:ascii="Candara" w:eastAsia="Candara" w:hAnsi="Candara" w:cs="Candara"/>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4AC47CA" w14:textId="77777777">
            <w:pPr>
              <w:widowControl w:val="0"/>
              <w:spacing w:after="0" w:line="240" w:lineRule="auto"/>
              <w:rPr>
                <w:rFonts w:ascii="Candara" w:eastAsia="Candara" w:hAnsi="Candara" w:cs="Candara"/>
                <w:color w:val="000000"/>
                <w:sz w:val="16"/>
                <w:szCs w:val="16"/>
              </w:rPr>
            </w:pPr>
            <w:r w:rsidRPr="0005773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04AC62E" w14:textId="77777777">
            <w:pPr>
              <w:widowControl w:val="0"/>
              <w:spacing w:after="0" w:line="240" w:lineRule="auto"/>
              <w:rPr>
                <w:rFonts w:ascii="Candara" w:eastAsia="Candara" w:hAnsi="Candara" w:cs="Candara"/>
                <w:sz w:val="16"/>
                <w:szCs w:val="16"/>
              </w:rPr>
            </w:pPr>
            <w:r w:rsidRPr="00057738">
              <w:rPr>
                <w:rFonts w:ascii="Candara" w:eastAsia="Candara" w:hAnsi="Candara" w:cs="Candara"/>
                <w:sz w:val="16"/>
                <w:szCs w:val="16"/>
              </w:rPr>
              <w:t>FM, 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FA1BC96" w14:textId="77777777">
            <w:pPr>
              <w:widowControl w:val="0"/>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1C23FB6B"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D13CD1" w14:paraId="4538A52F" w14:textId="77777777">
            <w:pPr>
              <w:widowControl w:val="0"/>
              <w:numPr>
                <w:ilvl w:val="0"/>
                <w:numId w:val="31"/>
              </w:numPr>
              <w:spacing w:after="0" w:line="240" w:lineRule="auto"/>
              <w:ind w:left="288" w:hanging="288"/>
              <w:rPr>
                <w:rFonts w:ascii="Candara" w:eastAsia="Candara" w:hAnsi="Candara" w:cs="Candara"/>
                <w:sz w:val="16"/>
                <w:szCs w:val="16"/>
              </w:rPr>
            </w:pPr>
            <w:r w:rsidRPr="00057738">
              <w:rPr>
                <w:rFonts w:ascii="Candara" w:eastAsia="Candara" w:hAnsi="Candara" w:cs="Candara"/>
                <w:color w:val="000000"/>
                <w:sz w:val="16"/>
                <w:szCs w:val="16"/>
              </w:rPr>
              <w:t xml:space="preserve">Nodokļu deklarācijās un citos pārskatos norādāmās informācijas pārklāšanās novēršana - tajos ietverto datu sinhornizācija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925CDD3"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Mazināts laiks pārskatu sagatavošanai un iesniegšanai VID un CSP</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A55D1A6"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Veikts identificēto pārskatu atkārtotu izvērtējums un lemts par efektīvāko risinājumu ieviešanu, kas novērš uzņēmējiem radīto birokrātisko slogu radošas prasības.</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39589769"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Ņemot vērā identificēto, noteiktā kārtībā iesniegti grozījumi MK noteikumos, kas atceļ dublējošās informācijas pieprasījumu.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6B56346"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47AE3CE3" w14:textId="77777777">
            <w:pPr>
              <w:spacing w:after="0" w:line="240" w:lineRule="auto"/>
              <w:rPr>
                <w:rFonts w:ascii="Candara" w:eastAsia="Candara" w:hAnsi="Candara" w:cs="Candara"/>
                <w:sz w:val="16"/>
                <w:szCs w:val="16"/>
              </w:rPr>
            </w:pPr>
            <w:r w:rsidRPr="00057738">
              <w:rPr>
                <w:rFonts w:ascii="Candara" w:eastAsia="Candara" w:hAnsi="Candara" w:cs="Candara"/>
                <w:color w:val="000000"/>
                <w:sz w:val="16"/>
                <w:szCs w:val="16"/>
              </w:rPr>
              <w:t>EM, CSP, FM, VID, VARAM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2629CBF" w14:textId="77777777">
            <w:pPr>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16BEAA22"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D13CD1" w14:paraId="2B70FBE9" w14:textId="77777777">
            <w:pPr>
              <w:widowControl w:val="0"/>
              <w:numPr>
                <w:ilvl w:val="0"/>
                <w:numId w:val="31"/>
              </w:numPr>
              <w:spacing w:after="0" w:line="240" w:lineRule="auto"/>
              <w:ind w:left="288" w:hanging="288"/>
              <w:rPr>
                <w:rFonts w:ascii="Candara" w:eastAsia="Candara" w:hAnsi="Candara" w:cs="Candara"/>
                <w:sz w:val="16"/>
                <w:szCs w:val="16"/>
              </w:rPr>
            </w:pPr>
            <w:r w:rsidRPr="00057738">
              <w:rPr>
                <w:rFonts w:ascii="Candara" w:eastAsia="Candara" w:hAnsi="Candara" w:cs="Candara"/>
                <w:color w:val="000000"/>
                <w:sz w:val="16"/>
                <w:szCs w:val="16"/>
              </w:rPr>
              <w:t xml:space="preserve">VID EDS attīstības pasākumu īstenošana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87CE16D"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Mazināts laiks pārskatu iesniegšanai VID</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9E0ECE3"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Uzlabota VID e-pakalpojumu funkcionalitāte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4EC9596"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Uzlaboti 4 EDS pakalpojumi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23335C28"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4633B02" w14:textId="77777777">
            <w:pPr>
              <w:spacing w:after="0" w:line="240" w:lineRule="auto"/>
              <w:rPr>
                <w:rFonts w:ascii="Candara" w:eastAsia="Candara" w:hAnsi="Candara" w:cs="Candara"/>
                <w:sz w:val="16"/>
                <w:szCs w:val="16"/>
              </w:rPr>
            </w:pPr>
            <w:r>
              <w:rPr>
                <w:rFonts w:ascii="Candara" w:eastAsia="Candara" w:hAnsi="Candara" w:cs="Candara"/>
                <w:sz w:val="16"/>
                <w:szCs w:val="16"/>
              </w:rPr>
              <w:t>FM, VID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DDB7259" w14:textId="77777777">
            <w:pPr>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40960D09"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D13CD1" w14:paraId="2B91A01D" w14:textId="77777777">
            <w:pPr>
              <w:widowControl w:val="0"/>
              <w:numPr>
                <w:ilvl w:val="0"/>
                <w:numId w:val="31"/>
              </w:numPr>
              <w:spacing w:after="0" w:line="240" w:lineRule="auto"/>
              <w:ind w:left="288" w:hanging="288"/>
              <w:rPr>
                <w:rFonts w:ascii="Candara" w:eastAsia="Candara" w:hAnsi="Candara" w:cs="Candara"/>
                <w:b/>
                <w:sz w:val="16"/>
                <w:szCs w:val="16"/>
              </w:rPr>
            </w:pPr>
            <w:r w:rsidRPr="00057738">
              <w:rPr>
                <w:rFonts w:ascii="Candara" w:eastAsia="Candara" w:hAnsi="Candara" w:cs="Candara"/>
                <w:color w:val="000000"/>
                <w:sz w:val="16"/>
                <w:szCs w:val="16"/>
              </w:rPr>
              <w:t xml:space="preserve">Godprātīgu  nodokļu maksātāju motivēšana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0CB83023"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Izstrādāti priekšlikumi Padziļinātās sadarbības programmas pilnveidošanai, </w:t>
            </w:r>
            <w:r w:rsidRPr="00057738">
              <w:rPr>
                <w:rFonts w:ascii="Candara" w:eastAsia="Candara" w:hAnsi="Candara" w:cs="Candara"/>
                <w:sz w:val="16"/>
                <w:szCs w:val="16"/>
              </w:rPr>
              <w:t>tādejādi uzlabojot nodokļu maksātāju un nodokļu administrācijas sadarbību, vienlaikus mazinot valsts pārvaldes administratīvo slogu</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11B59A7"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Izstrādāti priekšlikumi Padziļinātās sadarbības programmas pilnveidošanai </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614B1237"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 xml:space="preserve">MK iesniegts konceptuālais ziņojums par godprātīgu nodokļu maksātāju motivēšanu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806AAD0" w14:textId="77777777">
            <w:pPr>
              <w:spacing w:after="0" w:line="240" w:lineRule="auto"/>
              <w:rPr>
                <w:rFonts w:ascii="Candara" w:eastAsia="Candara" w:hAnsi="Candara" w:cs="Candara"/>
                <w:sz w:val="16"/>
                <w:szCs w:val="16"/>
              </w:rPr>
            </w:pPr>
            <w:r w:rsidRPr="00057738">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52D3B771" w14:textId="77777777">
            <w:pPr>
              <w:spacing w:after="0" w:line="240" w:lineRule="auto"/>
              <w:rPr>
                <w:rFonts w:ascii="Candara" w:eastAsia="Candara" w:hAnsi="Candara" w:cs="Candara"/>
                <w:sz w:val="16"/>
                <w:szCs w:val="16"/>
              </w:rPr>
            </w:pPr>
            <w:r w:rsidRPr="00057738">
              <w:rPr>
                <w:rFonts w:ascii="Candara" w:eastAsia="Candara" w:hAnsi="Candara" w:cs="Candara"/>
                <w:color w:val="000000"/>
                <w:sz w:val="16"/>
                <w:szCs w:val="16"/>
              </w:rPr>
              <w:t>EM, FM, VID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057738" w:rsidP="00B8601C" w14:paraId="1F3147A3" w14:textId="77777777">
            <w:pPr>
              <w:spacing w:after="0" w:line="240" w:lineRule="auto"/>
              <w:rPr>
                <w:rFonts w:ascii="Candara" w:eastAsia="Candara" w:hAnsi="Candara" w:cs="Candara"/>
                <w:sz w:val="16"/>
                <w:szCs w:val="16"/>
              </w:rPr>
            </w:pPr>
            <w:r>
              <w:rPr>
                <w:rFonts w:ascii="Candara" w:eastAsia="Candara" w:hAnsi="Candara" w:cs="Candara"/>
                <w:sz w:val="16"/>
                <w:szCs w:val="16"/>
              </w:rPr>
              <w:t>2018</w:t>
            </w:r>
          </w:p>
        </w:tc>
      </w:tr>
    </w:tbl>
    <w:p w:rsidR="00B8601C" w:rsidRPr="00A11525" w:rsidP="00B8601C" w14:paraId="577EDD6C" w14:textId="77777777">
      <w:pPr>
        <w:shd w:val="clear" w:color="auto" w:fill="FFFFFF"/>
        <w:spacing w:after="0" w:line="240" w:lineRule="auto"/>
        <w:ind w:left="482" w:hanging="340"/>
        <w:rPr>
          <w:rFonts w:ascii="Candara" w:eastAsia="Candara" w:hAnsi="Candara" w:cs="Candara"/>
          <w:b/>
          <w:color w:val="FFFFFF"/>
          <w:sz w:val="10"/>
          <w:szCs w:val="24"/>
        </w:rPr>
      </w:pPr>
    </w:p>
    <w:p w:rsidR="00B8601C" w:rsidP="00B8601C" w14:paraId="39015931" w14:textId="77777777">
      <w:pPr>
        <w:shd w:val="clear" w:color="auto" w:fill="1F3864"/>
        <w:spacing w:after="0" w:line="240" w:lineRule="auto"/>
        <w:ind w:left="482" w:hanging="340"/>
        <w:rPr>
          <w:rFonts w:ascii="Candara" w:eastAsia="Candara" w:hAnsi="Candara" w:cs="Candara"/>
          <w:b/>
          <w:color w:val="FFFFFF"/>
          <w:sz w:val="24"/>
          <w:szCs w:val="24"/>
        </w:rPr>
      </w:pPr>
      <w:r>
        <w:rPr>
          <w:rFonts w:ascii="Candara" w:eastAsia="Candara" w:hAnsi="Candara" w:cs="Candara"/>
          <w:b/>
          <w:color w:val="FFFFFF"/>
          <w:sz w:val="24"/>
          <w:szCs w:val="24"/>
        </w:rPr>
        <w:t>6.</w:t>
      </w:r>
      <w:r w:rsidR="008C3B71">
        <w:rPr>
          <w:rFonts w:ascii="Candara" w:eastAsia="Candara" w:hAnsi="Candara" w:cs="Candara"/>
          <w:b/>
          <w:color w:val="FFFFFF"/>
          <w:sz w:val="24"/>
          <w:szCs w:val="24"/>
        </w:rPr>
        <w:t>Zināšanu bāzes un c</w:t>
      </w:r>
      <w:r>
        <w:rPr>
          <w:rFonts w:ascii="Candara" w:eastAsia="Candara" w:hAnsi="Candara" w:cs="Candara"/>
          <w:b/>
          <w:color w:val="FFFFFF"/>
          <w:sz w:val="24"/>
          <w:szCs w:val="24"/>
        </w:rPr>
        <w:t>ilvēkkapitāla attīstība</w:t>
      </w:r>
    </w:p>
    <w:p w:rsidR="00B8601C" w:rsidRPr="00B8601C" w:rsidP="00B8601C" w14:paraId="03C7884B" w14:textId="77777777">
      <w:pPr>
        <w:pStyle w:val="Caption"/>
        <w:rPr>
          <w:sz w:val="4"/>
          <w:szCs w:val="4"/>
        </w:rPr>
      </w:pPr>
    </w:p>
    <w:tbl>
      <w:tblPr>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3"/>
        <w:gridCol w:w="2268"/>
        <w:gridCol w:w="3260"/>
        <w:gridCol w:w="2694"/>
        <w:gridCol w:w="1701"/>
        <w:gridCol w:w="1417"/>
        <w:gridCol w:w="1276"/>
      </w:tblGrid>
      <w:tr w14:paraId="6B20911D" w14:textId="77777777" w:rsidTr="00D13CD1">
        <w:tblPrEx>
          <w:tblW w:w="145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953" w:type="dxa"/>
            <w:shd w:val="clear" w:color="auto" w:fill="D9D9D9"/>
            <w:vAlign w:val="center"/>
          </w:tcPr>
          <w:p w:rsidR="00B8601C" w:rsidRPr="006670E5" w:rsidP="00B8601C" w14:paraId="18C45068" w14:textId="77777777">
            <w:pPr>
              <w:spacing w:after="0" w:line="240" w:lineRule="auto"/>
              <w:jc w:val="center"/>
              <w:rPr>
                <w:rFonts w:ascii="Candara" w:eastAsia="Candara" w:hAnsi="Candara" w:cs="Candara"/>
                <w:b/>
                <w:sz w:val="16"/>
                <w:szCs w:val="16"/>
              </w:rPr>
            </w:pPr>
            <w:r w:rsidRPr="006670E5">
              <w:rPr>
                <w:rFonts w:ascii="Candara" w:eastAsia="Candara" w:hAnsi="Candara" w:cs="Candara"/>
                <w:b/>
                <w:sz w:val="16"/>
                <w:szCs w:val="16"/>
              </w:rPr>
              <w:t>Atbalsta instrumenti un politikas iniciatīvas</w:t>
            </w:r>
          </w:p>
        </w:tc>
        <w:tc>
          <w:tcPr>
            <w:tcW w:w="2268" w:type="dxa"/>
            <w:shd w:val="clear" w:color="auto" w:fill="D9D9D9"/>
            <w:vAlign w:val="center"/>
          </w:tcPr>
          <w:p w:rsidR="00B8601C" w:rsidRPr="006670E5" w:rsidP="00B8601C" w14:paraId="3E4D713C" w14:textId="77777777">
            <w:pPr>
              <w:spacing w:after="0" w:line="240" w:lineRule="auto"/>
              <w:jc w:val="center"/>
              <w:rPr>
                <w:rFonts w:ascii="Candara" w:eastAsia="Candara" w:hAnsi="Candara" w:cs="Candara"/>
                <w:b/>
                <w:sz w:val="16"/>
                <w:szCs w:val="16"/>
              </w:rPr>
            </w:pPr>
            <w:r w:rsidRPr="006670E5">
              <w:rPr>
                <w:rFonts w:ascii="Candara" w:eastAsia="Candara" w:hAnsi="Candara" w:cs="Candara"/>
                <w:b/>
                <w:sz w:val="16"/>
                <w:szCs w:val="16"/>
              </w:rPr>
              <w:t xml:space="preserve">Sagaidāmās izmaiņas </w:t>
            </w:r>
          </w:p>
        </w:tc>
        <w:tc>
          <w:tcPr>
            <w:tcW w:w="3260" w:type="dxa"/>
            <w:shd w:val="clear" w:color="auto" w:fill="D9D9D9"/>
            <w:vAlign w:val="center"/>
          </w:tcPr>
          <w:p w:rsidR="00B8601C" w:rsidRPr="006670E5" w:rsidP="00B8601C" w14:paraId="3BFDE144" w14:textId="77777777">
            <w:pPr>
              <w:spacing w:after="0" w:line="240" w:lineRule="auto"/>
              <w:jc w:val="center"/>
              <w:rPr>
                <w:rFonts w:ascii="Candara" w:eastAsia="Candara" w:hAnsi="Candara" w:cs="Candara"/>
                <w:b/>
                <w:sz w:val="16"/>
                <w:szCs w:val="16"/>
              </w:rPr>
            </w:pPr>
            <w:r w:rsidRPr="006670E5">
              <w:rPr>
                <w:rFonts w:ascii="Candara" w:eastAsia="Candara" w:hAnsi="Candara" w:cs="Candara"/>
                <w:b/>
                <w:sz w:val="16"/>
                <w:szCs w:val="16"/>
              </w:rPr>
              <w:t>Rezultāta rādītāji</w:t>
            </w:r>
          </w:p>
        </w:tc>
        <w:tc>
          <w:tcPr>
            <w:tcW w:w="2694" w:type="dxa"/>
            <w:shd w:val="clear" w:color="auto" w:fill="D9D9D9"/>
            <w:vAlign w:val="center"/>
          </w:tcPr>
          <w:p w:rsidR="00B8601C" w:rsidRPr="006670E5" w:rsidP="00B8601C" w14:paraId="15B7B8B6" w14:textId="77777777">
            <w:pPr>
              <w:spacing w:after="0" w:line="240" w:lineRule="auto"/>
              <w:jc w:val="center"/>
              <w:rPr>
                <w:rFonts w:ascii="Candara" w:eastAsia="Candara" w:hAnsi="Candara" w:cs="Candara"/>
                <w:b/>
                <w:sz w:val="16"/>
                <w:szCs w:val="16"/>
              </w:rPr>
            </w:pPr>
            <w:r w:rsidRPr="006670E5">
              <w:rPr>
                <w:rFonts w:ascii="Candara" w:eastAsia="Candara" w:hAnsi="Candara" w:cs="Candara"/>
                <w:b/>
                <w:sz w:val="16"/>
                <w:szCs w:val="16"/>
              </w:rPr>
              <w:t>Iznākuma rādītāji</w:t>
            </w:r>
          </w:p>
        </w:tc>
        <w:tc>
          <w:tcPr>
            <w:tcW w:w="1701" w:type="dxa"/>
            <w:shd w:val="clear" w:color="auto" w:fill="D9D9D9"/>
          </w:tcPr>
          <w:p w:rsidR="00B8601C" w:rsidRPr="006670E5" w:rsidP="00B8601C" w14:paraId="4435CAC6" w14:textId="77777777">
            <w:pPr>
              <w:spacing w:after="0" w:line="240" w:lineRule="auto"/>
              <w:jc w:val="center"/>
              <w:rPr>
                <w:rFonts w:ascii="Candara" w:eastAsia="Candara" w:hAnsi="Candara" w:cs="Candara"/>
                <w:b/>
                <w:sz w:val="16"/>
                <w:szCs w:val="16"/>
              </w:rPr>
            </w:pPr>
            <w:r w:rsidRPr="006670E5">
              <w:rPr>
                <w:rFonts w:ascii="Candara" w:eastAsia="Candara" w:hAnsi="Candara" w:cs="Candara"/>
                <w:b/>
                <w:sz w:val="16"/>
                <w:szCs w:val="16"/>
              </w:rPr>
              <w:t>Finansējuma avots un apmērs</w:t>
            </w:r>
          </w:p>
        </w:tc>
        <w:tc>
          <w:tcPr>
            <w:tcW w:w="1417" w:type="dxa"/>
            <w:shd w:val="clear" w:color="auto" w:fill="D9D9D9"/>
          </w:tcPr>
          <w:p w:rsidR="00B8601C" w:rsidRPr="006670E5" w:rsidP="00B8601C" w14:paraId="5EB0F1A8" w14:textId="77777777">
            <w:pPr>
              <w:spacing w:after="0" w:line="240" w:lineRule="auto"/>
              <w:jc w:val="center"/>
              <w:rPr>
                <w:rFonts w:ascii="Candara" w:eastAsia="Candara" w:hAnsi="Candara" w:cs="Candara"/>
                <w:b/>
                <w:sz w:val="16"/>
                <w:szCs w:val="16"/>
              </w:rPr>
            </w:pPr>
            <w:r w:rsidRPr="006670E5">
              <w:rPr>
                <w:rFonts w:ascii="Candara" w:eastAsia="Candara" w:hAnsi="Candara" w:cs="Candara"/>
                <w:b/>
                <w:sz w:val="16"/>
                <w:szCs w:val="16"/>
              </w:rPr>
              <w:t>Par uzdevuma izpildi atbildīgās institūcijas</w:t>
            </w:r>
          </w:p>
        </w:tc>
        <w:tc>
          <w:tcPr>
            <w:tcW w:w="1276" w:type="dxa"/>
            <w:shd w:val="clear" w:color="auto" w:fill="D9D9D9"/>
          </w:tcPr>
          <w:p w:rsidR="00B8601C" w:rsidRPr="006670E5" w:rsidP="00B8601C" w14:paraId="4533B12B" w14:textId="77777777">
            <w:pPr>
              <w:spacing w:after="0" w:line="240" w:lineRule="auto"/>
              <w:jc w:val="center"/>
              <w:rPr>
                <w:rFonts w:ascii="Candara" w:eastAsia="Candara" w:hAnsi="Candara" w:cs="Candara"/>
                <w:b/>
                <w:sz w:val="16"/>
                <w:szCs w:val="16"/>
              </w:rPr>
            </w:pPr>
            <w:r w:rsidRPr="006670E5">
              <w:rPr>
                <w:rFonts w:ascii="Candara" w:eastAsia="Candara" w:hAnsi="Candara" w:cs="Candara"/>
                <w:b/>
                <w:sz w:val="16"/>
                <w:szCs w:val="16"/>
              </w:rPr>
              <w:t>Uzdevuma izpildes termiņš (gads)</w:t>
            </w:r>
          </w:p>
        </w:tc>
      </w:tr>
      <w:tr w14:paraId="45A43E73"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B6C0536" w14:textId="77777777">
            <w:pPr>
              <w:widowControl w:val="0"/>
              <w:numPr>
                <w:ilvl w:val="0"/>
                <w:numId w:val="55"/>
              </w:numPr>
              <w:spacing w:after="0" w:line="240" w:lineRule="auto"/>
              <w:ind w:left="310" w:hanging="310"/>
              <w:rPr>
                <w:rFonts w:ascii="Candara" w:eastAsia="Candara" w:hAnsi="Candara" w:cs="Candara"/>
                <w:sz w:val="16"/>
                <w:szCs w:val="16"/>
              </w:rPr>
            </w:pPr>
            <w:r w:rsidRPr="006670E5">
              <w:rPr>
                <w:rFonts w:ascii="Candara" w:eastAsia="Candara" w:hAnsi="Candara" w:cs="Candara"/>
                <w:sz w:val="16"/>
                <w:szCs w:val="16"/>
              </w:rPr>
              <w:t>Analīze par darba spēka pieprasījuma un piedāvājuma tendencēm jeb darba tirgus disproporcijām</w:t>
            </w:r>
            <w:r w:rsidRPr="006670E5">
              <w:rPr>
                <w:rFonts w:ascii="Candara" w:eastAsia="Candara" w:hAnsi="Candara" w:cs="Candara"/>
                <w:b/>
                <w:sz w:val="16"/>
                <w:szCs w:val="16"/>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A10D63C"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Nodrošināta pieeja darba tirgus analīze par darba spēka pieprasījuma-piedāvājuma tendencēm, t.sk. sniegti priekšlikumi nepieciešamajām rīcībām</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2F7B208" w14:textId="77777777">
            <w:pPr>
              <w:spacing w:after="0" w:line="240" w:lineRule="auto"/>
              <w:rPr>
                <w:rFonts w:ascii="Candara" w:eastAsia="Candara" w:hAnsi="Candara" w:cs="Candara"/>
                <w:b/>
                <w:sz w:val="16"/>
                <w:szCs w:val="16"/>
              </w:rPr>
            </w:pPr>
            <w:r w:rsidRPr="006670E5">
              <w:rPr>
                <w:rFonts w:ascii="Candara" w:eastAsia="Candara" w:hAnsi="Candara" w:cs="Candara"/>
                <w:b/>
                <w:sz w:val="16"/>
                <w:szCs w:val="16"/>
              </w:rPr>
              <w:t>n/a</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0375CEE0"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Sagatavots informatīvais ziņojums par darba tirgus vidēja un ilgtermiņa prognozēm – 1 ziņojums divos gados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98E256A"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3D3E3CA2"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17A8E6A0" w14:textId="77777777">
            <w:pPr>
              <w:spacing w:after="0" w:line="240" w:lineRule="auto"/>
              <w:rPr>
                <w:rFonts w:ascii="Candara" w:eastAsia="Candara" w:hAnsi="Candara" w:cs="Candara"/>
                <w:sz w:val="16"/>
                <w:szCs w:val="16"/>
              </w:rPr>
            </w:pPr>
            <w:r>
              <w:rPr>
                <w:rFonts w:ascii="Candara" w:eastAsia="Candara" w:hAnsi="Candara" w:cs="Candara"/>
                <w:sz w:val="16"/>
                <w:szCs w:val="16"/>
              </w:rPr>
              <w:t>2018, 2020, 2022</w:t>
            </w:r>
          </w:p>
        </w:tc>
      </w:tr>
      <w:tr w14:paraId="48F24C98"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48FC8FB4" w14:textId="77777777">
            <w:pPr>
              <w:widowControl w:val="0"/>
              <w:numPr>
                <w:ilvl w:val="0"/>
                <w:numId w:val="55"/>
              </w:numPr>
              <w:spacing w:after="0" w:line="240" w:lineRule="auto"/>
              <w:ind w:left="310" w:hanging="310"/>
              <w:rPr>
                <w:rFonts w:ascii="Candara" w:eastAsia="Candara" w:hAnsi="Candara" w:cs="Candara"/>
                <w:sz w:val="16"/>
                <w:szCs w:val="16"/>
              </w:rPr>
            </w:pPr>
            <w:r w:rsidRPr="006670E5">
              <w:rPr>
                <w:rFonts w:ascii="Candara" w:eastAsia="Candara" w:hAnsi="Candara" w:cs="Candara"/>
                <w:sz w:val="16"/>
                <w:szCs w:val="16"/>
              </w:rPr>
              <w:t xml:space="preserve">Nodrošināt Nodarbinātības padomes darbu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1C21C2A3"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Īstenots koordinēts atbildīgo nozaru ministriju darbs, kas nodrošina saskaņotas rīcības darba tirgus, izglītības kvalitātes jautājumu un demogrāfisko tendenču ietekmes risināšanai</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6349D50" w14:textId="77777777">
            <w:pPr>
              <w:spacing w:after="0" w:line="240" w:lineRule="auto"/>
              <w:rPr>
                <w:rFonts w:ascii="Candara" w:eastAsia="Candara" w:hAnsi="Candara" w:cs="Candara"/>
                <w:b/>
                <w:sz w:val="16"/>
                <w:szCs w:val="16"/>
              </w:rPr>
            </w:pPr>
            <w:r w:rsidRPr="006670E5">
              <w:rPr>
                <w:rFonts w:ascii="Candara" w:eastAsia="Candara" w:hAnsi="Candara" w:cs="Candara"/>
                <w:b/>
                <w:sz w:val="16"/>
                <w:szCs w:val="16"/>
              </w:rPr>
              <w:t>n/a</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3B83E572"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 xml:space="preserve">Organizētas Nodarbinātības padomes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4E062905"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D608027"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EM, IZM, LM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EA22E5" w14:paraId="5A21421E" w14:textId="5527C26F">
            <w:pPr>
              <w:spacing w:after="0" w:line="240" w:lineRule="auto"/>
              <w:rPr>
                <w:rFonts w:ascii="Candara" w:eastAsia="Candara" w:hAnsi="Candara" w:cs="Candara"/>
                <w:sz w:val="16"/>
                <w:szCs w:val="16"/>
              </w:rPr>
            </w:pPr>
            <w:r>
              <w:rPr>
                <w:rFonts w:ascii="Candara" w:eastAsia="Candara" w:hAnsi="Candara" w:cs="Candara"/>
                <w:sz w:val="16"/>
                <w:szCs w:val="16"/>
              </w:rPr>
              <w:t>201</w:t>
            </w:r>
            <w:r w:rsidR="00EA22E5">
              <w:rPr>
                <w:rFonts w:ascii="Candara" w:eastAsia="Candara" w:hAnsi="Candara" w:cs="Candara"/>
                <w:sz w:val="16"/>
                <w:szCs w:val="16"/>
              </w:rPr>
              <w:t>8</w:t>
            </w:r>
          </w:p>
        </w:tc>
      </w:tr>
      <w:tr w14:paraId="1D33A9DE"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127138F1" w14:textId="77777777">
            <w:pPr>
              <w:widowControl w:val="0"/>
              <w:numPr>
                <w:ilvl w:val="0"/>
                <w:numId w:val="55"/>
              </w:numPr>
              <w:spacing w:after="0" w:line="240" w:lineRule="auto"/>
              <w:ind w:left="310" w:hanging="310"/>
              <w:rPr>
                <w:rFonts w:ascii="Candara" w:eastAsia="Candara" w:hAnsi="Candara" w:cs="Candara"/>
                <w:sz w:val="16"/>
                <w:szCs w:val="16"/>
              </w:rPr>
            </w:pPr>
            <w:r w:rsidRPr="006670E5">
              <w:rPr>
                <w:rFonts w:ascii="Candara" w:eastAsia="Candara" w:hAnsi="Candara" w:cs="Candara"/>
                <w:sz w:val="16"/>
                <w:szCs w:val="16"/>
              </w:rPr>
              <w:t>Īstenot pasākumus nodarbināto apmācībām, kas sniedz ieguldījumu komersantu produktivitātes paaugstināšanā un jaunu produktu un tehnoloģiju izstrādē</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1CA2213D"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Pieaugusi kvalificēta darbaspēka pieejamība, kā arī sekmēta zināšanu pārnese un jaunu vai uzlabotu produktu un tehnoloģiju izstrāde un ieviešana ražošanā</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12E1D0AB"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Apmācītie darbinieki</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7C0EE9BD"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Atbalstīto komersantu skaits – 1300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6329EBA6"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1.2.2.1. pasākums "</w:t>
            </w:r>
            <w:r>
              <w:fldChar w:fldCharType="begin"/>
            </w:r>
            <w:r>
              <w:instrText xml:space="preserve"> HYPERLINK "https://em.gov.lv/lv/es_fondi/atbalsta_pasakumi_2014_2020/atbalsts_nodarbinato_apmacibam/" </w:instrText>
            </w:r>
            <w:r>
              <w:fldChar w:fldCharType="separate"/>
            </w:r>
            <w:r w:rsidRPr="006670E5">
              <w:rPr>
                <w:rFonts w:ascii="Candara" w:eastAsia="Candara" w:hAnsi="Candara" w:cs="Candara"/>
                <w:sz w:val="16"/>
                <w:szCs w:val="16"/>
              </w:rPr>
              <w:t>Atbalsts nodarbināto apmācībām</w:t>
            </w:r>
            <w:r>
              <w:fldChar w:fldCharType="end"/>
            </w:r>
            <w:r w:rsidRPr="006670E5">
              <w:rPr>
                <w:rFonts w:ascii="Candara" w:eastAsia="Candara" w:hAnsi="Candara" w:cs="Candara"/>
                <w:sz w:val="16"/>
                <w:szCs w:val="16"/>
              </w:rPr>
              <w:t>" (24,9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A422009"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35D3E637"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0567CB47"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620873FA" w14:textId="77777777">
            <w:pPr>
              <w:widowControl w:val="0"/>
              <w:numPr>
                <w:ilvl w:val="0"/>
                <w:numId w:val="55"/>
              </w:numPr>
              <w:spacing w:after="0" w:line="240" w:lineRule="auto"/>
              <w:ind w:left="310" w:hanging="310"/>
              <w:rPr>
                <w:rFonts w:ascii="Candara" w:eastAsia="Candara" w:hAnsi="Candara" w:cs="Candara"/>
                <w:sz w:val="16"/>
                <w:szCs w:val="16"/>
              </w:rPr>
            </w:pPr>
            <w:r w:rsidRPr="006670E5">
              <w:rPr>
                <w:rFonts w:ascii="Candara" w:eastAsia="Candara" w:hAnsi="Candara" w:cs="Candara"/>
                <w:sz w:val="16"/>
                <w:szCs w:val="16"/>
              </w:rPr>
              <w:t>Īstenot pasākumus nodarbināto IT un digitālo prasmju paaugstināšanai komersantu produktivitātes kāpināšanai</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79561ED9"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Pieaugusi kvalificēta darbaspēka pieejamība, kas prot izmantot IT un digitālos rīkus un risinājumus uzņēmuma produktivitātes paaugstināšanai</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77EA73A6"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Apmācītie darbinieki</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78639B37"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Atbalstīto komersantu skaits – 560</w:t>
            </w:r>
          </w:p>
          <w:p w:rsidR="00B8601C" w:rsidRPr="006670E5" w:rsidP="00B8601C" w14:paraId="20468D2F"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Apmācīto personu skaits – 6200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4DA315D2"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1.2.2.3. pasākums "Atbalsts IKT un netehnoloģiskām apmācībām, kā arī apmācībām, lai sekmētu investoru piesaisti" (2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0488F9A7"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15DE1F69"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7A873D07"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79EE04E2" w14:textId="77777777">
            <w:pPr>
              <w:widowControl w:val="0"/>
              <w:numPr>
                <w:ilvl w:val="0"/>
                <w:numId w:val="55"/>
              </w:numPr>
              <w:spacing w:after="0" w:line="240" w:lineRule="auto"/>
              <w:ind w:left="310" w:hanging="310"/>
              <w:rPr>
                <w:rFonts w:ascii="Candara" w:eastAsia="Candara" w:hAnsi="Candara" w:cs="Candara"/>
                <w:sz w:val="16"/>
                <w:szCs w:val="16"/>
              </w:rPr>
            </w:pPr>
            <w:r w:rsidRPr="006670E5">
              <w:rPr>
                <w:rFonts w:ascii="Candara" w:eastAsia="Candara" w:hAnsi="Candara" w:cs="Candara"/>
                <w:sz w:val="16"/>
                <w:szCs w:val="16"/>
              </w:rPr>
              <w:t xml:space="preserve">Īstenot pasākumus nodarbināto apmācībām netehnoloģisko inovāciju jomā (marketings, </w:t>
            </w:r>
            <w:r w:rsidRPr="006670E5">
              <w:rPr>
                <w:rFonts w:ascii="Candara" w:eastAsia="Candara" w:hAnsi="Candara" w:cs="Candara"/>
                <w:i/>
                <w:sz w:val="16"/>
                <w:szCs w:val="16"/>
              </w:rPr>
              <w:t>lean</w:t>
            </w:r>
            <w:r w:rsidRPr="006670E5">
              <w:rPr>
                <w:rFonts w:ascii="Candara" w:eastAsia="Candara" w:hAnsi="Candara" w:cs="Candara"/>
                <w:sz w:val="16"/>
                <w:szCs w:val="16"/>
              </w:rPr>
              <w:t xml:space="preserve"> </w:t>
            </w:r>
            <w:r w:rsidRPr="006670E5">
              <w:rPr>
                <w:rFonts w:ascii="Candara" w:eastAsia="Candara" w:hAnsi="Candara" w:cs="Candara"/>
                <w:sz w:val="16"/>
                <w:szCs w:val="16"/>
              </w:rPr>
              <w:t>procesu vadība, biznesa modeļi u.c.)</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3B3E44BE"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Uzlabota uzņēmumu netehnoloģisko inovāciju pratība, t.sk. jaunu biznesa modeļu attīstīšanas jomā  uzņēmumu produktivitātes paaugstināšanai</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EE00390"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Apmācītie darbinieki</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2F5A3A6"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Atbalstīto komersantu skaits – 740 (2023.)</w:t>
            </w:r>
          </w:p>
          <w:p w:rsidR="00B8601C" w:rsidRPr="006670E5" w:rsidP="00B8601C" w14:paraId="3493E635"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Apmācīto personu skaits – 11 080 (2023.)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28F33CFF"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 xml:space="preserve">1.2.2.3. pasākums "Atbalsts IKT un netehnoloģiskām apmācībām, kā arī apmācībām, lai </w:t>
            </w:r>
            <w:r w:rsidRPr="006670E5">
              <w:rPr>
                <w:rFonts w:ascii="Candara" w:eastAsia="Candara" w:hAnsi="Candara" w:cs="Candara"/>
                <w:sz w:val="16"/>
                <w:szCs w:val="16"/>
              </w:rPr>
              <w:t>sekmētu investoru piesaisti" (2 milj. 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1677CFE4"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0D6F1BB9"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1253EFEF"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313D37EB" w14:textId="77777777">
            <w:pPr>
              <w:widowControl w:val="0"/>
              <w:numPr>
                <w:ilvl w:val="0"/>
                <w:numId w:val="55"/>
              </w:numPr>
              <w:spacing w:after="0" w:line="240" w:lineRule="auto"/>
              <w:ind w:left="288" w:hanging="310"/>
              <w:rPr>
                <w:rFonts w:ascii="Candara" w:eastAsia="Candara" w:hAnsi="Candara" w:cs="Candara"/>
                <w:sz w:val="16"/>
                <w:szCs w:val="16"/>
              </w:rPr>
            </w:pPr>
            <w:r w:rsidRPr="006670E5">
              <w:rPr>
                <w:rFonts w:ascii="Candara" w:eastAsia="Candara" w:hAnsi="Candara" w:cs="Candara"/>
                <w:color w:val="000000"/>
                <w:sz w:val="16"/>
                <w:szCs w:val="16"/>
              </w:rPr>
              <w:t>Sagatavot un iesniegt apstiprināšanai MK noteikumu projektu “Saraksts ar specialitātēm (profesijām), kurās prognozēts būtisks darbaspēka trūkums un kurās darbā Latvijas Republikā var tikt uzaicināti ārzemnieki, piemērojot atvieglotus nosacījumus”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14970E50"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Sagatavots profesiju saraksts ar profesijām, kurām piemērojami atvieglojumi noformējot termiņuzturēšanās atļaujas ar tiesībām uz nodarbinātību saskaņā ar Imigrācijas likuma 9.panta septīto daļu.</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E5287" w:rsidP="003E5287" w14:paraId="020CC1AC" w14:textId="77777777">
            <w:pPr>
              <w:spacing w:after="0" w:line="240" w:lineRule="auto"/>
              <w:rPr>
                <w:rFonts w:ascii="Candara" w:eastAsia="Candara" w:hAnsi="Candara" w:cs="Candara"/>
                <w:sz w:val="16"/>
                <w:szCs w:val="16"/>
              </w:rPr>
            </w:pPr>
            <w:r w:rsidRPr="00956EF9">
              <w:rPr>
                <w:rFonts w:ascii="Candara" w:eastAsia="Candara" w:hAnsi="Candara" w:cs="Candara"/>
                <w:sz w:val="16"/>
                <w:szCs w:val="16"/>
              </w:rPr>
              <w:t xml:space="preserve">Saīsināts uzturēšanās atļauju ar tiesībām uz nodarbinātību noformēšanas laiks ārzemniekiem profesijās, kurās LV vērojams </w:t>
            </w:r>
            <w:r>
              <w:rPr>
                <w:rFonts w:ascii="Candara" w:eastAsia="Candara" w:hAnsi="Candara" w:cs="Candara"/>
                <w:sz w:val="16"/>
                <w:szCs w:val="16"/>
              </w:rPr>
              <w:t>būtisks darbaspēka trūkums.</w:t>
            </w:r>
          </w:p>
          <w:p w:rsidR="00B8601C" w:rsidRPr="006670E5" w:rsidP="00B8601C" w14:paraId="3E6E9636" w14:textId="77777777">
            <w:pPr>
              <w:spacing w:after="0" w:line="240" w:lineRule="auto"/>
              <w:rPr>
                <w:rFonts w:ascii="Candara" w:eastAsia="Candara" w:hAnsi="Candara" w:cs="Candara"/>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33856E56"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Atvieglots (paātrināts) uzturēšanās atļauju ar tiesībām uz nodarbinātību noformēšanas laiks ārzemniekiem un to darba devējiem, tādejādi paātrinot ārzemnieku iekļaušanos uzņēmumu darba procesā un mazinot augsti kvalificētu speciālistu iztrūkumu profesijās, kurās vērojams vai tiek prognozēts būtisks darbaspēka trūkums.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20E6A61F"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4B7FB4AC"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7D431A46" w14:textId="77777777">
            <w:pPr>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4F20D776"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39286B15" w14:textId="77777777">
            <w:pPr>
              <w:widowControl w:val="0"/>
              <w:numPr>
                <w:ilvl w:val="0"/>
                <w:numId w:val="55"/>
              </w:numPr>
              <w:spacing w:after="0" w:line="240" w:lineRule="auto"/>
              <w:ind w:left="288" w:hanging="288"/>
              <w:rPr>
                <w:rFonts w:ascii="Candara" w:eastAsia="Candara" w:hAnsi="Candara" w:cs="Candara"/>
                <w:sz w:val="16"/>
                <w:szCs w:val="16"/>
              </w:rPr>
            </w:pPr>
            <w:r w:rsidRPr="006670E5">
              <w:rPr>
                <w:rFonts w:ascii="Candara" w:eastAsia="Candara" w:hAnsi="Candara" w:cs="Candara"/>
                <w:color w:val="000000"/>
                <w:sz w:val="16"/>
                <w:szCs w:val="16"/>
              </w:rPr>
              <w:t>Sagatavot un iesniegt apstiprināšanai MK noteikumu projektu par kārtību, kādā profesionālo pieredzi var atzīt par derīgu ES zilās kartes saņemšanai attiecīgā specialitātē vai nozarē</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EA0D480"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Palielinājies izsniegto ES zilo karšu skaits, līdz ar to mazinot augsti kvalificētu speciālistu iztrūkumu</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5B052477"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n/a</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6F54CDA2"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Izsniegto ES zilo karšu skaits LV</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2361A8FA"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Esošā budžeta ietvaros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749C52AA"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EM, IeM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8601C" w:rsidRPr="006670E5" w:rsidP="00B8601C" w14:paraId="2C1C276A" w14:textId="77777777">
            <w:pPr>
              <w:spacing w:after="0" w:line="240" w:lineRule="auto"/>
              <w:rPr>
                <w:rFonts w:ascii="Candara" w:eastAsia="Candara" w:hAnsi="Candara" w:cs="Candara"/>
                <w:sz w:val="16"/>
                <w:szCs w:val="16"/>
              </w:rPr>
            </w:pPr>
            <w:r>
              <w:rPr>
                <w:rFonts w:ascii="Candara" w:eastAsia="Candara" w:hAnsi="Candara" w:cs="Candara"/>
                <w:sz w:val="16"/>
                <w:szCs w:val="16"/>
              </w:rPr>
              <w:t>2018</w:t>
            </w:r>
          </w:p>
        </w:tc>
      </w:tr>
      <w:tr w14:paraId="7CF20E41"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39F6AE6C" w14:textId="77777777">
            <w:pPr>
              <w:spacing w:after="0" w:line="240" w:lineRule="auto"/>
              <w:ind w:left="288" w:hanging="288"/>
              <w:rPr>
                <w:rFonts w:ascii="Candara" w:eastAsia="Candara" w:hAnsi="Candara" w:cs="Candara"/>
                <w:b/>
                <w:sz w:val="16"/>
                <w:szCs w:val="16"/>
              </w:rPr>
            </w:pPr>
            <w:r w:rsidRPr="006670E5">
              <w:rPr>
                <w:rFonts w:ascii="Candara" w:eastAsia="Candara" w:hAnsi="Candara" w:cs="Candara"/>
                <w:sz w:val="16"/>
                <w:szCs w:val="16"/>
              </w:rPr>
              <w:t>6.8. Nodrošināt STEM, t.sk. medicīnas un radošo industriju studiju programmu infrastruktūras modernizāciju augstākās izglītības institūcijās</w:t>
            </w:r>
          </w:p>
        </w:tc>
        <w:tc>
          <w:tcPr>
            <w:tcW w:w="2268" w:type="dxa"/>
            <w:shd w:val="clear" w:color="auto" w:fill="FFFFFF" w:themeFill="background1"/>
            <w:tcMar>
              <w:top w:w="100" w:type="dxa"/>
              <w:left w:w="100" w:type="dxa"/>
              <w:bottom w:w="100" w:type="dxa"/>
              <w:right w:w="100" w:type="dxa"/>
            </w:tcMar>
          </w:tcPr>
          <w:p w:rsidR="00B8601C" w:rsidRPr="006670E5" w:rsidP="00B8601C" w14:paraId="478E35EF"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Sekmēta teritoriāli koncentrētas studiju un zinātniskā darba infrastruktūras attīstība augstākās izglītības institūciju stratēģiskās specializācijas stiprināšanai</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35B7DD5A"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Modernizēto programmu skaits RIS3 jomās;</w:t>
            </w:r>
          </w:p>
        </w:tc>
        <w:tc>
          <w:tcPr>
            <w:tcW w:w="2694" w:type="dxa"/>
            <w:shd w:val="clear" w:color="auto" w:fill="FFFFFF" w:themeFill="background1"/>
          </w:tcPr>
          <w:p w:rsidR="00B8601C" w:rsidRPr="006670E5" w:rsidP="00B8601C" w14:paraId="69B3A321"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 pakalpojumu sniegšanas veiktspēja (personu skaits) (2023): augstskolās - 2069 , koledžās - 1023</w:t>
            </w:r>
          </w:p>
        </w:tc>
        <w:tc>
          <w:tcPr>
            <w:tcW w:w="1701" w:type="dxa"/>
            <w:shd w:val="clear" w:color="auto" w:fill="FFFFFF" w:themeFill="background1"/>
          </w:tcPr>
          <w:p w:rsidR="00B8601C" w:rsidRPr="006670E5" w:rsidP="00B8601C" w14:paraId="2B86163C" w14:textId="77777777">
            <w:pPr>
              <w:spacing w:after="0" w:line="240" w:lineRule="auto"/>
              <w:rPr>
                <w:rFonts w:ascii="Candara" w:eastAsia="Candara" w:hAnsi="Candara" w:cs="Candara"/>
                <w:sz w:val="16"/>
                <w:szCs w:val="16"/>
              </w:rPr>
            </w:pPr>
            <w:r>
              <w:rPr>
                <w:rFonts w:ascii="Candara" w:eastAsia="Candara" w:hAnsi="Candara" w:cs="Candara"/>
                <w:sz w:val="16"/>
                <w:szCs w:val="16"/>
              </w:rPr>
              <w:t>8.1.1. specifiskā atbalsta mērķis “</w:t>
            </w:r>
            <w:r w:rsidRPr="00214E4F">
              <w:rPr>
                <w:rFonts w:ascii="Candara" w:eastAsia="Candara" w:hAnsi="Candara" w:cs="Candara"/>
                <w:sz w:val="16"/>
                <w:szCs w:val="16"/>
              </w:rPr>
              <w:t>Palielināt modernizēto STEM, tajā skaitā medicīnas un radošās industrijas, studiju programmu skaitu</w:t>
            </w:r>
            <w:r>
              <w:rPr>
                <w:rFonts w:ascii="Candara" w:eastAsia="Candara" w:hAnsi="Candara" w:cs="Candara"/>
                <w:sz w:val="16"/>
                <w:szCs w:val="16"/>
              </w:rPr>
              <w:t>”, 44,64 MEUR</w:t>
            </w:r>
          </w:p>
        </w:tc>
        <w:tc>
          <w:tcPr>
            <w:tcW w:w="1417" w:type="dxa"/>
            <w:shd w:val="clear" w:color="auto" w:fill="FFFFFF" w:themeFill="background1"/>
          </w:tcPr>
          <w:p w:rsidR="00B8601C" w:rsidRPr="006670E5" w:rsidP="00B8601C" w14:paraId="520FCF31"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IZM</w:t>
            </w:r>
          </w:p>
        </w:tc>
        <w:tc>
          <w:tcPr>
            <w:tcW w:w="1276" w:type="dxa"/>
            <w:shd w:val="clear" w:color="auto" w:fill="FFFFFF" w:themeFill="background1"/>
          </w:tcPr>
          <w:p w:rsidR="00B8601C" w:rsidRPr="006670E5" w:rsidP="00B8601C" w14:paraId="438C6B02" w14:textId="77777777">
            <w:pPr>
              <w:spacing w:after="0" w:line="240" w:lineRule="auto"/>
              <w:rPr>
                <w:rFonts w:ascii="Candara" w:eastAsia="Candara" w:hAnsi="Candara" w:cs="Candara"/>
                <w:sz w:val="16"/>
                <w:szCs w:val="16"/>
              </w:rPr>
            </w:pPr>
            <w:r>
              <w:rPr>
                <w:rFonts w:ascii="Candara" w:eastAsia="Candara" w:hAnsi="Candara" w:cs="Candara"/>
                <w:sz w:val="16"/>
                <w:szCs w:val="16"/>
              </w:rPr>
              <w:t>2022</w:t>
            </w:r>
          </w:p>
        </w:tc>
      </w:tr>
      <w:tr w14:paraId="11F6DB10" w14:textId="77777777" w:rsidTr="00E86C1A">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6D19CE58" w14:textId="77777777">
            <w:pPr>
              <w:spacing w:after="0" w:line="240" w:lineRule="auto"/>
              <w:ind w:left="288" w:hanging="288"/>
              <w:rPr>
                <w:rFonts w:ascii="Candara" w:eastAsia="Candara" w:hAnsi="Candara" w:cs="Candara"/>
                <w:b/>
                <w:sz w:val="16"/>
                <w:szCs w:val="16"/>
              </w:rPr>
            </w:pPr>
            <w:r w:rsidRPr="006670E5">
              <w:rPr>
                <w:rFonts w:ascii="Candara" w:eastAsia="Candara" w:hAnsi="Candara" w:cs="Candara"/>
                <w:sz w:val="16"/>
                <w:szCs w:val="16"/>
              </w:rPr>
              <w:t xml:space="preserve">6.9. Uzsākt ieguldījumu īstenošanu studiju programmu attīstīšanai (samazinot to kopskaitu)  studiju programmās ES valodās, kas nav latviešu valoda un </w:t>
            </w:r>
            <w:r w:rsidRPr="006670E5">
              <w:rPr>
                <w:rFonts w:ascii="Candara" w:eastAsia="Candara" w:hAnsi="Candara" w:cs="Candara"/>
                <w:sz w:val="16"/>
                <w:szCs w:val="16"/>
              </w:rPr>
              <w:t>kopīgajās doktorantūras studiju programmās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120DF431"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Samazināta studiju programmu fragmentācija un stiprināta resursu koplietošana</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3C5DB6C5"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 xml:space="preserve">Kvalitatīvi jaunu studiju programmu skaits, kas vērstas uz RIS3 mērķus sasniegšanu, prioritāšu īstenošanu, vai veido cilvēkkapitālu RIS3 jomās. </w:t>
            </w:r>
          </w:p>
        </w:tc>
        <w:tc>
          <w:tcPr>
            <w:tcW w:w="2694" w:type="dxa"/>
            <w:shd w:val="clear" w:color="auto" w:fill="auto"/>
          </w:tcPr>
          <w:p w:rsidR="00B8601C" w:rsidRPr="00E86C1A" w:rsidP="00B8601C" w14:paraId="72397B88" w14:textId="77777777">
            <w:pPr>
              <w:spacing w:after="0" w:line="240" w:lineRule="auto"/>
              <w:rPr>
                <w:rFonts w:ascii="Candara" w:eastAsia="Candara" w:hAnsi="Candara" w:cs="Candara"/>
                <w:sz w:val="16"/>
                <w:szCs w:val="16"/>
              </w:rPr>
            </w:pPr>
            <w:r w:rsidRPr="00E86C1A">
              <w:rPr>
                <w:rFonts w:ascii="Candara" w:eastAsia="Candara" w:hAnsi="Candara" w:cs="Candara"/>
                <w:sz w:val="16"/>
                <w:szCs w:val="16"/>
              </w:rPr>
              <w:t>- slēgto studiju programmu skaits (2023) - 220;</w:t>
            </w:r>
          </w:p>
          <w:p w:rsidR="00B8601C" w:rsidRPr="00E86C1A" w:rsidP="00B8601C" w14:paraId="2244F3B0" w14:textId="6D031C05">
            <w:pPr>
              <w:spacing w:after="0" w:line="240" w:lineRule="auto"/>
              <w:rPr>
                <w:rFonts w:ascii="Candara" w:eastAsia="Candara" w:hAnsi="Candara" w:cs="Candara"/>
                <w:sz w:val="16"/>
                <w:szCs w:val="16"/>
              </w:rPr>
            </w:pPr>
            <w:r w:rsidRPr="00E86C1A">
              <w:rPr>
                <w:rFonts w:ascii="Candara" w:eastAsia="Candara" w:hAnsi="Candara" w:cs="Candara"/>
                <w:sz w:val="16"/>
                <w:szCs w:val="16"/>
              </w:rPr>
              <w:t xml:space="preserve">- kopīgo doktora studiju programmu skaits (2023) - </w:t>
            </w:r>
            <w:r w:rsidR="000D32D6">
              <w:rPr>
                <w:rFonts w:ascii="Candara" w:eastAsia="Candara" w:hAnsi="Candara" w:cs="Candara"/>
                <w:sz w:val="16"/>
                <w:szCs w:val="16"/>
              </w:rPr>
              <w:t>11</w:t>
            </w:r>
          </w:p>
          <w:p w:rsidR="00B8601C" w:rsidP="000D32D6" w14:paraId="54E333BF" w14:textId="414D261E">
            <w:pPr>
              <w:spacing w:after="0" w:line="240" w:lineRule="auto"/>
              <w:rPr>
                <w:rFonts w:ascii="Candara" w:eastAsia="Candara" w:hAnsi="Candara" w:cs="Candara"/>
                <w:sz w:val="16"/>
                <w:szCs w:val="16"/>
              </w:rPr>
            </w:pPr>
            <w:r w:rsidRPr="00E86C1A">
              <w:rPr>
                <w:rFonts w:ascii="Candara" w:eastAsia="Candara" w:hAnsi="Candara" w:cs="Candara"/>
                <w:sz w:val="16"/>
                <w:szCs w:val="16"/>
              </w:rPr>
              <w:t xml:space="preserve">- jaunizveidoto studiju programmu ES valodās, kas nav latviešu valoda, skaits (2023) </w:t>
            </w:r>
            <w:r w:rsidR="000D32D6">
              <w:rPr>
                <w:rFonts w:ascii="Candara" w:eastAsia="Candara" w:hAnsi="Candara" w:cs="Candara"/>
                <w:sz w:val="16"/>
                <w:szCs w:val="16"/>
              </w:rPr>
              <w:t>–</w:t>
            </w:r>
            <w:r w:rsidRPr="00E86C1A">
              <w:rPr>
                <w:rFonts w:ascii="Candara" w:eastAsia="Candara" w:hAnsi="Candara" w:cs="Candara"/>
                <w:sz w:val="16"/>
                <w:szCs w:val="16"/>
              </w:rPr>
              <w:t xml:space="preserve"> </w:t>
            </w:r>
            <w:r w:rsidR="000D32D6">
              <w:rPr>
                <w:rFonts w:ascii="Candara" w:eastAsia="Candara" w:hAnsi="Candara" w:cs="Candara"/>
                <w:sz w:val="16"/>
                <w:szCs w:val="16"/>
              </w:rPr>
              <w:t>62</w:t>
            </w:r>
          </w:p>
          <w:p w:rsidR="000D32D6" w:rsidRPr="00E86C1A" w:rsidP="000D32D6" w14:paraId="4A457457" w14:textId="2E6CFBE6">
            <w:pPr>
              <w:spacing w:after="0" w:line="240" w:lineRule="auto"/>
              <w:rPr>
                <w:rFonts w:ascii="Candara" w:eastAsia="Candara" w:hAnsi="Candara" w:cs="Candara"/>
                <w:sz w:val="16"/>
                <w:szCs w:val="16"/>
              </w:rPr>
            </w:pPr>
            <w:r>
              <w:rPr>
                <w:rFonts w:ascii="Candara" w:eastAsia="Candara" w:hAnsi="Candara" w:cs="Candara"/>
                <w:sz w:val="16"/>
                <w:szCs w:val="16"/>
              </w:rPr>
              <w:t>- jauno pedagoģijas studiju programmu skaits (2023) - 22</w:t>
            </w:r>
          </w:p>
        </w:tc>
        <w:tc>
          <w:tcPr>
            <w:tcW w:w="1701" w:type="dxa"/>
            <w:shd w:val="clear" w:color="auto" w:fill="FFFFFF" w:themeFill="background1"/>
          </w:tcPr>
          <w:p w:rsidR="00B8601C" w:rsidRPr="006670E5" w:rsidP="00B8601C" w14:paraId="658CF96E" w14:textId="77777777">
            <w:pPr>
              <w:spacing w:after="0" w:line="240" w:lineRule="auto"/>
              <w:rPr>
                <w:rFonts w:ascii="Candara" w:eastAsia="Candara" w:hAnsi="Candara" w:cs="Candara"/>
                <w:sz w:val="16"/>
                <w:szCs w:val="16"/>
              </w:rPr>
            </w:pPr>
            <w:r>
              <w:rPr>
                <w:rFonts w:ascii="Candara" w:eastAsia="Candara" w:hAnsi="Candara" w:cs="Candara"/>
                <w:sz w:val="16"/>
                <w:szCs w:val="16"/>
              </w:rPr>
              <w:t>8.2.1. specifiskā atbalsta mērķis “</w:t>
            </w:r>
            <w:r w:rsidRPr="00214E4F">
              <w:rPr>
                <w:rFonts w:ascii="Candara" w:eastAsia="Candara" w:hAnsi="Candara" w:cs="Candara"/>
                <w:sz w:val="16"/>
                <w:szCs w:val="16"/>
              </w:rPr>
              <w:t>Samazināt studiju programmu fragmentāciju un stiprināt resursu koplietošanu</w:t>
            </w:r>
            <w:r>
              <w:rPr>
                <w:rFonts w:ascii="Candara" w:eastAsia="Candara" w:hAnsi="Candara" w:cs="Candara"/>
                <w:sz w:val="16"/>
                <w:szCs w:val="16"/>
              </w:rPr>
              <w:t>”, 10,82 MEUR</w:t>
            </w:r>
          </w:p>
        </w:tc>
        <w:tc>
          <w:tcPr>
            <w:tcW w:w="1417" w:type="dxa"/>
            <w:shd w:val="clear" w:color="auto" w:fill="FFFFFF" w:themeFill="background1"/>
          </w:tcPr>
          <w:p w:rsidR="00B8601C" w:rsidRPr="006670E5" w:rsidP="00B8601C" w14:paraId="6C49EA44"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IZM</w:t>
            </w:r>
          </w:p>
        </w:tc>
        <w:tc>
          <w:tcPr>
            <w:tcW w:w="1276" w:type="dxa"/>
            <w:shd w:val="clear" w:color="auto" w:fill="FFFFFF" w:themeFill="background1"/>
          </w:tcPr>
          <w:p w:rsidR="00B8601C" w:rsidRPr="006670E5" w:rsidP="002F4A31" w14:paraId="6AAD35D3" w14:textId="47BC2191">
            <w:pPr>
              <w:spacing w:after="0" w:line="240" w:lineRule="auto"/>
              <w:rPr>
                <w:rFonts w:ascii="Candara" w:eastAsia="Candara" w:hAnsi="Candara" w:cs="Candara"/>
                <w:sz w:val="16"/>
                <w:szCs w:val="16"/>
              </w:rPr>
            </w:pPr>
            <w:r>
              <w:rPr>
                <w:rFonts w:ascii="Candara" w:eastAsia="Candara" w:hAnsi="Candara" w:cs="Candara"/>
                <w:sz w:val="16"/>
                <w:szCs w:val="16"/>
              </w:rPr>
              <w:t xml:space="preserve">2023 </w:t>
            </w:r>
          </w:p>
        </w:tc>
      </w:tr>
      <w:tr w14:paraId="384D1421" w14:textId="77777777" w:rsidTr="00E86C1A">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463EAE82" w14:textId="2B451C1A">
            <w:pPr>
              <w:spacing w:after="0" w:line="240" w:lineRule="auto"/>
              <w:ind w:left="288" w:hanging="288"/>
              <w:rPr>
                <w:rFonts w:ascii="Candara" w:eastAsia="Candara" w:hAnsi="Candara" w:cs="Candara"/>
                <w:b/>
                <w:sz w:val="16"/>
                <w:szCs w:val="16"/>
              </w:rPr>
            </w:pPr>
            <w:r w:rsidRPr="006670E5">
              <w:rPr>
                <w:rFonts w:ascii="Candara" w:eastAsia="Candara" w:hAnsi="Candara" w:cs="Candara"/>
                <w:sz w:val="16"/>
                <w:szCs w:val="16"/>
              </w:rPr>
              <w:t>6.10. Uzsākt investīcijas akadēmiskā personāla attīstībai (t.sk. piesaistot ārvalstu pasniedzējus darbam Latvijas AII un atbalstam akadēmiskā personāla kompetenču un prasmju pilnveidei)</w:t>
            </w:r>
          </w:p>
        </w:tc>
        <w:tc>
          <w:tcPr>
            <w:tcW w:w="2268" w:type="dxa"/>
            <w:shd w:val="clear" w:color="auto" w:fill="FFFFFF" w:themeFill="background1"/>
            <w:tcMar>
              <w:top w:w="100" w:type="dxa"/>
              <w:left w:w="100" w:type="dxa"/>
              <w:bottom w:w="100" w:type="dxa"/>
              <w:right w:w="100" w:type="dxa"/>
            </w:tcMar>
          </w:tcPr>
          <w:p w:rsidR="00B8601C" w:rsidRPr="006670E5" w:rsidP="00B8601C" w14:paraId="6DB985D1"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Stiprināts augstākās izglītības institūcijās strādājošais  akadēmiskais personāls stratēģiskās specializācijas jomās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014FA5E8"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 xml:space="preserve">Augstskolu akadēmiskā personāla attīstības programmu skaits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B8601C" w:rsidRPr="00E86C1A" w:rsidP="00B8601C" w14:paraId="679C55DF" w14:textId="77777777">
            <w:pPr>
              <w:spacing w:after="0" w:line="240" w:lineRule="auto"/>
              <w:rPr>
                <w:rFonts w:ascii="Candara" w:eastAsia="Candara" w:hAnsi="Candara" w:cs="Candara"/>
                <w:sz w:val="16"/>
                <w:szCs w:val="16"/>
              </w:rPr>
            </w:pPr>
            <w:r w:rsidRPr="00E86C1A">
              <w:rPr>
                <w:rFonts w:ascii="Candara" w:eastAsia="Candara" w:hAnsi="Candara" w:cs="Candara"/>
                <w:sz w:val="16"/>
                <w:szCs w:val="16"/>
              </w:rPr>
              <w:t>-ārvalstu pasniedzēju skaits, kas saņēmuši atbalstu darbam Latvijas AII (2023) - 300</w:t>
            </w:r>
          </w:p>
          <w:p w:rsidR="00B8601C" w:rsidRPr="00E86C1A" w:rsidP="00B8601C" w14:paraId="73974CBD" w14:textId="77777777">
            <w:pPr>
              <w:spacing w:after="0" w:line="240" w:lineRule="auto"/>
              <w:rPr>
                <w:rFonts w:ascii="Candara" w:eastAsia="Candara" w:hAnsi="Candara" w:cs="Candara"/>
                <w:sz w:val="16"/>
                <w:szCs w:val="16"/>
              </w:rPr>
            </w:pPr>
            <w:r w:rsidRPr="00E86C1A">
              <w:rPr>
                <w:rFonts w:ascii="Candara" w:eastAsia="Candara" w:hAnsi="Candara" w:cs="Candara"/>
                <w:sz w:val="16"/>
                <w:szCs w:val="16"/>
              </w:rPr>
              <w:t>-doktorantu skaits, kas saņēmuši atbalstu darbam AII (2023) - 420</w:t>
            </w:r>
          </w:p>
          <w:p w:rsidR="00B8601C" w:rsidRPr="00E86C1A" w:rsidP="00B8601C" w14:paraId="0E67D637" w14:textId="77777777">
            <w:pPr>
              <w:spacing w:after="0" w:line="240" w:lineRule="auto"/>
              <w:rPr>
                <w:rFonts w:ascii="Candara" w:eastAsia="Candara" w:hAnsi="Candara" w:cs="Candara"/>
                <w:sz w:val="16"/>
                <w:szCs w:val="16"/>
              </w:rPr>
            </w:pPr>
            <w:r w:rsidRPr="00E86C1A">
              <w:rPr>
                <w:rFonts w:ascii="Candara" w:eastAsia="Candara" w:hAnsi="Candara" w:cs="Candara"/>
                <w:sz w:val="16"/>
                <w:szCs w:val="16"/>
              </w:rPr>
              <w:t>- akadēmiskā personāla skaits, kas saņēmuši atbalstu profesionālās kompetences pilnveidei (2023) - 1140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4091B0A8" w14:textId="77777777">
            <w:pPr>
              <w:spacing w:after="0" w:line="240" w:lineRule="auto"/>
              <w:rPr>
                <w:rFonts w:ascii="Candara" w:eastAsia="Candara" w:hAnsi="Candara" w:cs="Candara"/>
                <w:sz w:val="16"/>
                <w:szCs w:val="16"/>
              </w:rPr>
            </w:pPr>
            <w:r>
              <w:rPr>
                <w:rFonts w:ascii="Candara" w:eastAsia="Candara" w:hAnsi="Candara" w:cs="Candara"/>
                <w:sz w:val="16"/>
                <w:szCs w:val="16"/>
              </w:rPr>
              <w:t>8.2.2. specifiskā atbalsta mērķis "</w:t>
            </w:r>
            <w:r w:rsidRPr="00214E4F">
              <w:rPr>
                <w:rFonts w:ascii="Candara" w:eastAsia="Candara" w:hAnsi="Candara" w:cs="Candara"/>
                <w:sz w:val="16"/>
                <w:szCs w:val="16"/>
              </w:rPr>
              <w:t>Stiprināt augstākās izglītības institūciju akadēmisko personālu stratēģiskās specializācijas jomās</w:t>
            </w:r>
            <w:r>
              <w:rPr>
                <w:rFonts w:ascii="Candara" w:eastAsia="Candara" w:hAnsi="Candara" w:cs="Candara"/>
                <w:sz w:val="16"/>
                <w:szCs w:val="16"/>
              </w:rPr>
              <w:t>", 34,34 MEUR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3032EB1C"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IZM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2F4A31" w14:paraId="2C724EFD" w14:textId="7030F5CF">
            <w:pPr>
              <w:spacing w:after="0" w:line="240" w:lineRule="auto"/>
              <w:rPr>
                <w:rFonts w:ascii="Candara" w:eastAsia="Candara" w:hAnsi="Candara" w:cs="Candara"/>
                <w:sz w:val="16"/>
                <w:szCs w:val="16"/>
              </w:rPr>
            </w:pPr>
            <w:r>
              <w:rPr>
                <w:rFonts w:ascii="Candara" w:eastAsia="Candara" w:hAnsi="Candara" w:cs="Candara"/>
                <w:sz w:val="16"/>
                <w:szCs w:val="16"/>
              </w:rPr>
              <w:t xml:space="preserve">2023 </w:t>
            </w:r>
          </w:p>
        </w:tc>
      </w:tr>
      <w:tr w14:paraId="31BC60E7" w14:textId="77777777" w:rsidTr="00E86C1A">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000A1620" w14:textId="77777777">
            <w:pPr>
              <w:spacing w:after="0" w:line="240" w:lineRule="auto"/>
              <w:ind w:left="288" w:hanging="288"/>
              <w:rPr>
                <w:rFonts w:ascii="Candara" w:eastAsia="Candara" w:hAnsi="Candara" w:cs="Candara"/>
                <w:b/>
                <w:sz w:val="16"/>
                <w:szCs w:val="16"/>
              </w:rPr>
            </w:pPr>
            <w:r w:rsidRPr="006670E5">
              <w:rPr>
                <w:rFonts w:ascii="Candara" w:eastAsia="Candara" w:hAnsi="Candara" w:cs="Candara"/>
                <w:sz w:val="16"/>
                <w:szCs w:val="16"/>
              </w:rPr>
              <w:t>6.11. Uzsākt investīcijas augstākās izglītības institūciju pārvaldības stiprināšanā</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1DFF7ED4"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Nodrošināta labāka pārvaldība un veiktspēja augstākās izglītības institūcijās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6DB13D24"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Augstskolās izveidoti un nostiprināti procesi, kas nodrošina augstskolām noteikto RIS3 uzdevumu (zināšanas, cilvēkkapitāls, uzņēmumu inovāciju spēja un resursu centri)  izpildi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B8601C" w:rsidRPr="00E86C1A" w:rsidP="00B8601C" w14:paraId="43838969" w14:textId="77777777">
            <w:pPr>
              <w:spacing w:after="0" w:line="240" w:lineRule="auto"/>
              <w:rPr>
                <w:rFonts w:ascii="Candara" w:eastAsia="Candara" w:hAnsi="Candara" w:cs="Candara"/>
                <w:sz w:val="16"/>
                <w:szCs w:val="16"/>
              </w:rPr>
            </w:pPr>
            <w:r w:rsidRPr="00E86C1A">
              <w:rPr>
                <w:rFonts w:ascii="Candara" w:eastAsia="Candara" w:hAnsi="Candara" w:cs="Candara"/>
                <w:sz w:val="16"/>
                <w:szCs w:val="16"/>
              </w:rPr>
              <w:t>-augstākās izglītības institūcijas, kas ieviesušas attīstības stratēģijas un rezultātu pārvaldību (skaits) (2023) - 20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283B5A63" w14:textId="77777777">
            <w:pPr>
              <w:spacing w:after="0" w:line="240" w:lineRule="auto"/>
              <w:rPr>
                <w:rFonts w:ascii="Candara" w:eastAsia="Candara" w:hAnsi="Candara" w:cs="Candara"/>
                <w:sz w:val="16"/>
                <w:szCs w:val="16"/>
              </w:rPr>
            </w:pPr>
            <w:r>
              <w:rPr>
                <w:rFonts w:ascii="Candara" w:eastAsia="Candara" w:hAnsi="Candara" w:cs="Candara"/>
                <w:sz w:val="16"/>
                <w:szCs w:val="16"/>
              </w:rPr>
              <w:t>8.2.3. specifiskā atbalsta mērķis “</w:t>
            </w:r>
            <w:r w:rsidRPr="00C82C87">
              <w:rPr>
                <w:rFonts w:ascii="Candara" w:eastAsia="Candara" w:hAnsi="Candara" w:cs="Candara"/>
                <w:sz w:val="16"/>
                <w:szCs w:val="16"/>
              </w:rPr>
              <w:t>Nodrošināt labāku pārvaldību augstākās izglītības institūcijās</w:t>
            </w:r>
            <w:r>
              <w:rPr>
                <w:rFonts w:ascii="Candara" w:eastAsia="Candara" w:hAnsi="Candara" w:cs="Candara"/>
                <w:sz w:val="16"/>
                <w:szCs w:val="16"/>
              </w:rPr>
              <w:t>”, 20 MEUR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08074842"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IZM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2F4A31" w14:paraId="1A6BB99C" w14:textId="094BED9E">
            <w:pPr>
              <w:spacing w:after="0" w:line="240" w:lineRule="auto"/>
              <w:rPr>
                <w:rFonts w:ascii="Candara" w:eastAsia="Candara" w:hAnsi="Candara" w:cs="Candara"/>
                <w:sz w:val="16"/>
                <w:szCs w:val="16"/>
              </w:rPr>
            </w:pPr>
            <w:r>
              <w:rPr>
                <w:rFonts w:ascii="Candara" w:eastAsia="Candara" w:hAnsi="Candara" w:cs="Candara"/>
                <w:sz w:val="16"/>
                <w:szCs w:val="16"/>
              </w:rPr>
              <w:t xml:space="preserve">2023 </w:t>
            </w:r>
          </w:p>
        </w:tc>
      </w:tr>
      <w:tr w14:paraId="2BBC0C53" w14:textId="77777777" w:rsidTr="00E86C1A">
        <w:tblPrEx>
          <w:tblW w:w="14569" w:type="dxa"/>
          <w:tblInd w:w="-115" w:type="dxa"/>
          <w:tblLayout w:type="fixed"/>
          <w:tblLook w:val="0400"/>
        </w:tblPrEx>
        <w:trPr>
          <w:trHeight w:val="1404"/>
        </w:trPr>
        <w:tc>
          <w:tcPr>
            <w:tcW w:w="19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22DE3F7B" w14:textId="77777777">
            <w:pPr>
              <w:spacing w:after="0" w:line="240" w:lineRule="auto"/>
              <w:ind w:left="288" w:hanging="288"/>
              <w:rPr>
                <w:rFonts w:ascii="Candara" w:eastAsia="Candara" w:hAnsi="Candara" w:cs="Candara"/>
                <w:sz w:val="16"/>
                <w:szCs w:val="16"/>
              </w:rPr>
            </w:pPr>
            <w:r w:rsidRPr="006670E5">
              <w:rPr>
                <w:rFonts w:ascii="Candara" w:eastAsia="Candara" w:hAnsi="Candara" w:cs="Candara"/>
                <w:sz w:val="16"/>
                <w:szCs w:val="16"/>
              </w:rPr>
              <w:t xml:space="preserve">6.12. Turpināt AI ārējās kvalitātes nodrošināšanas sistēmas izveidi (EQAR aģentūra)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4336290D" w14:textId="77777777">
            <w:pPr>
              <w:spacing w:after="0" w:line="240" w:lineRule="auto"/>
              <w:rPr>
                <w:rFonts w:ascii="Candara" w:eastAsia="Candara" w:hAnsi="Candara" w:cs="Candara"/>
                <w:sz w:val="16"/>
                <w:szCs w:val="16"/>
              </w:rPr>
            </w:pPr>
            <w:r w:rsidRPr="006670E5">
              <w:rPr>
                <w:rFonts w:ascii="Candara" w:hAnsi="Candara"/>
                <w:sz w:val="16"/>
                <w:szCs w:val="16"/>
              </w:rPr>
              <w:t>Akreditācijas aģentūras darbības kvalitātes paaugstināšana un kapacitātes stiprināšana, lai nodrošinātu tās atbilstību starptau</w:t>
            </w:r>
            <w:r w:rsidRPr="006670E5">
              <w:rPr>
                <w:rFonts w:ascii="Candara" w:hAnsi="Candara"/>
                <w:sz w:val="16"/>
                <w:szCs w:val="16"/>
              </w:rPr>
              <w:softHyphen/>
              <w:t>tiskajiem standartiem un spēju kvali</w:t>
            </w:r>
            <w:r w:rsidRPr="006670E5">
              <w:rPr>
                <w:rFonts w:ascii="Candara" w:hAnsi="Candara"/>
                <w:sz w:val="16"/>
                <w:szCs w:val="16"/>
              </w:rPr>
              <w:softHyphen/>
              <w:t>tatīvi veikt akreditāciju un licencēšanu</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0FD1A99F"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Izvērtēto AI programmu skaits;</w:t>
            </w:r>
          </w:p>
          <w:p w:rsidR="00B8601C" w:rsidRPr="006670E5" w:rsidP="00B8601C" w14:paraId="796500B1"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AI kvalitātes uzlabošanai sniegto konsultāciju skaits;</w:t>
            </w:r>
          </w:p>
          <w:p w:rsidR="00B8601C" w:rsidRPr="006670E5" w:rsidP="00B8601C" w14:paraId="32D86E87"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Izveidota un darbojas AI kvalitātes monitoringa sistēma.</w:t>
            </w:r>
          </w:p>
        </w:tc>
        <w:tc>
          <w:tcPr>
            <w:tcW w:w="2694" w:type="dxa"/>
            <w:shd w:val="clear" w:color="auto" w:fill="auto"/>
          </w:tcPr>
          <w:p w:rsidR="00B8601C" w:rsidRPr="00E86C1A" w:rsidP="00B8601C" w14:paraId="3414FDFF" w14:textId="77777777">
            <w:pPr>
              <w:spacing w:after="0" w:line="240" w:lineRule="auto"/>
              <w:rPr>
                <w:rFonts w:ascii="Candara" w:hAnsi="Candara"/>
                <w:sz w:val="16"/>
                <w:szCs w:val="16"/>
              </w:rPr>
            </w:pPr>
            <w:r w:rsidRPr="00E86C1A">
              <w:rPr>
                <w:rFonts w:ascii="Candara" w:hAnsi="Candara"/>
                <w:sz w:val="16"/>
                <w:szCs w:val="16"/>
              </w:rPr>
              <w:t xml:space="preserve">-institūciju skaits, kas atbilst EQAR aģentūrai </w:t>
            </w:r>
            <w:r w:rsidRPr="00E86C1A">
              <w:rPr>
                <w:rFonts w:ascii="Candara" w:hAnsi="Candara"/>
                <w:i/>
                <w:iCs/>
                <w:sz w:val="16"/>
                <w:szCs w:val="16"/>
              </w:rPr>
              <w:t>(European Quality Assurance Register for Higher Education )</w:t>
            </w:r>
            <w:r w:rsidRPr="00E86C1A">
              <w:rPr>
                <w:rFonts w:ascii="Candara" w:hAnsi="Candara"/>
                <w:sz w:val="16"/>
                <w:szCs w:val="16"/>
              </w:rPr>
              <w:t xml:space="preserve"> izvirzītajām prasībām (2023) - 1 </w:t>
            </w:r>
          </w:p>
          <w:p w:rsidR="00B8601C" w:rsidRPr="00E86C1A" w:rsidP="00B8601C" w14:paraId="2460E805" w14:textId="77777777">
            <w:pPr>
              <w:spacing w:after="0" w:line="240" w:lineRule="auto"/>
              <w:rPr>
                <w:rFonts w:ascii="Candara" w:eastAsia="Candara" w:hAnsi="Candara" w:cs="Candara"/>
                <w:sz w:val="16"/>
                <w:szCs w:val="16"/>
              </w:rPr>
            </w:pPr>
            <w:r w:rsidRPr="00E86C1A">
              <w:rPr>
                <w:rFonts w:ascii="Candara" w:hAnsi="Candara"/>
                <w:sz w:val="16"/>
                <w:szCs w:val="16"/>
              </w:rPr>
              <w:t>-AI programmu kvalitātes atbilstība RIS3 mērķiem.</w:t>
            </w:r>
          </w:p>
        </w:tc>
        <w:tc>
          <w:tcPr>
            <w:tcW w:w="1701" w:type="dxa"/>
            <w:shd w:val="clear" w:color="auto" w:fill="FFFFFF" w:themeFill="background1"/>
          </w:tcPr>
          <w:p w:rsidR="00B8601C" w:rsidRPr="006670E5" w:rsidP="00B8601C" w14:paraId="34B1CD20" w14:textId="77777777">
            <w:pPr>
              <w:spacing w:after="0" w:line="240" w:lineRule="auto"/>
              <w:rPr>
                <w:rFonts w:ascii="Candara" w:hAnsi="Candara"/>
                <w:sz w:val="16"/>
                <w:szCs w:val="16"/>
              </w:rPr>
            </w:pPr>
            <w:r>
              <w:rPr>
                <w:rFonts w:ascii="Candara" w:hAnsi="Candara"/>
                <w:sz w:val="16"/>
                <w:szCs w:val="16"/>
              </w:rPr>
              <w:t>8.2.4. specifiskā atbalsta mērķis “</w:t>
            </w:r>
            <w:r w:rsidRPr="00C82C87">
              <w:rPr>
                <w:rFonts w:ascii="Candara" w:hAnsi="Candara"/>
                <w:sz w:val="16"/>
                <w:szCs w:val="16"/>
              </w:rPr>
              <w:t>Nodrošināt atbalstu EQAR aģentūrai izvirzīto prasību izpildei</w:t>
            </w:r>
            <w:r>
              <w:rPr>
                <w:rFonts w:ascii="Candara" w:hAnsi="Candara"/>
                <w:sz w:val="16"/>
                <w:szCs w:val="16"/>
              </w:rPr>
              <w:t>”, 1.5 MEUR</w:t>
            </w:r>
          </w:p>
        </w:tc>
        <w:tc>
          <w:tcPr>
            <w:tcW w:w="1417" w:type="dxa"/>
            <w:shd w:val="clear" w:color="auto" w:fill="FFFFFF" w:themeFill="background1"/>
          </w:tcPr>
          <w:p w:rsidR="00B8601C" w:rsidRPr="006670E5" w:rsidP="00B8601C" w14:paraId="24171F24" w14:textId="77777777">
            <w:pPr>
              <w:spacing w:after="0" w:line="240" w:lineRule="auto"/>
              <w:rPr>
                <w:rFonts w:ascii="Candara" w:hAnsi="Candara"/>
                <w:sz w:val="16"/>
                <w:szCs w:val="16"/>
              </w:rPr>
            </w:pPr>
            <w:r w:rsidRPr="006670E5">
              <w:rPr>
                <w:rFonts w:ascii="Candara" w:hAnsi="Candara"/>
                <w:sz w:val="16"/>
                <w:szCs w:val="16"/>
              </w:rPr>
              <w:t>IZM, AIC</w:t>
            </w:r>
          </w:p>
        </w:tc>
        <w:tc>
          <w:tcPr>
            <w:tcW w:w="1276" w:type="dxa"/>
            <w:shd w:val="clear" w:color="auto" w:fill="FFFFFF" w:themeFill="background1"/>
          </w:tcPr>
          <w:p w:rsidR="00B8601C" w:rsidRPr="006670E5" w:rsidP="00B8601C" w14:paraId="26126BBE" w14:textId="77777777">
            <w:pPr>
              <w:spacing w:after="0" w:line="240" w:lineRule="auto"/>
              <w:rPr>
                <w:rFonts w:ascii="Candara" w:hAnsi="Candara"/>
                <w:sz w:val="16"/>
                <w:szCs w:val="16"/>
              </w:rPr>
            </w:pPr>
            <w:r>
              <w:rPr>
                <w:rFonts w:ascii="Candara" w:hAnsi="Candara"/>
                <w:sz w:val="16"/>
                <w:szCs w:val="16"/>
              </w:rPr>
              <w:t>2023</w:t>
            </w:r>
          </w:p>
        </w:tc>
      </w:tr>
      <w:tr w14:paraId="55870CA5"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68319DBF" w14:textId="77777777">
            <w:pPr>
              <w:spacing w:after="0" w:line="240" w:lineRule="auto"/>
              <w:ind w:left="288" w:hanging="288"/>
              <w:rPr>
                <w:rFonts w:ascii="Candara" w:eastAsia="Candara" w:hAnsi="Candara" w:cs="Candara"/>
                <w:sz w:val="16"/>
                <w:szCs w:val="16"/>
              </w:rPr>
            </w:pPr>
            <w:r w:rsidRPr="006670E5">
              <w:rPr>
                <w:rFonts w:ascii="Candara" w:eastAsia="Candara" w:hAnsi="Candara" w:cs="Candara"/>
                <w:sz w:val="16"/>
                <w:szCs w:val="16"/>
              </w:rPr>
              <w:t>6.13. Turpināt Praktiskas ievirzes pētī</w:t>
            </w:r>
            <w:r w:rsidRPr="006670E5">
              <w:rPr>
                <w:rFonts w:ascii="Candara" w:eastAsia="Candara" w:hAnsi="Candara" w:cs="Candara"/>
                <w:sz w:val="16"/>
                <w:szCs w:val="16"/>
              </w:rPr>
              <w:softHyphen/>
              <w:t>jumu un Pēcdoktorantūras atbalsta īstenošanu (īstenojot 1. atlases kārtas ietvaros atbalstītos projektus un izsludinot nākamās projektu pieteikumu atlases kārtas)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527DA12C"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Sekmēts zinātnisko darbinieku skaita pētniecībā un attīstībā pieaugums (publiskajā un privātajā sektorā)</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8601C" w:rsidRPr="006670E5" w:rsidP="00B8601C" w14:paraId="389CE755"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 finansēto jauno zinātnieku skaits pēcdoktorantūras pētījumu īstenošanai</w:t>
            </w:r>
          </w:p>
          <w:p w:rsidR="00B8601C" w:rsidRPr="006670E5" w:rsidP="00B8601C" w14:paraId="76637341"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 jaunradītās darba vietas, t.sk. tās, kurās nodarbināti zinātniskie darbinieki publiskajā sektorā</w:t>
            </w:r>
          </w:p>
        </w:tc>
        <w:tc>
          <w:tcPr>
            <w:tcW w:w="2694" w:type="dxa"/>
            <w:shd w:val="clear" w:color="auto" w:fill="FFFFFF" w:themeFill="background1"/>
          </w:tcPr>
          <w:p w:rsidR="00B8601C" w:rsidRPr="006670E5" w:rsidP="00B8601C" w14:paraId="60497A79"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 jaunu pētnieku skaits atbalstītajās vienībās (PLE) (2023) - 700</w:t>
            </w:r>
            <w:r>
              <w:rPr>
                <w:rStyle w:val="FootnoteReference"/>
                <w:rFonts w:ascii="Candara" w:eastAsia="Candara" w:hAnsi="Candara" w:cs="Candara"/>
                <w:sz w:val="16"/>
                <w:szCs w:val="16"/>
              </w:rPr>
              <w:footnoteReference w:id="45"/>
            </w:r>
          </w:p>
          <w:p w:rsidR="00B8601C" w:rsidRPr="006670E5" w:rsidP="00B8601C" w14:paraId="7DEC6984" w14:textId="77777777">
            <w:pPr>
              <w:spacing w:after="0" w:line="240" w:lineRule="auto"/>
              <w:rPr>
                <w:rFonts w:ascii="Candara" w:eastAsia="Candara" w:hAnsi="Candara" w:cs="Candara"/>
                <w:sz w:val="16"/>
                <w:szCs w:val="16"/>
              </w:rPr>
            </w:pPr>
          </w:p>
        </w:tc>
        <w:tc>
          <w:tcPr>
            <w:tcW w:w="1701" w:type="dxa"/>
            <w:shd w:val="clear" w:color="auto" w:fill="FFFFFF" w:themeFill="background1"/>
          </w:tcPr>
          <w:p w:rsidR="00B8601C" w:rsidRPr="006670E5" w:rsidP="00B8601C" w14:paraId="7198ECEE" w14:textId="77777777">
            <w:pPr>
              <w:spacing w:after="0" w:line="240" w:lineRule="auto"/>
              <w:rPr>
                <w:rFonts w:ascii="Candara" w:eastAsia="Candara" w:hAnsi="Candara" w:cs="Candara"/>
                <w:sz w:val="16"/>
                <w:szCs w:val="16"/>
              </w:rPr>
            </w:pPr>
            <w:r>
              <w:rPr>
                <w:rFonts w:ascii="Candara" w:eastAsia="Candara" w:hAnsi="Candara" w:cs="Candara"/>
                <w:sz w:val="16"/>
                <w:szCs w:val="16"/>
              </w:rPr>
              <w:t>1.1.1.1 pasākums “Praktiskas ievirzes pētījumi”,  86,14 MEUR* un 1.1.1.2. pasākums “Pēcdoktorantūras pētniecības atbalsts”, 64,03 MEUR*</w:t>
            </w:r>
          </w:p>
        </w:tc>
        <w:tc>
          <w:tcPr>
            <w:tcW w:w="1417" w:type="dxa"/>
            <w:shd w:val="clear" w:color="auto" w:fill="FFFFFF" w:themeFill="background1"/>
          </w:tcPr>
          <w:p w:rsidR="00B8601C" w:rsidRPr="006670E5" w:rsidP="00B8601C" w14:paraId="12C64998" w14:textId="77777777">
            <w:pPr>
              <w:spacing w:after="0" w:line="240" w:lineRule="auto"/>
              <w:rPr>
                <w:rFonts w:ascii="Candara" w:eastAsia="Candara" w:hAnsi="Candara" w:cs="Candara"/>
                <w:sz w:val="16"/>
                <w:szCs w:val="16"/>
              </w:rPr>
            </w:pPr>
            <w:r w:rsidRPr="006670E5">
              <w:rPr>
                <w:rFonts w:ascii="Candara" w:eastAsia="Candara" w:hAnsi="Candara" w:cs="Candara"/>
                <w:sz w:val="16"/>
                <w:szCs w:val="16"/>
              </w:rPr>
              <w:t>IZM</w:t>
            </w:r>
          </w:p>
        </w:tc>
        <w:tc>
          <w:tcPr>
            <w:tcW w:w="1276" w:type="dxa"/>
            <w:shd w:val="clear" w:color="auto" w:fill="FFFFFF" w:themeFill="background1"/>
          </w:tcPr>
          <w:p w:rsidR="00B8601C" w:rsidRPr="006670E5" w:rsidP="00B8601C" w14:paraId="5C020BAE" w14:textId="77777777">
            <w:pPr>
              <w:spacing w:after="0" w:line="240" w:lineRule="auto"/>
              <w:rPr>
                <w:rFonts w:ascii="Candara" w:eastAsia="Candara" w:hAnsi="Candara" w:cs="Candara"/>
                <w:sz w:val="16"/>
                <w:szCs w:val="16"/>
              </w:rPr>
            </w:pPr>
            <w:r>
              <w:rPr>
                <w:rFonts w:ascii="Candara" w:eastAsia="Candara" w:hAnsi="Candara" w:cs="Candara"/>
                <w:sz w:val="16"/>
                <w:szCs w:val="16"/>
              </w:rPr>
              <w:t>2023</w:t>
            </w:r>
          </w:p>
        </w:tc>
      </w:tr>
      <w:tr w14:paraId="186FAAA9" w14:textId="77777777" w:rsidTr="00D13CD1">
        <w:tblPrEx>
          <w:tblW w:w="14569" w:type="dxa"/>
          <w:tblInd w:w="-115" w:type="dxa"/>
          <w:tblLayout w:type="fixed"/>
          <w:tblLook w:val="0400"/>
        </w:tblPrEx>
        <w:tc>
          <w:tcPr>
            <w:tcW w:w="19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2369F" w:rsidRPr="006670E5" w:rsidP="0012369F" w14:paraId="38FCE823" w14:textId="77777777">
            <w:pPr>
              <w:spacing w:after="0" w:line="240" w:lineRule="auto"/>
              <w:ind w:left="288" w:hanging="288"/>
              <w:rPr>
                <w:rFonts w:ascii="Candara" w:eastAsia="Candara" w:hAnsi="Candara" w:cs="Candara"/>
                <w:sz w:val="16"/>
                <w:szCs w:val="16"/>
              </w:rPr>
            </w:pPr>
            <w:r w:rsidRPr="006670E5">
              <w:rPr>
                <w:rFonts w:ascii="Candara" w:hAnsi="Candara"/>
                <w:color w:val="000000"/>
                <w:sz w:val="16"/>
                <w:szCs w:val="16"/>
                <w:lang w:eastAsia="lv-LV"/>
              </w:rPr>
              <w:t xml:space="preserve">6.14. Izstrādāt jaunus noteikumus VPP un FLP projektu </w:t>
            </w:r>
            <w:r w:rsidRPr="006670E5">
              <w:rPr>
                <w:rFonts w:ascii="Candara" w:hAnsi="Candara"/>
                <w:color w:val="000000"/>
                <w:sz w:val="16"/>
                <w:szCs w:val="16"/>
                <w:lang w:eastAsia="lv-LV"/>
              </w:rPr>
              <w:t xml:space="preserve">īstenošanai, kas ietver stimulus cilvēkkapitāla veidošanai ar RIS3 mērķu sasniegšanai nepieciešamajām kompetencēm, un prioritātēm un jomām nepieciešamajām zināšanām. </w:t>
            </w:r>
            <w:r w:rsidRPr="006670E5">
              <w:rPr>
                <w:rFonts w:ascii="Candara" w:hAnsi="Candara"/>
                <w:b/>
                <w:color w:val="000000"/>
                <w:sz w:val="16"/>
                <w:szCs w:val="16"/>
                <w:lang w:eastAsia="lv-LV"/>
              </w:rPr>
              <w:t>(IZM)</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2369F" w:rsidRPr="006670E5" w:rsidP="0012369F" w14:paraId="59626A85" w14:textId="77777777">
            <w:pPr>
              <w:spacing w:after="0" w:line="240" w:lineRule="auto"/>
              <w:rPr>
                <w:rFonts w:ascii="Candara" w:eastAsia="Candara" w:hAnsi="Candara" w:cs="Candara"/>
                <w:sz w:val="16"/>
                <w:szCs w:val="16"/>
              </w:rPr>
            </w:pPr>
            <w:r w:rsidRPr="006670E5">
              <w:rPr>
                <w:rFonts w:ascii="Candara" w:hAnsi="Candara"/>
                <w:color w:val="000000"/>
                <w:sz w:val="16"/>
                <w:szCs w:val="16"/>
                <w:lang w:eastAsia="lv-LV"/>
              </w:rPr>
              <w:t xml:space="preserve">Jauna VPP un  FLP izvērtēšanas un finansēšanas kārtība, nosakot prasību </w:t>
            </w:r>
            <w:r w:rsidRPr="006670E5">
              <w:rPr>
                <w:rFonts w:ascii="Candara" w:hAnsi="Candara"/>
                <w:color w:val="000000"/>
                <w:sz w:val="16"/>
                <w:szCs w:val="16"/>
                <w:lang w:eastAsia="lv-LV"/>
              </w:rPr>
              <w:t xml:space="preserve">projektu īstenošanā paredzēt darba vietas studentiem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2369F" w:rsidRPr="00003013" w:rsidP="0012369F" w14:paraId="2F9D480F" w14:textId="77777777">
            <w:pPr>
              <w:spacing w:after="0" w:line="240" w:lineRule="auto"/>
              <w:rPr>
                <w:rFonts w:ascii="Candara" w:eastAsia="Candara" w:hAnsi="Candara" w:cs="Candara"/>
                <w:sz w:val="16"/>
                <w:szCs w:val="16"/>
              </w:rPr>
            </w:pPr>
            <w:r w:rsidRPr="006F5067">
              <w:rPr>
                <w:rFonts w:ascii="Candara" w:eastAsia="Candara" w:hAnsi="Candara" w:cs="Candara"/>
                <w:sz w:val="16"/>
                <w:szCs w:val="16"/>
              </w:rPr>
              <w:t xml:space="preserve">jaunradītās darba vietas, kurās nodarbināti zinātniskie </w:t>
            </w:r>
            <w:r w:rsidRPr="00003013">
              <w:rPr>
                <w:rFonts w:ascii="Candara" w:eastAsia="Candara" w:hAnsi="Candara" w:cs="Candara"/>
                <w:sz w:val="16"/>
                <w:szCs w:val="16"/>
              </w:rPr>
              <w:t xml:space="preserve">darbinieki publiskajā sektorā, t.sk. </w:t>
            </w:r>
            <w:r w:rsidRPr="00003013">
              <w:rPr>
                <w:rFonts w:ascii="Candara" w:eastAsia="Candara" w:hAnsi="Candara" w:cs="Candara"/>
                <w:sz w:val="16"/>
                <w:szCs w:val="16"/>
              </w:rPr>
              <w:t xml:space="preserve">tās, kurās nodarbināti bakalauru, maģistru un doktorantūras studenti. </w:t>
            </w:r>
          </w:p>
        </w:tc>
        <w:tc>
          <w:tcPr>
            <w:tcW w:w="2694" w:type="dxa"/>
            <w:shd w:val="clear" w:color="auto" w:fill="FFFFFF" w:themeFill="background1"/>
          </w:tcPr>
          <w:p w:rsidR="0012369F" w:rsidRPr="000419A4" w:rsidP="0012369F" w14:paraId="3FE235D3" w14:textId="77777777">
            <w:pPr>
              <w:spacing w:after="0" w:line="240" w:lineRule="auto"/>
              <w:rPr>
                <w:rFonts w:ascii="Candara" w:eastAsia="Candara" w:hAnsi="Candara" w:cs="Candara"/>
                <w:sz w:val="16"/>
                <w:szCs w:val="16"/>
              </w:rPr>
            </w:pPr>
          </w:p>
        </w:tc>
        <w:tc>
          <w:tcPr>
            <w:tcW w:w="1701" w:type="dxa"/>
            <w:shd w:val="clear" w:color="auto" w:fill="FFFFFF" w:themeFill="background1"/>
          </w:tcPr>
          <w:p w:rsidR="0012369F" w:rsidRPr="006F5067" w:rsidP="0012369F" w14:paraId="6437B957" w14:textId="77777777">
            <w:pPr>
              <w:spacing w:after="0" w:line="240" w:lineRule="auto"/>
              <w:rPr>
                <w:rFonts w:ascii="Candara" w:eastAsia="Candara" w:hAnsi="Candara" w:cs="Candara"/>
                <w:sz w:val="16"/>
                <w:szCs w:val="16"/>
              </w:rPr>
            </w:pPr>
            <w:r w:rsidRPr="006F5067">
              <w:rPr>
                <w:rFonts w:ascii="Candara" w:eastAsia="Candara" w:hAnsi="Candara" w:cs="Candara"/>
                <w:sz w:val="16"/>
                <w:szCs w:val="16"/>
              </w:rPr>
              <w:t>IZM</w:t>
            </w:r>
            <w:r w:rsidR="00C6536F">
              <w:rPr>
                <w:rFonts w:ascii="Candara" w:eastAsia="Candara" w:hAnsi="Candara" w:cs="Candara"/>
                <w:sz w:val="16"/>
                <w:szCs w:val="16"/>
              </w:rPr>
              <w:t xml:space="preserve"> esošā budžeta ietvaros</w:t>
            </w:r>
          </w:p>
        </w:tc>
        <w:tc>
          <w:tcPr>
            <w:tcW w:w="1417" w:type="dxa"/>
            <w:shd w:val="clear" w:color="auto" w:fill="FFFFFF" w:themeFill="background1"/>
          </w:tcPr>
          <w:p w:rsidR="0012369F" w:rsidRPr="00003013" w:rsidP="0012369F" w14:paraId="48CE28B4" w14:textId="77777777">
            <w:pPr>
              <w:spacing w:after="0" w:line="240" w:lineRule="auto"/>
              <w:rPr>
                <w:rFonts w:ascii="Candara" w:eastAsia="Candara" w:hAnsi="Candara" w:cs="Candara"/>
                <w:sz w:val="16"/>
                <w:szCs w:val="16"/>
              </w:rPr>
            </w:pPr>
            <w:r w:rsidRPr="00003013">
              <w:rPr>
                <w:rFonts w:ascii="Candara" w:eastAsia="Candara" w:hAnsi="Candara" w:cs="Candara"/>
                <w:sz w:val="16"/>
                <w:szCs w:val="16"/>
              </w:rPr>
              <w:t>IZM</w:t>
            </w:r>
          </w:p>
        </w:tc>
        <w:tc>
          <w:tcPr>
            <w:tcW w:w="1276" w:type="dxa"/>
            <w:shd w:val="clear" w:color="auto" w:fill="FFFFFF" w:themeFill="background1"/>
          </w:tcPr>
          <w:p w:rsidR="0012369F" w:rsidRPr="000419A4" w:rsidP="0012369F" w14:paraId="27FC6306" w14:textId="40E7754E">
            <w:pPr>
              <w:spacing w:after="0" w:line="240" w:lineRule="auto"/>
              <w:rPr>
                <w:rFonts w:ascii="Candara" w:eastAsia="Candara" w:hAnsi="Candara" w:cs="Candara"/>
                <w:sz w:val="16"/>
                <w:szCs w:val="16"/>
              </w:rPr>
            </w:pPr>
            <w:r w:rsidRPr="000419A4">
              <w:rPr>
                <w:rFonts w:ascii="Candara" w:eastAsia="Candara" w:hAnsi="Candara" w:cs="Candara"/>
                <w:sz w:val="16"/>
                <w:szCs w:val="16"/>
              </w:rPr>
              <w:t>201</w:t>
            </w:r>
            <w:r w:rsidR="00C6536F">
              <w:rPr>
                <w:rFonts w:ascii="Candara" w:eastAsia="Candara" w:hAnsi="Candara" w:cs="Candara"/>
                <w:sz w:val="16"/>
                <w:szCs w:val="16"/>
              </w:rPr>
              <w:t>8</w:t>
            </w:r>
          </w:p>
        </w:tc>
      </w:tr>
    </w:tbl>
    <w:p w:rsidR="00B8601C" w:rsidP="00635070" w14:paraId="0EF2C1D5" w14:textId="77777777">
      <w:pPr>
        <w:tabs>
          <w:tab w:val="left" w:pos="4020"/>
        </w:tabs>
        <w:spacing w:after="0"/>
        <w:rPr>
          <w:rFonts w:ascii="Candara" w:eastAsia="Calibri" w:hAnsi="Candara"/>
          <w:sz w:val="20"/>
          <w:szCs w:val="20"/>
        </w:rPr>
      </w:pPr>
      <w:r>
        <w:rPr>
          <w:rFonts w:ascii="Candara" w:eastAsia="Calibri" w:hAnsi="Candara"/>
          <w:sz w:val="20"/>
          <w:szCs w:val="20"/>
        </w:rPr>
        <w:t>* U</w:t>
      </w:r>
      <w:r w:rsidRPr="000E35AD">
        <w:rPr>
          <w:rFonts w:ascii="Candara" w:eastAsia="Calibri" w:hAnsi="Candara"/>
          <w:sz w:val="20"/>
          <w:szCs w:val="20"/>
        </w:rPr>
        <w:t>z pasākuma īstenošanu attiecas ti</w:t>
      </w:r>
      <w:r>
        <w:rPr>
          <w:rFonts w:ascii="Candara" w:eastAsia="Calibri" w:hAnsi="Candara"/>
          <w:sz w:val="20"/>
          <w:szCs w:val="20"/>
        </w:rPr>
        <w:t>kai daļa no norādītā finansējuma</w:t>
      </w:r>
    </w:p>
    <w:p w:rsidR="00635070" w:rsidP="00635070" w14:paraId="1202B0D8" w14:textId="77777777">
      <w:pPr>
        <w:tabs>
          <w:tab w:val="left" w:pos="4020"/>
        </w:tabs>
        <w:spacing w:after="0"/>
        <w:rPr>
          <w:rFonts w:ascii="Candara" w:eastAsia="Calibri" w:hAnsi="Candara"/>
          <w:sz w:val="20"/>
          <w:szCs w:val="20"/>
        </w:rPr>
      </w:pPr>
    </w:p>
    <w:p w:rsidR="00635070" w:rsidP="00635070" w14:paraId="0C47053F" w14:textId="77777777">
      <w:pPr>
        <w:tabs>
          <w:tab w:val="left" w:pos="4020"/>
        </w:tabs>
        <w:spacing w:after="0"/>
        <w:rPr>
          <w:rFonts w:ascii="Candara" w:eastAsia="Calibri" w:hAnsi="Candara"/>
          <w:sz w:val="20"/>
          <w:szCs w:val="20"/>
        </w:rPr>
      </w:pPr>
    </w:p>
    <w:p w:rsidR="00635070" w:rsidRPr="00CF67D2" w:rsidP="00635070" w14:paraId="1BA0ECE6" w14:textId="77777777">
      <w:pPr>
        <w:spacing w:after="0" w:line="240" w:lineRule="auto"/>
        <w:jc w:val="both"/>
        <w:rPr>
          <w:rFonts w:ascii="Candara" w:eastAsia="Times New Roman" w:hAnsi="Candara"/>
          <w:sz w:val="24"/>
          <w:szCs w:val="24"/>
        </w:rPr>
      </w:pPr>
      <w:r w:rsidRPr="00CF67D2">
        <w:rPr>
          <w:rFonts w:ascii="Candara" w:eastAsia="Times New Roman" w:hAnsi="Candara"/>
          <w:sz w:val="24"/>
          <w:szCs w:val="24"/>
        </w:rPr>
        <w:t>Ministru prezidents</w:t>
      </w:r>
      <w:r w:rsidRPr="00CF67D2">
        <w:rPr>
          <w:rFonts w:ascii="Candara" w:eastAsia="Times New Roman" w:hAnsi="Candara"/>
          <w:sz w:val="24"/>
          <w:szCs w:val="24"/>
        </w:rPr>
        <w:tab/>
      </w:r>
      <w:r w:rsidRPr="00CF67D2">
        <w:rPr>
          <w:rFonts w:ascii="Candara" w:eastAsia="Times New Roman" w:hAnsi="Candara"/>
          <w:sz w:val="24"/>
          <w:szCs w:val="24"/>
        </w:rPr>
        <w:tab/>
      </w:r>
      <w:r w:rsidRPr="00CF67D2">
        <w:rPr>
          <w:rFonts w:ascii="Candara" w:eastAsia="Times New Roman" w:hAnsi="Candara"/>
          <w:sz w:val="24"/>
          <w:szCs w:val="24"/>
        </w:rPr>
        <w:tab/>
      </w:r>
      <w:r w:rsidRPr="00CF67D2">
        <w:rPr>
          <w:rFonts w:ascii="Candara" w:eastAsia="Times New Roman" w:hAnsi="Candara"/>
          <w:sz w:val="24"/>
          <w:szCs w:val="24"/>
        </w:rPr>
        <w:tab/>
      </w:r>
      <w:r w:rsidRPr="00CF67D2">
        <w:rPr>
          <w:rFonts w:ascii="Candara" w:eastAsia="Times New Roman" w:hAnsi="Candara"/>
          <w:sz w:val="24"/>
          <w:szCs w:val="24"/>
        </w:rPr>
        <w:tab/>
      </w:r>
      <w:r w:rsidRPr="00CF67D2">
        <w:rPr>
          <w:rFonts w:ascii="Candara" w:eastAsia="Times New Roman" w:hAnsi="Candara"/>
          <w:sz w:val="24"/>
          <w:szCs w:val="24"/>
        </w:rPr>
        <w:tab/>
      </w:r>
      <w:r>
        <w:rPr>
          <w:rFonts w:ascii="Candara" w:eastAsia="Times New Roman" w:hAnsi="Candara"/>
          <w:sz w:val="24"/>
          <w:szCs w:val="24"/>
        </w:rPr>
        <w:tab/>
      </w:r>
      <w:r w:rsidRPr="00CF67D2">
        <w:rPr>
          <w:rFonts w:ascii="Candara" w:eastAsia="Times New Roman" w:hAnsi="Candara"/>
          <w:sz w:val="24"/>
          <w:szCs w:val="24"/>
        </w:rPr>
        <w:t>Māris Kučinskis</w:t>
      </w:r>
    </w:p>
    <w:p w:rsidR="00635070" w:rsidP="00635070" w14:paraId="07ACF113" w14:textId="77777777">
      <w:pPr>
        <w:tabs>
          <w:tab w:val="left" w:pos="4020"/>
        </w:tabs>
        <w:spacing w:after="0"/>
        <w:rPr>
          <w:rFonts w:ascii="Candara" w:eastAsia="Calibri" w:hAnsi="Candara"/>
          <w:sz w:val="20"/>
          <w:szCs w:val="20"/>
        </w:rPr>
      </w:pPr>
    </w:p>
    <w:p w:rsidR="00635070" w:rsidP="00635070" w14:paraId="10A91E40" w14:textId="77777777">
      <w:pPr>
        <w:tabs>
          <w:tab w:val="left" w:pos="4020"/>
        </w:tabs>
        <w:spacing w:after="0"/>
        <w:rPr>
          <w:rFonts w:ascii="Candara" w:eastAsia="Calibri" w:hAnsi="Candara"/>
          <w:sz w:val="20"/>
          <w:szCs w:val="20"/>
        </w:rPr>
      </w:pPr>
    </w:p>
    <w:p w:rsidR="00635070" w:rsidRPr="00CF67D2" w:rsidP="00635070" w14:paraId="42FA4781" w14:textId="77777777">
      <w:pPr>
        <w:spacing w:after="0" w:line="240" w:lineRule="auto"/>
        <w:jc w:val="both"/>
        <w:rPr>
          <w:rFonts w:ascii="Candara" w:eastAsia="Times New Roman" w:hAnsi="Candara"/>
          <w:sz w:val="24"/>
          <w:szCs w:val="24"/>
        </w:rPr>
      </w:pPr>
      <w:r w:rsidRPr="00CF67D2">
        <w:rPr>
          <w:rFonts w:ascii="Candara" w:eastAsia="Times New Roman" w:hAnsi="Candara"/>
          <w:sz w:val="24"/>
          <w:szCs w:val="24"/>
        </w:rPr>
        <w:t>Izglītības un zinātnes ministrs</w:t>
      </w:r>
      <w:r w:rsidRPr="00CF67D2">
        <w:rPr>
          <w:rFonts w:ascii="Candara" w:eastAsia="Times New Roman" w:hAnsi="Candara"/>
          <w:sz w:val="24"/>
          <w:szCs w:val="24"/>
        </w:rPr>
        <w:tab/>
      </w:r>
      <w:r w:rsidRPr="00CF67D2">
        <w:rPr>
          <w:rFonts w:ascii="Candara" w:eastAsia="Times New Roman" w:hAnsi="Candara"/>
          <w:sz w:val="24"/>
          <w:szCs w:val="24"/>
        </w:rPr>
        <w:tab/>
      </w:r>
      <w:r w:rsidRPr="00CF67D2">
        <w:rPr>
          <w:rFonts w:ascii="Candara" w:eastAsia="Times New Roman" w:hAnsi="Candara"/>
          <w:sz w:val="24"/>
          <w:szCs w:val="24"/>
        </w:rPr>
        <w:tab/>
      </w:r>
      <w:r w:rsidRPr="00CF67D2">
        <w:rPr>
          <w:rFonts w:ascii="Candara" w:eastAsia="Times New Roman" w:hAnsi="Candara"/>
          <w:sz w:val="24"/>
          <w:szCs w:val="24"/>
        </w:rPr>
        <w:tab/>
      </w:r>
      <w:r w:rsidRPr="00CF67D2">
        <w:rPr>
          <w:rFonts w:ascii="Candara" w:eastAsia="Times New Roman" w:hAnsi="Candara"/>
          <w:sz w:val="24"/>
          <w:szCs w:val="24"/>
        </w:rPr>
        <w:tab/>
        <w:t>Kārlis Šadurskis</w:t>
      </w:r>
    </w:p>
    <w:p w:rsidR="00635070" w:rsidP="00635070" w14:paraId="1695F9EE" w14:textId="77777777">
      <w:pPr>
        <w:tabs>
          <w:tab w:val="left" w:pos="4020"/>
        </w:tabs>
        <w:spacing w:after="0"/>
        <w:rPr>
          <w:rFonts w:ascii="Candara" w:eastAsia="Calibri" w:hAnsi="Candara"/>
          <w:sz w:val="20"/>
          <w:szCs w:val="20"/>
        </w:rPr>
      </w:pPr>
    </w:p>
    <w:p w:rsidR="00635070" w:rsidP="00635070" w14:paraId="12A1DFAD" w14:textId="77777777">
      <w:pPr>
        <w:tabs>
          <w:tab w:val="left" w:pos="4020"/>
        </w:tabs>
        <w:spacing w:after="0"/>
        <w:rPr>
          <w:rFonts w:ascii="Candara" w:eastAsia="Calibri" w:hAnsi="Candara"/>
          <w:sz w:val="20"/>
          <w:szCs w:val="20"/>
        </w:rPr>
      </w:pPr>
    </w:p>
    <w:p w:rsidR="00635070" w:rsidRPr="00CF67D2" w:rsidP="00635070" w14:paraId="670EBCDF" w14:textId="77777777">
      <w:pPr>
        <w:spacing w:after="0" w:line="240" w:lineRule="auto"/>
        <w:jc w:val="both"/>
        <w:rPr>
          <w:rFonts w:ascii="Candara" w:eastAsia="PMingLiU" w:hAnsi="Candara"/>
          <w:sz w:val="24"/>
          <w:szCs w:val="24"/>
        </w:rPr>
      </w:pPr>
      <w:r w:rsidRPr="00CF67D2">
        <w:rPr>
          <w:rFonts w:ascii="Candara" w:eastAsia="Times New Roman" w:hAnsi="Candara"/>
          <w:sz w:val="24"/>
          <w:szCs w:val="24"/>
        </w:rPr>
        <w:t>Iesniedzējs</w:t>
      </w:r>
      <w:r w:rsidRPr="00CF67D2">
        <w:rPr>
          <w:rFonts w:ascii="Candara" w:hAnsi="Candara"/>
          <w:sz w:val="24"/>
          <w:szCs w:val="24"/>
        </w:rPr>
        <w:t>:</w:t>
      </w:r>
    </w:p>
    <w:p w:rsidR="00635070" w:rsidRPr="00CF67D2" w:rsidP="00635070" w14:paraId="3B70ACBA" w14:textId="77777777">
      <w:pPr>
        <w:spacing w:after="0" w:line="240" w:lineRule="auto"/>
        <w:jc w:val="both"/>
        <w:rPr>
          <w:rFonts w:ascii="Candara" w:eastAsia="Times New Roman" w:hAnsi="Candara"/>
          <w:b/>
          <w:sz w:val="24"/>
          <w:szCs w:val="24"/>
        </w:rPr>
      </w:pPr>
      <w:r w:rsidRPr="00CF67D2">
        <w:rPr>
          <w:rFonts w:ascii="Candara" w:hAnsi="Candara"/>
          <w:sz w:val="24"/>
          <w:szCs w:val="24"/>
        </w:rPr>
        <w:t>Izglītības un zinātnes ministrs</w:t>
      </w:r>
      <w:r w:rsidRPr="00CF67D2">
        <w:rPr>
          <w:rFonts w:ascii="Candara" w:hAnsi="Candara"/>
          <w:sz w:val="24"/>
          <w:szCs w:val="24"/>
        </w:rPr>
        <w:tab/>
      </w:r>
      <w:r w:rsidRPr="00CF67D2">
        <w:rPr>
          <w:rFonts w:ascii="Candara" w:hAnsi="Candara"/>
          <w:sz w:val="24"/>
          <w:szCs w:val="24"/>
        </w:rPr>
        <w:tab/>
      </w:r>
      <w:r w:rsidRPr="00CF67D2">
        <w:rPr>
          <w:rFonts w:ascii="Candara" w:hAnsi="Candara"/>
          <w:sz w:val="24"/>
          <w:szCs w:val="24"/>
        </w:rPr>
        <w:tab/>
      </w:r>
      <w:r w:rsidRPr="00CF67D2">
        <w:rPr>
          <w:rFonts w:ascii="Candara" w:hAnsi="Candara"/>
          <w:sz w:val="24"/>
          <w:szCs w:val="24"/>
        </w:rPr>
        <w:tab/>
      </w:r>
      <w:r w:rsidRPr="00CF67D2">
        <w:rPr>
          <w:rFonts w:ascii="Candara" w:hAnsi="Candara"/>
          <w:sz w:val="24"/>
          <w:szCs w:val="24"/>
        </w:rPr>
        <w:tab/>
        <w:t>Kārlis Šadurskis</w:t>
      </w:r>
    </w:p>
    <w:p w:rsidR="00635070" w:rsidRPr="00CF67D2" w:rsidP="00635070" w14:paraId="6C9F1CC1" w14:textId="77777777">
      <w:pPr>
        <w:spacing w:after="0" w:line="240" w:lineRule="auto"/>
        <w:jc w:val="both"/>
        <w:rPr>
          <w:rFonts w:ascii="Candara" w:eastAsia="Times New Roman" w:hAnsi="Candara"/>
          <w:sz w:val="24"/>
          <w:szCs w:val="24"/>
        </w:rPr>
      </w:pPr>
    </w:p>
    <w:p w:rsidR="00635070" w:rsidRPr="00CF67D2" w:rsidP="00635070" w14:paraId="571CEB5C" w14:textId="77777777">
      <w:pPr>
        <w:spacing w:after="0" w:line="240" w:lineRule="auto"/>
        <w:jc w:val="both"/>
        <w:rPr>
          <w:rFonts w:ascii="Candara" w:eastAsia="Times New Roman" w:hAnsi="Candara"/>
          <w:sz w:val="24"/>
          <w:szCs w:val="24"/>
        </w:rPr>
      </w:pPr>
      <w:r w:rsidRPr="00CF67D2">
        <w:rPr>
          <w:rFonts w:ascii="Candara" w:eastAsia="Times New Roman" w:hAnsi="Candara"/>
          <w:sz w:val="24"/>
          <w:szCs w:val="24"/>
        </w:rPr>
        <w:t>Vīza:</w:t>
      </w:r>
    </w:p>
    <w:p w:rsidR="00DA0265" w:rsidP="00635070" w14:paraId="581A49E7" w14:textId="01468143">
      <w:pPr>
        <w:spacing w:after="0" w:line="240" w:lineRule="auto"/>
        <w:rPr>
          <w:rFonts w:ascii="Candara" w:eastAsia="Times New Roman" w:hAnsi="Candara"/>
          <w:sz w:val="24"/>
          <w:szCs w:val="24"/>
        </w:rPr>
      </w:pPr>
      <w:bookmarkStart w:id="60" w:name="_GoBack"/>
      <w:r w:rsidRPr="00DA0265">
        <w:rPr>
          <w:rFonts w:ascii="Candara" w:eastAsia="Times New Roman" w:hAnsi="Candara"/>
          <w:sz w:val="24"/>
          <w:szCs w:val="24"/>
        </w:rPr>
        <w:t xml:space="preserve">Izglītības un zinātnes ministrijas </w:t>
      </w:r>
      <w:r>
        <w:rPr>
          <w:rFonts w:ascii="Candara" w:eastAsia="Times New Roman" w:hAnsi="Candara"/>
          <w:sz w:val="24"/>
          <w:szCs w:val="24"/>
        </w:rPr>
        <w:tab/>
      </w:r>
      <w:r>
        <w:rPr>
          <w:rFonts w:ascii="Candara" w:eastAsia="Times New Roman" w:hAnsi="Candara"/>
          <w:sz w:val="24"/>
          <w:szCs w:val="24"/>
        </w:rPr>
        <w:tab/>
      </w:r>
      <w:r>
        <w:rPr>
          <w:rFonts w:ascii="Candara" w:eastAsia="Times New Roman" w:hAnsi="Candara"/>
          <w:sz w:val="24"/>
          <w:szCs w:val="24"/>
        </w:rPr>
        <w:tab/>
      </w:r>
      <w:r>
        <w:rPr>
          <w:rFonts w:ascii="Candara" w:eastAsia="Times New Roman" w:hAnsi="Candara"/>
          <w:sz w:val="24"/>
          <w:szCs w:val="24"/>
        </w:rPr>
        <w:tab/>
      </w:r>
      <w:r>
        <w:rPr>
          <w:rFonts w:ascii="Candara" w:eastAsia="Times New Roman" w:hAnsi="Candara"/>
          <w:sz w:val="24"/>
          <w:szCs w:val="24"/>
        </w:rPr>
        <w:tab/>
      </w:r>
      <w:r>
        <w:rPr>
          <w:rFonts w:ascii="Candara" w:hAnsi="Candara"/>
          <w:sz w:val="24"/>
          <w:szCs w:val="24"/>
        </w:rPr>
        <w:t>Agrita Kiopa</w:t>
      </w:r>
    </w:p>
    <w:p w:rsidR="00DA0265" w:rsidP="00635070" w14:paraId="61449817" w14:textId="03920C7F">
      <w:pPr>
        <w:spacing w:after="0" w:line="240" w:lineRule="auto"/>
        <w:rPr>
          <w:rFonts w:ascii="Candara" w:eastAsia="Times New Roman" w:hAnsi="Candara"/>
          <w:sz w:val="24"/>
          <w:szCs w:val="24"/>
        </w:rPr>
      </w:pPr>
      <w:r w:rsidRPr="00DA0265">
        <w:rPr>
          <w:rFonts w:ascii="Candara" w:eastAsia="Times New Roman" w:hAnsi="Candara"/>
          <w:sz w:val="24"/>
          <w:szCs w:val="24"/>
        </w:rPr>
        <w:t xml:space="preserve">valsts sekretāra vietniece – </w:t>
      </w:r>
    </w:p>
    <w:p w:rsidR="00DA0265" w:rsidP="00635070" w14:paraId="14F614FE" w14:textId="77777777">
      <w:pPr>
        <w:spacing w:after="0" w:line="240" w:lineRule="auto"/>
        <w:rPr>
          <w:rFonts w:ascii="Candara" w:eastAsia="Times New Roman" w:hAnsi="Candara"/>
          <w:sz w:val="24"/>
          <w:szCs w:val="24"/>
        </w:rPr>
      </w:pPr>
      <w:r w:rsidRPr="00DA0265">
        <w:rPr>
          <w:rFonts w:ascii="Candara" w:eastAsia="Times New Roman" w:hAnsi="Candara"/>
          <w:sz w:val="24"/>
          <w:szCs w:val="24"/>
        </w:rPr>
        <w:t>Augstākās izglītības, zinātnes un</w:t>
      </w:r>
    </w:p>
    <w:p w:rsidR="00635070" w:rsidRPr="00CF67D2" w:rsidP="00635070" w14:paraId="0B7E1BD1" w14:textId="37C5A12C">
      <w:pPr>
        <w:spacing w:after="0" w:line="240" w:lineRule="auto"/>
        <w:rPr>
          <w:rFonts w:ascii="Candara" w:eastAsia="PMingLiU" w:hAnsi="Candara"/>
          <w:sz w:val="24"/>
          <w:szCs w:val="24"/>
        </w:rPr>
      </w:pPr>
      <w:r w:rsidRPr="00DA0265">
        <w:rPr>
          <w:rFonts w:ascii="Candara" w:eastAsia="Times New Roman" w:hAnsi="Candara"/>
          <w:sz w:val="24"/>
          <w:szCs w:val="24"/>
        </w:rPr>
        <w:t xml:space="preserve"> inovāciju departamenta direktore</w:t>
      </w:r>
      <w:r w:rsidRPr="00CF67D2">
        <w:rPr>
          <w:rFonts w:ascii="Candara" w:hAnsi="Candara"/>
          <w:sz w:val="24"/>
          <w:szCs w:val="24"/>
        </w:rPr>
        <w:tab/>
      </w:r>
      <w:r w:rsidRPr="00CF67D2">
        <w:rPr>
          <w:rFonts w:ascii="Candara" w:hAnsi="Candara"/>
          <w:sz w:val="24"/>
          <w:szCs w:val="24"/>
        </w:rPr>
        <w:tab/>
      </w:r>
      <w:r w:rsidRPr="00CF67D2">
        <w:rPr>
          <w:rFonts w:ascii="Candara" w:hAnsi="Candara"/>
          <w:sz w:val="24"/>
          <w:szCs w:val="24"/>
        </w:rPr>
        <w:tab/>
      </w:r>
      <w:r w:rsidRPr="00CF67D2">
        <w:rPr>
          <w:rFonts w:ascii="Candara" w:hAnsi="Candara"/>
          <w:sz w:val="24"/>
          <w:szCs w:val="24"/>
        </w:rPr>
        <w:tab/>
      </w:r>
      <w:r w:rsidRPr="00CF67D2">
        <w:rPr>
          <w:rFonts w:ascii="Candara" w:hAnsi="Candara"/>
          <w:sz w:val="24"/>
          <w:szCs w:val="24"/>
        </w:rPr>
        <w:tab/>
      </w:r>
      <w:r w:rsidRPr="00CF67D2">
        <w:rPr>
          <w:rFonts w:ascii="Candara" w:hAnsi="Candara"/>
          <w:sz w:val="24"/>
          <w:szCs w:val="24"/>
        </w:rPr>
        <w:tab/>
      </w:r>
      <w:r w:rsidRPr="00CF67D2">
        <w:rPr>
          <w:rFonts w:ascii="Candara" w:hAnsi="Candara"/>
          <w:sz w:val="24"/>
          <w:szCs w:val="24"/>
        </w:rPr>
        <w:tab/>
      </w:r>
      <w:r>
        <w:rPr>
          <w:rFonts w:ascii="Candara" w:hAnsi="Candara"/>
          <w:sz w:val="24"/>
          <w:szCs w:val="24"/>
        </w:rPr>
        <w:tab/>
      </w:r>
    </w:p>
    <w:p w:rsidR="00635070" w:rsidP="00635070" w14:paraId="7FFDC9E8" w14:textId="77777777">
      <w:pPr>
        <w:tabs>
          <w:tab w:val="left" w:pos="4020"/>
        </w:tabs>
        <w:spacing w:after="0"/>
        <w:rPr>
          <w:rFonts w:ascii="Candara" w:eastAsia="Calibri" w:hAnsi="Candara"/>
          <w:sz w:val="20"/>
          <w:szCs w:val="20"/>
        </w:rPr>
      </w:pPr>
      <w:bookmarkEnd w:id="60"/>
    </w:p>
    <w:p w:rsidR="00635070" w:rsidP="00635070" w14:paraId="4637D732" w14:textId="326906E8">
      <w:pPr>
        <w:spacing w:after="0"/>
        <w:rPr>
          <w:rFonts w:ascii="Candara" w:eastAsia="Calibri" w:hAnsi="Candara"/>
          <w:sz w:val="20"/>
          <w:szCs w:val="20"/>
        </w:rPr>
      </w:pPr>
      <w:r>
        <w:rPr>
          <w:rFonts w:ascii="Candara" w:eastAsia="Calibri" w:hAnsi="Candara"/>
          <w:sz w:val="20"/>
          <w:szCs w:val="20"/>
          <w:lang w:val="en-GB"/>
        </w:rPr>
        <w:t>01.02.2018. 9;49</w:t>
      </w:r>
    </w:p>
    <w:p w:rsidR="00635070" w:rsidRPr="00EA22E5" w:rsidP="00635070" w14:paraId="67477433" w14:textId="20C44234">
      <w:pPr>
        <w:spacing w:after="0"/>
        <w:rPr>
          <w:rFonts w:ascii="Candara" w:hAnsi="Candara"/>
          <w:noProof/>
          <w:sz w:val="20"/>
          <w:szCs w:val="20"/>
        </w:rPr>
      </w:pPr>
      <w:r>
        <w:rPr>
          <w:rFonts w:ascii="Candara" w:hAnsi="Candara"/>
          <w:sz w:val="20"/>
          <w:szCs w:val="20"/>
        </w:rPr>
        <w:t>35753</w:t>
      </w:r>
    </w:p>
    <w:p w:rsidR="00635070" w:rsidRPr="00F97214" w:rsidP="00F97214" w14:paraId="3B41BCF7" w14:textId="77777777">
      <w:pPr>
        <w:pStyle w:val="Header"/>
        <w:tabs>
          <w:tab w:val="left" w:pos="2340"/>
        </w:tabs>
        <w:ind w:left="142" w:hanging="142"/>
        <w:jc w:val="both"/>
        <w:rPr>
          <w:rFonts w:ascii="Candara" w:hAnsi="Candara"/>
          <w:sz w:val="20"/>
          <w:szCs w:val="20"/>
        </w:rPr>
      </w:pPr>
      <w:r>
        <w:rPr>
          <w:rFonts w:ascii="Candara" w:hAnsi="Candara"/>
          <w:sz w:val="20"/>
          <w:szCs w:val="20"/>
        </w:rPr>
        <w:t>I.Griķe, tālr. 67047861</w:t>
      </w:r>
      <w:r w:rsidR="00F97214">
        <w:rPr>
          <w:rFonts w:ascii="Candara" w:hAnsi="Candara"/>
          <w:sz w:val="20"/>
          <w:szCs w:val="20"/>
        </w:rPr>
        <w:t xml:space="preserve">, </w:t>
      </w:r>
      <w:r>
        <w:fldChar w:fldCharType="begin"/>
      </w:r>
      <w:r>
        <w:instrText xml:space="preserve"> HYPERLINK "mailto:ieva.grike@izm.gov.lv" </w:instrText>
      </w:r>
      <w:r>
        <w:fldChar w:fldCharType="separate"/>
      </w:r>
      <w:r w:rsidRPr="000419A4">
        <w:rPr>
          <w:rStyle w:val="Hyperlink"/>
          <w:rFonts w:ascii="Candara" w:hAnsi="Candara"/>
          <w:sz w:val="20"/>
          <w:szCs w:val="20"/>
        </w:rPr>
        <w:t>ieva.grike@izm.gov.lv</w:t>
      </w:r>
      <w:r>
        <w:fldChar w:fldCharType="end"/>
      </w:r>
    </w:p>
    <w:p w:rsidR="00635070" w:rsidRPr="000419A4" w:rsidP="00F97214" w14:paraId="63FB33E8" w14:textId="77777777">
      <w:pPr>
        <w:spacing w:after="0"/>
        <w:ind w:left="142" w:hanging="142"/>
        <w:jc w:val="both"/>
        <w:rPr>
          <w:rFonts w:ascii="Candara" w:hAnsi="Candara"/>
          <w:sz w:val="20"/>
          <w:szCs w:val="20"/>
        </w:rPr>
      </w:pPr>
      <w:r>
        <w:rPr>
          <w:rFonts w:ascii="Candara" w:hAnsi="Candara"/>
          <w:sz w:val="20"/>
          <w:szCs w:val="20"/>
        </w:rPr>
        <w:t>J.Paiders, tālr: 67047963</w:t>
      </w:r>
      <w:r w:rsidR="00F97214">
        <w:rPr>
          <w:rFonts w:ascii="Candara" w:hAnsi="Candara"/>
          <w:sz w:val="20"/>
          <w:szCs w:val="20"/>
        </w:rPr>
        <w:t xml:space="preserve">, </w:t>
      </w:r>
      <w:r>
        <w:fldChar w:fldCharType="begin"/>
      </w:r>
      <w:r>
        <w:instrText xml:space="preserve"> HYPERLINK "mailto:janis.paiders@izm.gov.lv" </w:instrText>
      </w:r>
      <w:r>
        <w:fldChar w:fldCharType="separate"/>
      </w:r>
      <w:r w:rsidRPr="000A098A">
        <w:rPr>
          <w:rStyle w:val="Hyperlink"/>
          <w:rFonts w:ascii="Candara" w:hAnsi="Candara"/>
          <w:sz w:val="20"/>
          <w:szCs w:val="20"/>
        </w:rPr>
        <w:t>janis.p</w:t>
      </w:r>
      <w:r w:rsidRPr="00635070">
        <w:rPr>
          <w:rStyle w:val="Hyperlink"/>
          <w:rFonts w:ascii="Candara" w:hAnsi="Candara"/>
          <w:sz w:val="20"/>
          <w:szCs w:val="20"/>
        </w:rPr>
        <w:t>aiders@izm.gov.lv</w:t>
      </w:r>
      <w:r>
        <w:fldChar w:fldCharType="end"/>
      </w:r>
    </w:p>
    <w:p w:rsidR="00F97214" w:rsidRPr="000D32D6" w:rsidP="00EA22E5" w14:paraId="33BF75A9" w14:textId="51125CA6">
      <w:pPr>
        <w:spacing w:after="0"/>
        <w:ind w:left="142" w:hanging="142"/>
        <w:jc w:val="both"/>
        <w:rPr>
          <w:rFonts w:ascii="Candara" w:hAnsi="Candara"/>
          <w:sz w:val="20"/>
          <w:szCs w:val="20"/>
        </w:rPr>
        <w:sectPr w:rsidSect="00CC0116">
          <w:pgSz w:w="16838" w:h="11906" w:orient="landscape" w:code="9"/>
          <w:pgMar w:top="1304" w:right="992" w:bottom="907" w:left="1418" w:header="425" w:footer="193" w:gutter="0"/>
          <w:cols w:space="708"/>
          <w:titlePg/>
          <w:docGrid w:linePitch="360"/>
        </w:sectPr>
      </w:pPr>
      <w:r w:rsidRPr="000419A4">
        <w:rPr>
          <w:rFonts w:ascii="Candara" w:hAnsi="Candara"/>
          <w:sz w:val="20"/>
          <w:szCs w:val="20"/>
        </w:rPr>
        <w:t xml:space="preserve">J.Siliņš, tālr. </w:t>
      </w:r>
      <w:r w:rsidRPr="00F97214">
        <w:rPr>
          <w:rFonts w:ascii="Candara" w:hAnsi="Candara"/>
          <w:sz w:val="20"/>
          <w:szCs w:val="20"/>
        </w:rPr>
        <w:t xml:space="preserve">67013005, </w:t>
      </w:r>
      <w:r>
        <w:fldChar w:fldCharType="begin"/>
      </w:r>
      <w:r>
        <w:instrText xml:space="preserve"> HYPERLINK "mailto:janis.silins@em.gov.lv" </w:instrText>
      </w:r>
      <w:r>
        <w:fldChar w:fldCharType="separate"/>
      </w:r>
      <w:r w:rsidRPr="00FE4609" w:rsidR="00550065">
        <w:rPr>
          <w:rStyle w:val="Hyperlink"/>
          <w:rFonts w:ascii="Candara" w:hAnsi="Candara"/>
          <w:sz w:val="20"/>
          <w:szCs w:val="20"/>
        </w:rPr>
        <w:t>janis.silins@em.gov.lv</w:t>
      </w:r>
      <w:r>
        <w:fldChar w:fldCharType="end"/>
      </w:r>
      <w:r w:rsidR="00550065">
        <w:rPr>
          <w:rFonts w:ascii="Candara" w:hAnsi="Candara"/>
          <w:sz w:val="20"/>
          <w:szCs w:val="20"/>
        </w:rPr>
        <w:t xml:space="preserve"> </w:t>
      </w:r>
    </w:p>
    <w:p w:rsidR="00196854" w:rsidRPr="00EA22E5" w:rsidP="00EA22E5" w14:paraId="6676D96E" w14:textId="7937E698">
      <w:pPr>
        <w:tabs>
          <w:tab w:val="left" w:pos="2010"/>
        </w:tabs>
        <w:rPr>
          <w:rFonts w:ascii="Candara" w:eastAsia="Calibri" w:hAnsi="Candara"/>
          <w:sz w:val="20"/>
          <w:szCs w:val="20"/>
        </w:rPr>
      </w:pPr>
    </w:p>
    <w:sectPr w:rsidSect="00196854">
      <w:pgSz w:w="11906" w:h="16838" w:code="9"/>
      <w:pgMar w:top="992" w:right="907" w:bottom="1418" w:left="1304" w:header="425" w:footer="193"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BA"/>
    <w:family w:val="swiss"/>
    <w:pitch w:val="variable"/>
    <w:sig w:usb0="A00002EF" w:usb1="4000A44B" w:usb2="00000000" w:usb3="00000000" w:csb0="0000019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Geneva">
    <w:altName w:val="Arial"/>
    <w:charset w:val="00"/>
    <w:family w:val="auto"/>
    <w:pitch w:val="variable"/>
    <w:sig w:usb0="00000007" w:usb1="00000000" w:usb2="00000000" w:usb3="00000000" w:csb0="00000093" w:csb1="00000000"/>
  </w:font>
  <w:font w:name="Cambria Math">
    <w:panose1 w:val="02040503050406030204"/>
    <w:charset w:val="BA"/>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5C40" w:rsidP="000176C1" w14:paraId="2CC94A0B" w14:textId="777777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230290515"/>
      <w:docPartObj>
        <w:docPartGallery w:val="Page Numbers (Bottom of Page)"/>
        <w:docPartUnique/>
      </w:docPartObj>
    </w:sdtPr>
    <w:sdtEndPr>
      <w:rPr>
        <w:noProof/>
      </w:rPr>
    </w:sdtEndPr>
    <w:sdtContent>
      <w:p w:rsidR="00B55C40" w:rsidP="00CD0BC9" w14:paraId="0E6EA928" w14:textId="77777777">
        <w:pPr>
          <w:pStyle w:val="Header"/>
          <w:jc w:val="center"/>
        </w:pPr>
      </w:p>
      <w:p w:rsidR="00B55C40" w:rsidP="00CD0BC9" w14:paraId="465C1057" w14:textId="77777777"/>
      <w:p w:rsidR="00B55C40" w:rsidP="00CD0BC9" w14:paraId="54EBA4E8" w14:textId="77777777">
        <w:pPr>
          <w:pStyle w:val="Footer"/>
          <w:jc w:val="center"/>
        </w:pPr>
      </w:p>
      <w:p w:rsidR="00B55C40" w:rsidP="00CD0BC9" w14:paraId="6F22472C" w14:textId="77777777"/>
      <w:sdt>
        <w:sdtPr>
          <w:rPr>
            <w:rFonts w:asciiTheme="majorHAnsi" w:hAnsiTheme="majorHAnsi"/>
            <w:sz w:val="20"/>
            <w:szCs w:val="20"/>
          </w:rPr>
          <w:id w:val="1274122507"/>
          <w:docPartObj>
            <w:docPartGallery w:val="Page Numbers (Bottom of Page)"/>
            <w:docPartUnique/>
          </w:docPartObj>
        </w:sdtPr>
        <w:sdtEndPr>
          <w:rPr>
            <w:rFonts w:ascii="Candara" w:hAnsi="Candara"/>
            <w:noProof/>
            <w:sz w:val="18"/>
            <w:szCs w:val="18"/>
          </w:rPr>
        </w:sdtEndPr>
        <w:sdtContent>
          <w:p w:rsidR="00B55C40" w:rsidRPr="00CD0BC9" w:rsidP="00CD0BC9" w14:paraId="11115C99" w14:textId="12E225B4">
            <w:pPr>
              <w:pStyle w:val="Footer"/>
              <w:jc w:val="both"/>
              <w:rPr>
                <w:rFonts w:ascii="Candara" w:hAnsi="Candara"/>
                <w:sz w:val="18"/>
                <w:szCs w:val="18"/>
              </w:rPr>
            </w:pPr>
            <w:r w:rsidRPr="00CD0BC9">
              <w:rPr>
                <w:rFonts w:ascii="Candara" w:hAnsi="Candara"/>
                <w:sz w:val="18"/>
                <w:szCs w:val="18"/>
              </w:rPr>
              <w:t>IZMunEMZino_</w:t>
            </w:r>
            <w:r w:rsidR="003B3D24">
              <w:rPr>
                <w:rFonts w:ascii="Candara" w:hAnsi="Candara"/>
                <w:sz w:val="18"/>
                <w:szCs w:val="18"/>
              </w:rPr>
              <w:t>01022018</w:t>
            </w:r>
            <w:r w:rsidRPr="00CD0BC9">
              <w:rPr>
                <w:rFonts w:ascii="Candara" w:hAnsi="Candara"/>
                <w:sz w:val="18"/>
                <w:szCs w:val="18"/>
              </w:rPr>
              <w:t>_RIS3progress; Informatīvais ziņojums “Viedās specializācijas stratēģijas monitorings”</w:t>
            </w:r>
          </w:p>
          <w:p w:rsidR="00B55C40" w:rsidP="00CD0BC9" w14:paraId="621A0590" w14:textId="77777777">
            <w:pPr>
              <w:pStyle w:val="Footer"/>
              <w:jc w:val="both"/>
            </w:pPr>
          </w:p>
        </w:sdtContent>
      </w:sdt>
      <w:p w:rsidR="00B55C40" w:rsidRPr="00DF2882" w:rsidP="000176C1" w14:paraId="1B54570E" w14:textId="6174890B">
        <w:pPr>
          <w:pStyle w:val="Footer"/>
          <w:jc w:val="center"/>
        </w:pPr>
        <w:r w:rsidRPr="00DF2882">
          <w:fldChar w:fldCharType="begin"/>
        </w:r>
        <w:r w:rsidRPr="00DF2882">
          <w:instrText xml:space="preserve"> PAGE   \* MERGEFORMAT </w:instrText>
        </w:r>
        <w:r w:rsidRPr="00DF2882">
          <w:fldChar w:fldCharType="separate"/>
        </w:r>
        <w:r w:rsidR="00EE18E1">
          <w:rPr>
            <w:noProof/>
          </w:rPr>
          <w:t>20</w:t>
        </w:r>
        <w:r w:rsidRPr="00DF2882">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77592523"/>
      <w:docPartObj>
        <w:docPartGallery w:val="Page Numbers (Bottom of Page)"/>
        <w:docPartUnique/>
      </w:docPartObj>
    </w:sdtPr>
    <w:sdtEndPr>
      <w:rPr>
        <w:noProof/>
      </w:rPr>
    </w:sdtEndPr>
    <w:sdtContent>
      <w:p w:rsidR="00B55C40" w14:paraId="4870E09E" w14:textId="57BA42F3">
        <w:pPr>
          <w:pStyle w:val="Footer"/>
          <w:jc w:val="center"/>
        </w:pPr>
        <w:r>
          <w:fldChar w:fldCharType="begin"/>
        </w:r>
        <w:r>
          <w:instrText xml:space="preserve"> PAGE   \* MERGEFORMAT </w:instrText>
        </w:r>
        <w:r>
          <w:fldChar w:fldCharType="separate"/>
        </w:r>
        <w:r w:rsidR="00DA0265">
          <w:rPr>
            <w:noProof/>
          </w:rPr>
          <w:t>6</w:t>
        </w:r>
        <w:r>
          <w:rPr>
            <w:noProof/>
          </w:rPr>
          <w:fldChar w:fldCharType="end"/>
        </w:r>
      </w:p>
    </w:sdtContent>
  </w:sdt>
  <w:p w:rsidR="00B55C40" w14:paraId="2D65E00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5C40" w:rsidP="000176C1" w14:paraId="725EDF13" w14:textId="7777777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heme="majorHAnsi" w:hAnsiTheme="majorHAnsi"/>
        <w:sz w:val="20"/>
        <w:szCs w:val="20"/>
      </w:rPr>
      <w:id w:val="1546069223"/>
      <w:docPartObj>
        <w:docPartGallery w:val="Page Numbers (Bottom of Page)"/>
        <w:docPartUnique/>
      </w:docPartObj>
    </w:sdtPr>
    <w:sdtEndPr>
      <w:rPr>
        <w:rFonts w:ascii="Candara" w:hAnsi="Candara"/>
        <w:noProof/>
        <w:sz w:val="18"/>
        <w:szCs w:val="18"/>
      </w:rPr>
    </w:sdtEndPr>
    <w:sdtContent>
      <w:p w:rsidR="00B55C40" w:rsidRPr="00CD0BC9" w:rsidP="00296348" w14:paraId="7D911E85" w14:textId="7451705F">
        <w:pPr>
          <w:pStyle w:val="Footer"/>
          <w:jc w:val="both"/>
          <w:rPr>
            <w:rFonts w:ascii="Candara" w:hAnsi="Candara"/>
            <w:sz w:val="18"/>
            <w:szCs w:val="18"/>
          </w:rPr>
        </w:pPr>
        <w:r w:rsidRPr="00CD0BC9">
          <w:rPr>
            <w:rFonts w:ascii="Candara" w:hAnsi="Candara"/>
            <w:sz w:val="18"/>
            <w:szCs w:val="18"/>
          </w:rPr>
          <w:t>IZMunEMZino_</w:t>
        </w:r>
        <w:r w:rsidR="003B3D24">
          <w:rPr>
            <w:rFonts w:ascii="Candara" w:hAnsi="Candara"/>
            <w:sz w:val="18"/>
            <w:szCs w:val="18"/>
          </w:rPr>
          <w:t>01022018</w:t>
        </w:r>
        <w:r w:rsidRPr="00CD0BC9">
          <w:rPr>
            <w:rFonts w:ascii="Candara" w:hAnsi="Candara"/>
            <w:sz w:val="18"/>
            <w:szCs w:val="18"/>
          </w:rPr>
          <w:t>_RIS3progress; Informatīvais ziņojums “Viedās specializācijas stratēģijas monitorings”</w:t>
        </w:r>
      </w:p>
      <w:p w:rsidR="00B55C40" w:rsidRPr="00CD0BC9" w:rsidP="00296348" w14:paraId="434CDF89" w14:textId="77777777">
        <w:pPr>
          <w:pStyle w:val="Footer"/>
          <w:jc w:val="both"/>
          <w:rPr>
            <w:rFonts w:ascii="Candara" w:hAnsi="Candara"/>
            <w:sz w:val="18"/>
            <w:szCs w:val="18"/>
          </w:rPr>
        </w:pPr>
      </w:p>
      <w:p w:rsidR="00B55C40" w:rsidRPr="00CD0BC9" w:rsidP="000176C1" w14:paraId="77285120" w14:textId="41B8E305">
        <w:pPr>
          <w:pStyle w:val="Footer"/>
          <w:jc w:val="center"/>
          <w:rPr>
            <w:rFonts w:ascii="Candara" w:hAnsi="Candara"/>
            <w:sz w:val="18"/>
            <w:szCs w:val="18"/>
          </w:rPr>
        </w:pPr>
        <w:r w:rsidRPr="00CD0BC9">
          <w:rPr>
            <w:rFonts w:ascii="Candara" w:hAnsi="Candara"/>
            <w:sz w:val="18"/>
            <w:szCs w:val="18"/>
          </w:rPr>
          <w:fldChar w:fldCharType="begin"/>
        </w:r>
        <w:r w:rsidRPr="00CD0BC9">
          <w:rPr>
            <w:rFonts w:ascii="Candara" w:hAnsi="Candara"/>
            <w:sz w:val="18"/>
            <w:szCs w:val="18"/>
          </w:rPr>
          <w:instrText xml:space="preserve"> PAGE   \* MERGEFORMAT </w:instrText>
        </w:r>
        <w:r w:rsidRPr="00CD0BC9">
          <w:rPr>
            <w:rFonts w:ascii="Candara" w:hAnsi="Candara"/>
            <w:sz w:val="18"/>
            <w:szCs w:val="18"/>
          </w:rPr>
          <w:fldChar w:fldCharType="separate"/>
        </w:r>
        <w:r w:rsidR="00EE18E1">
          <w:rPr>
            <w:rFonts w:ascii="Candara" w:hAnsi="Candara"/>
            <w:noProof/>
            <w:sz w:val="18"/>
            <w:szCs w:val="18"/>
          </w:rPr>
          <w:t>98</w:t>
        </w:r>
        <w:r w:rsidRPr="00CD0BC9">
          <w:rPr>
            <w:rFonts w:ascii="Candara" w:hAnsi="Candara"/>
            <w:noProof/>
            <w:sz w:val="18"/>
            <w:szCs w:val="18"/>
          </w:rPr>
          <w:fldChar w:fldCharType="end"/>
        </w:r>
      </w:p>
    </w:sdtContent>
  </w:sdt>
  <w:p w:rsidR="00B55C40" w:rsidRPr="005433E7" w14:paraId="60BD27F7" w14:textId="77777777">
    <w:pPr>
      <w:pStyle w:val="Footer"/>
      <w:rPr>
        <w:rFonts w:asciiTheme="majorHAnsi" w:hAnsiTheme="majorHAnsi"/>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5C40" w:rsidP="00EA22E5" w14:paraId="4B7B4DE6" w14:textId="61DDD9E4">
    <w:pPr>
      <w:pStyle w:val="Footer"/>
      <w:spacing w:after="12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67F65" w:rsidP="008714DB" w14:paraId="0A304DEE" w14:textId="77777777">
      <w:pPr>
        <w:spacing w:after="0" w:line="240" w:lineRule="auto"/>
      </w:pPr>
      <w:r>
        <w:separator/>
      </w:r>
    </w:p>
  </w:footnote>
  <w:footnote w:type="continuationSeparator" w:id="1">
    <w:p w:rsidR="00267F65" w:rsidP="008714DB" w14:paraId="47C2EAED" w14:textId="77777777">
      <w:pPr>
        <w:spacing w:after="0" w:line="240" w:lineRule="auto"/>
      </w:pPr>
      <w:r>
        <w:continuationSeparator/>
      </w:r>
    </w:p>
  </w:footnote>
  <w:footnote w:id="2">
    <w:p w:rsidR="00B55C40" w:rsidRPr="00B86F69" w:rsidP="007D09BA" w14:paraId="362D7802"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Katram </w:t>
      </w:r>
      <w:r>
        <w:rPr>
          <w:rFonts w:ascii="Candara" w:hAnsi="Candara"/>
          <w:sz w:val="16"/>
          <w:szCs w:val="16"/>
        </w:rPr>
        <w:t>k</w:t>
      </w:r>
      <w:r w:rsidRPr="00B86F69">
        <w:rPr>
          <w:rFonts w:ascii="Candara" w:hAnsi="Candara"/>
          <w:sz w:val="16"/>
          <w:szCs w:val="16"/>
        </w:rPr>
        <w:t xml:space="preserve">ompetences centram ir izveidota </w:t>
      </w:r>
      <w:r>
        <w:rPr>
          <w:rFonts w:ascii="Candara" w:hAnsi="Candara"/>
          <w:sz w:val="16"/>
          <w:szCs w:val="16"/>
        </w:rPr>
        <w:t>p</w:t>
      </w:r>
      <w:r w:rsidRPr="00B86F69">
        <w:rPr>
          <w:rFonts w:ascii="Candara" w:hAnsi="Candara"/>
          <w:sz w:val="16"/>
          <w:szCs w:val="16"/>
        </w:rPr>
        <w:t>adome, kas konstatē atbilstību nišai, balstoties uz izstrādātajām stratēģijām</w:t>
      </w:r>
    </w:p>
  </w:footnote>
  <w:footnote w:id="3">
    <w:p w:rsidR="00B55C40" w:rsidRPr="00B86F69" w:rsidP="007D09BA" w14:paraId="0961C769"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LPKC - "Latvijas pārtikas kompetences centrs" </w:t>
      </w:r>
    </w:p>
  </w:footnote>
  <w:footnote w:id="4">
    <w:p w:rsidR="00B55C40" w:rsidRPr="00B86F69" w:rsidP="007D09BA" w14:paraId="072BC317"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MKC - "Mašīnbūves kompetences centrs" </w:t>
      </w:r>
    </w:p>
  </w:footnote>
  <w:footnote w:id="5">
    <w:p w:rsidR="00B55C40" w:rsidRPr="00B86F69" w:rsidP="007D09BA" w14:paraId="34E808D2"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FBMTKC - "Farmācijas, biomedicīnas un medicīnas tehnoloģiju kompetences centrs" </w:t>
      </w:r>
    </w:p>
  </w:footnote>
  <w:footnote w:id="6">
    <w:p w:rsidR="00B55C40" w:rsidRPr="00B86F69" w:rsidP="007D09BA" w14:paraId="44A7345C"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VMTKC - "Viedo materiālu un tehnoloģiju kompetences centrs"</w:t>
      </w:r>
    </w:p>
  </w:footnote>
  <w:footnote w:id="7">
    <w:p w:rsidR="00B55C40" w:rsidRPr="00B86F69" w:rsidP="007D09BA" w14:paraId="5D907F9E"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VITEKC – " Viedo inženiersistēmu, transporta un enerģētikas kompetences centrs"</w:t>
      </w:r>
    </w:p>
  </w:footnote>
  <w:footnote w:id="8">
    <w:p w:rsidR="00B55C40" w:rsidRPr="00B86F69" w:rsidP="007D09BA" w14:paraId="0B7CB435"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ITKC - "IT kompetences centrs"</w:t>
      </w:r>
    </w:p>
  </w:footnote>
  <w:footnote w:id="9">
    <w:p w:rsidR="00B55C40" w:rsidRPr="00B86F69" w:rsidP="007D09BA" w14:paraId="4A1A06A2"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LEO - "LEO pētījumu centrs"</w:t>
      </w:r>
    </w:p>
  </w:footnote>
  <w:footnote w:id="10">
    <w:p w:rsidR="00B55C40" w:rsidRPr="006D1D87" w14:paraId="637D433A" w14:textId="77777777">
      <w:pPr>
        <w:pStyle w:val="FootnoteText"/>
        <w:rPr>
          <w:sz w:val="16"/>
          <w:szCs w:val="16"/>
        </w:rPr>
      </w:pPr>
      <w:r w:rsidRPr="006D1D87">
        <w:rPr>
          <w:rStyle w:val="FootnoteReference"/>
          <w:sz w:val="16"/>
          <w:szCs w:val="16"/>
        </w:rPr>
        <w:footnoteRef/>
      </w:r>
      <w:r w:rsidRPr="006D1D87">
        <w:rPr>
          <w:sz w:val="16"/>
          <w:szCs w:val="16"/>
        </w:rPr>
        <w:t xml:space="preserve"> Šeit un turpmāk 5.attēlā: ZTAI pamatnostādnes</w:t>
      </w:r>
      <w:r>
        <w:rPr>
          <w:sz w:val="16"/>
          <w:szCs w:val="16"/>
        </w:rPr>
        <w:t>.</w:t>
      </w:r>
    </w:p>
  </w:footnote>
  <w:footnote w:id="11">
    <w:p w:rsidR="00B55C40" w:rsidRPr="00B86F69" w:rsidP="00C7324C" w14:paraId="5788E1C2" w14:textId="77777777">
      <w:pPr>
        <w:pStyle w:val="FootnoteText"/>
        <w:ind w:left="142" w:hanging="142"/>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ab/>
        <w:t>Lai identificētu eksporta struktūras izmaiņas un nodrošinātu datu starptautisku salīdzināmību, Pamatnostādnēs tika veiktas korekcijas rezultatīvā rādītāja definēšanā un turpmāk tiks izmantota Eurostat metodoloģija, kas ir balstīta uz augsto tehnoloģiju eksporta uzskaiti pa produktu grupām, nevis pēc uzņēmumu darbības veida.</w:t>
      </w:r>
    </w:p>
  </w:footnote>
  <w:footnote w:id="12">
    <w:p w:rsidR="00B55C40" w:rsidRPr="00B86F69" w:rsidP="008C73ED" w14:paraId="3949B993" w14:textId="77777777">
      <w:pPr>
        <w:pStyle w:val="FootnoteText"/>
        <w:jc w:val="both"/>
        <w:rPr>
          <w:rFonts w:ascii="Candara" w:hAnsi="Candara"/>
          <w:spacing w:val="-2"/>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w:t>
      </w:r>
      <w:r w:rsidRPr="00B86F69">
        <w:rPr>
          <w:rFonts w:ascii="Candara" w:hAnsi="Candara"/>
          <w:spacing w:val="-2"/>
          <w:sz w:val="16"/>
          <w:szCs w:val="16"/>
        </w:rPr>
        <w:t>Detalizētu informācijas par Latvijas sniegumu visos Eiropas Inovācijas rezultātu pārskata rādītājos skat. pielikumā Nr. 5.</w:t>
      </w:r>
    </w:p>
  </w:footnote>
  <w:footnote w:id="13">
    <w:p w:rsidR="00B55C40" w:rsidRPr="008C73ED" w:rsidP="008C73ED" w14:paraId="5C611E08" w14:textId="77777777">
      <w:pPr>
        <w:pStyle w:val="FootnoteText"/>
        <w:jc w:val="both"/>
        <w:rPr>
          <w:rFonts w:ascii="Candara" w:hAnsi="Candara"/>
          <w:sz w:val="16"/>
          <w:szCs w:val="16"/>
        </w:rPr>
      </w:pPr>
      <w:r w:rsidRPr="008C73ED">
        <w:rPr>
          <w:rStyle w:val="FootnoteReference"/>
          <w:rFonts w:ascii="Candara" w:hAnsi="Candara"/>
          <w:sz w:val="16"/>
          <w:szCs w:val="16"/>
        </w:rPr>
        <w:footnoteRef/>
      </w:r>
      <w:r w:rsidRPr="008C73ED">
        <w:rPr>
          <w:rFonts w:ascii="Candara" w:hAnsi="Candara"/>
          <w:sz w:val="16"/>
          <w:szCs w:val="16"/>
        </w:rPr>
        <w:t xml:space="preserve"> 1.1.1. </w:t>
      </w:r>
      <w:r>
        <w:rPr>
          <w:rFonts w:ascii="Candara" w:hAnsi="Candara"/>
          <w:sz w:val="16"/>
          <w:szCs w:val="16"/>
        </w:rPr>
        <w:t>SAM</w:t>
      </w:r>
      <w:r w:rsidRPr="008C73ED">
        <w:rPr>
          <w:rFonts w:ascii="Candara" w:hAnsi="Candara"/>
          <w:sz w:val="16"/>
          <w:szCs w:val="16"/>
        </w:rPr>
        <w:t xml:space="preserve"> </w:t>
      </w:r>
      <w:r>
        <w:rPr>
          <w:rFonts w:ascii="Candara" w:hAnsi="Candara"/>
          <w:sz w:val="16"/>
          <w:szCs w:val="16"/>
        </w:rPr>
        <w:t>iznākuma rādītājs: “Jaunu pētnieku skaits atbalstītajās vienībās, pilna laika ekvivalents”.</w:t>
      </w:r>
    </w:p>
  </w:footnote>
  <w:footnote w:id="14">
    <w:p w:rsidR="00B55C40" w:rsidRPr="008C73ED" w:rsidP="008C73ED" w14:paraId="14CA0CC0" w14:textId="77777777">
      <w:pPr>
        <w:pStyle w:val="FootnoteText"/>
        <w:jc w:val="both"/>
        <w:rPr>
          <w:rFonts w:ascii="Candara" w:hAnsi="Candara"/>
          <w:sz w:val="16"/>
          <w:szCs w:val="16"/>
        </w:rPr>
      </w:pPr>
      <w:r w:rsidRPr="008C73ED">
        <w:rPr>
          <w:rStyle w:val="FootnoteReference"/>
          <w:rFonts w:ascii="Candara" w:hAnsi="Candara"/>
          <w:sz w:val="16"/>
          <w:szCs w:val="16"/>
        </w:rPr>
        <w:footnoteRef/>
      </w:r>
      <w:r w:rsidRPr="008C73ED">
        <w:rPr>
          <w:rFonts w:ascii="Candara" w:hAnsi="Candara"/>
          <w:sz w:val="16"/>
          <w:szCs w:val="16"/>
        </w:rPr>
        <w:t xml:space="preserve"> 1.1.1. SAM</w:t>
      </w:r>
      <w:r>
        <w:rPr>
          <w:rFonts w:ascii="Candara" w:hAnsi="Candara"/>
          <w:sz w:val="16"/>
          <w:szCs w:val="16"/>
        </w:rPr>
        <w:t xml:space="preserve"> iznākuma rādītājs: “Privātās investīcijas, kas papildina valsts atbalstu inovācijām vai pētniecības un izstrādes projektiem” un rezultāta rādītājs: “Valsts un augstākās izglītības sektora piesaistītais ārējais finansējums zinātniski pētnieciskajam darbam”.</w:t>
      </w:r>
    </w:p>
  </w:footnote>
  <w:footnote w:id="15">
    <w:p w:rsidR="00B55C40" w:rsidRPr="00B86F69" w:rsidP="00B86F69" w14:paraId="2657CE2F" w14:textId="77777777">
      <w:pPr>
        <w:pStyle w:val="FootnoteText"/>
        <w:ind w:left="284" w:hanging="284"/>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ab/>
        <w:t xml:space="preserve">Pieejams: http://ec.europa.eu/regional_policy/en/information/publications/studies/2016/study-on-the-expected-results-of-cohesion-policy-in-estonia-lithuania-and-latvia-within-the-programming-period-2014-2020 </w:t>
      </w:r>
    </w:p>
  </w:footnote>
  <w:footnote w:id="16">
    <w:p w:rsidR="00B55C40" w:rsidRPr="00B86F69" w:rsidP="00B86F69" w14:paraId="118DAFE7" w14:textId="77777777">
      <w:pPr>
        <w:pStyle w:val="FootnoteText"/>
        <w:ind w:left="284" w:hanging="284"/>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ab/>
      </w:r>
      <w:r w:rsidRPr="00B86F69">
        <w:rPr>
          <w:rFonts w:ascii="Candara" w:eastAsia="Times New Roman" w:hAnsi="Candara"/>
          <w:bCs/>
          <w:sz w:val="16"/>
          <w:szCs w:val="16"/>
          <w:lang w:eastAsia="lv-LV"/>
        </w:rPr>
        <w:t>Latvijā Kohēzijas politikas finansējums sastāda gandrīz 70% no kopējā publiskā finansējuma P&amp;A, kamēr Igaunijā tie ir 40%, savukārt Lietuvā – 30%.</w:t>
      </w:r>
    </w:p>
  </w:footnote>
  <w:footnote w:id="17">
    <w:p w:rsidR="00B55C40" w:rsidRPr="00B86F69" w:rsidP="00B86F69" w14:paraId="03A1E7B2" w14:textId="77777777">
      <w:pPr>
        <w:pStyle w:val="FootnoteText"/>
        <w:ind w:left="284" w:hanging="284"/>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ab/>
      </w:r>
      <w:r w:rsidRPr="00B86F69">
        <w:rPr>
          <w:rFonts w:ascii="Candara" w:eastAsia="Times New Roman" w:hAnsi="Candara"/>
          <w:bCs/>
          <w:sz w:val="16"/>
          <w:szCs w:val="16"/>
          <w:lang w:eastAsia="lv-LV"/>
        </w:rPr>
        <w:t>Kopumā 2014.–2020.gada plānošanas periodā Latvija no kopējā Kohēzijas politikas finansējuma P&amp;A investē 467 milj. euro, Igaunija – 642 milj. euro, Lietuva – 638 milj. euro.</w:t>
      </w:r>
    </w:p>
  </w:footnote>
  <w:footnote w:id="18">
    <w:p w:rsidR="00B55C40" w:rsidRPr="00B86F69" w14:paraId="754242AC"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SNIP (</w:t>
      </w:r>
      <w:r w:rsidRPr="00B86F69">
        <w:rPr>
          <w:rFonts w:ascii="Candara" w:hAnsi="Candara"/>
          <w:i/>
          <w:sz w:val="16"/>
          <w:szCs w:val="16"/>
        </w:rPr>
        <w:t>Source Normalized Impact per Paper</w:t>
      </w:r>
      <w:r w:rsidRPr="00B86F69">
        <w:rPr>
          <w:rFonts w:ascii="Candara" w:hAnsi="Candara"/>
          <w:sz w:val="16"/>
          <w:szCs w:val="16"/>
        </w:rPr>
        <w:t>) ir SCOPUS bibliometriskais indikators, kurš parāda zinātniskā žurnāla citējamību skaitu, ņemot vērā šī rādītāja atšķirību starp zinātņu nozarēm.</w:t>
      </w:r>
    </w:p>
  </w:footnote>
  <w:footnote w:id="19">
    <w:p w:rsidR="00B55C40" w:rsidRPr="00B86F69" w:rsidP="00B86F69" w14:paraId="0A04A45E" w14:textId="77777777">
      <w:pPr>
        <w:pStyle w:val="FootnoteText"/>
        <w:ind w:left="284" w:hanging="284"/>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ab/>
        <w:t xml:space="preserve">Saskaņā ar programmas “Apvārsnis 2020” 2015. gada progresa ziņojumu (pieejams https://ec.europa.eu/research/evaluations/pdf/archive/h2020_monitoring_reports/second_h2020_annual_monitoring_report.pdf#view=fit&amp;pagemode=none), no visiem 2014. un 2015. gadā iesniegtajiem projektu pieteikumiem,  44,8% novērtēti virs kvalitātes sliekšņa un kopumā, lai nodrošinātu visu virs kvalitātes sliekšņa novērtēto projektu pieteikumu īstenošanu šajā laika posmā, papildus būtu nepieciešami 41,6 miljardi EUR. </w:t>
      </w:r>
    </w:p>
  </w:footnote>
  <w:footnote w:id="20">
    <w:p w:rsidR="00B55C40" w:rsidRPr="00B86F69" w:rsidP="00B86F69" w14:paraId="6F226291" w14:textId="77777777">
      <w:pPr>
        <w:pStyle w:val="FootnoteText"/>
        <w:ind w:left="284" w:hanging="284"/>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ab/>
        <w:t>Dati uz 2016. gada martu.</w:t>
      </w:r>
    </w:p>
  </w:footnote>
  <w:footnote w:id="21">
    <w:p w:rsidR="00B55C40" w:rsidRPr="00B86F69" w:rsidP="00B86F69" w14:paraId="152C4C44" w14:textId="77777777">
      <w:pPr>
        <w:pStyle w:val="FootnoteText"/>
        <w:ind w:left="284" w:hanging="284"/>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ab/>
        <w:t>Lai identificētu eksporta struktūras izmaiņas un nodrošinātu datu starptautisku salīdzināmību, Pamatnostādnēs tika veiktas korekcijas rezultatīvā rādītāja definēšanā un turpmāk tiks izmantota Eurostat metodoloģija, kas ir balstīta uz augsto tehnoloģiju eksporta uzskaiti pa produktu grupām, nevis pēc uzņēmumu darbības veida.</w:t>
      </w:r>
    </w:p>
  </w:footnote>
  <w:footnote w:id="22">
    <w:p w:rsidR="00B55C40" w:rsidRPr="00B86F69" w:rsidP="00CF3F47" w14:paraId="5F767C48" w14:textId="77777777">
      <w:pPr>
        <w:pStyle w:val="FootnoteText"/>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Indekss ir attiecība starp valsts daļu pasaules/valstu grupas/reģiona ienākošajās ĀTI un tās daļu pasaules/valstu grupas/reģiona IKP. Latvijas ĀTI piesaistes politikas efektivitātes novērtēšanai ĀTI snieguma indekss var būt aprēķināts Latvijai attiecībā pret Baltijas valstīm kopumā. Ņemot vērā ĀTI svārstīgumu, ĀTI snieguma indeksa aprēķinos būtu jāizmanto dati nevis par vienu, bet vismaz trīs gadu periodu (slīdošo vidējo).</w:t>
      </w:r>
    </w:p>
  </w:footnote>
  <w:footnote w:id="23">
    <w:p w:rsidR="00B55C40" w:rsidP="009C0F2D" w14:paraId="5F8ABD1B" w14:textId="1251A549">
      <w:pPr>
        <w:pStyle w:val="FootnoteText"/>
        <w:jc w:val="both"/>
      </w:pPr>
      <w:r w:rsidRPr="009C0F2D">
        <w:rPr>
          <w:rFonts w:ascii="Candara" w:hAnsi="Candara"/>
          <w:sz w:val="16"/>
          <w:szCs w:val="16"/>
          <w:vertAlign w:val="superscript"/>
        </w:rPr>
        <w:footnoteRef/>
      </w:r>
      <w:r w:rsidRPr="009C0F2D">
        <w:rPr>
          <w:rFonts w:ascii="Candara" w:hAnsi="Candara"/>
          <w:sz w:val="16"/>
          <w:szCs w:val="16"/>
        </w:rPr>
        <w:t xml:space="preserve"> VIAA </w:t>
      </w:r>
      <w:r>
        <w:rPr>
          <w:rFonts w:ascii="Candara" w:hAnsi="Candara"/>
          <w:sz w:val="16"/>
          <w:szCs w:val="16"/>
        </w:rPr>
        <w:t xml:space="preserve">31.12..2017. </w:t>
      </w:r>
      <w:r w:rsidRPr="009C0F2D">
        <w:rPr>
          <w:rFonts w:ascii="Candara" w:hAnsi="Candara"/>
          <w:sz w:val="16"/>
          <w:szCs w:val="16"/>
        </w:rPr>
        <w:t xml:space="preserve">dati par 1.1.1.2. pasākumu “Pēcdoktorantūras pētniecības atbalsts”. </w:t>
      </w:r>
    </w:p>
  </w:footnote>
  <w:footnote w:id="24">
    <w:p w:rsidR="00B55C40" w:rsidRPr="00B86F69" w:rsidP="009F2C2C" w14:paraId="6A0B61F4" w14:textId="613E8CFA">
      <w:pPr>
        <w:pStyle w:val="FootnoteText"/>
        <w:ind w:left="284" w:hanging="284"/>
        <w:jc w:val="both"/>
        <w:rPr>
          <w:rFonts w:ascii="Candara" w:hAnsi="Candara"/>
          <w:sz w:val="16"/>
          <w:szCs w:val="16"/>
        </w:rPr>
      </w:pPr>
      <w:r w:rsidRPr="00B86F69">
        <w:rPr>
          <w:rStyle w:val="FootnoteReference"/>
          <w:rFonts w:ascii="Candara" w:hAnsi="Candara"/>
          <w:sz w:val="16"/>
          <w:szCs w:val="16"/>
        </w:rPr>
        <w:footnoteRef/>
      </w:r>
      <w:r>
        <w:rPr>
          <w:rFonts w:ascii="Candara" w:hAnsi="Candara"/>
          <w:sz w:val="16"/>
          <w:szCs w:val="16"/>
        </w:rPr>
        <w:tab/>
        <w:t>VIAA 27.04.2017. dati par programmām</w:t>
      </w:r>
      <w:r w:rsidRPr="00B86F69">
        <w:rPr>
          <w:rFonts w:ascii="Candara" w:hAnsi="Candara"/>
          <w:sz w:val="16"/>
          <w:szCs w:val="16"/>
        </w:rPr>
        <w:t>:</w:t>
      </w:r>
    </w:p>
    <w:p w:rsidR="00B55C40" w:rsidRPr="00B86F69" w:rsidP="009F2C2C" w14:paraId="51B9B710" w14:textId="77777777">
      <w:pPr>
        <w:pStyle w:val="FootnoteText"/>
        <w:ind w:left="284"/>
        <w:jc w:val="both"/>
        <w:rPr>
          <w:rFonts w:ascii="Candara" w:hAnsi="Candara"/>
          <w:sz w:val="16"/>
          <w:szCs w:val="16"/>
        </w:rPr>
      </w:pPr>
      <w:r w:rsidRPr="00B86F69">
        <w:rPr>
          <w:rFonts w:ascii="Candara" w:hAnsi="Candara"/>
          <w:sz w:val="16"/>
          <w:szCs w:val="16"/>
        </w:rPr>
        <w:t xml:space="preserve">(1) kurām saskaņā ar 26.05.2015. Ministru kabineta noteikumu “Atbalsta piešķiršanas kārtība dalībai starptautiskās sadarbības programmās pētniecības un tehnoloģiju jomā” 4.1.apakšpunktu piešķirts valsts budžeta līdzfinansējums: ES 7.Ietvara programmā, programmas “Apvārsnis 2020” (tai skaitā ERA-NET, ERA-NET Plus un ERA-NET COFUND projekti) , saskaņā ar LESD 185.panta izveidoto publiskās – publiskās partnerības vai 187.panta izveidoto publiskās - privātās partnerības vai EURATOM programmas ietvaros apstiprinātu projektu īstenošanai vai </w:t>
      </w:r>
    </w:p>
    <w:p w:rsidR="00B55C40" w:rsidRPr="00B86F69" w:rsidP="009F2C2C" w14:paraId="5CB0D074" w14:textId="77777777">
      <w:pPr>
        <w:pStyle w:val="FootnoteText"/>
        <w:ind w:left="284"/>
        <w:jc w:val="both"/>
        <w:rPr>
          <w:rFonts w:ascii="Candara" w:hAnsi="Candara"/>
          <w:sz w:val="16"/>
          <w:szCs w:val="16"/>
        </w:rPr>
      </w:pPr>
      <w:r w:rsidRPr="00B86F69">
        <w:rPr>
          <w:rFonts w:ascii="Candara" w:hAnsi="Candara"/>
          <w:sz w:val="16"/>
          <w:szCs w:val="16"/>
        </w:rPr>
        <w:t>(2) starptautiskās bilaterālās un trilaterālo vienošanos ietvaros apstiprināti  sadarbības projekti: “Latvijas un Baltkrievijas sadarbības programma zinātnē un tehnikā”, “Latvijas  un Ukrainas sadarbības programmas zinātnes un tehnoloģiju jomā”, “Latvijas-Lietuvas-Taivānas zinātniskās sadarbības atbalsta fonds”, “Francijas - Latvijas sadarbības programma OSMOZE”.</w:t>
      </w:r>
    </w:p>
  </w:footnote>
  <w:footnote w:id="25">
    <w:p w:rsidR="00B55C40" w:rsidRPr="00B86F69" w:rsidP="009F2C2C" w14:paraId="0639E4B6" w14:textId="77777777">
      <w:pPr>
        <w:pStyle w:val="FootnoteText"/>
        <w:ind w:left="284" w:hanging="284"/>
        <w:jc w:val="both"/>
        <w:rPr>
          <w:rFonts w:ascii="Candara" w:hAnsi="Candara"/>
          <w:sz w:val="16"/>
          <w:szCs w:val="16"/>
        </w:rPr>
      </w:pPr>
      <w:r w:rsidRPr="00B86F69">
        <w:rPr>
          <w:rStyle w:val="FootnoteReference"/>
          <w:rFonts w:ascii="Candara" w:hAnsi="Candara"/>
          <w:sz w:val="16"/>
          <w:szCs w:val="16"/>
        </w:rPr>
        <w:footnoteRef/>
      </w:r>
      <w:r>
        <w:rPr>
          <w:rFonts w:ascii="Candara" w:hAnsi="Candara"/>
          <w:sz w:val="16"/>
          <w:szCs w:val="16"/>
        </w:rPr>
        <w:tab/>
      </w:r>
      <w:r w:rsidRPr="00B86F69">
        <w:rPr>
          <w:rFonts w:ascii="Candara" w:hAnsi="Candara"/>
          <w:sz w:val="16"/>
          <w:szCs w:val="16"/>
        </w:rPr>
        <w:t xml:space="preserve">Šeit un turpmāk nav norādīta informācija par programmas ieviešanas nosacījumos ietvertajiem stimuliem rādītāja sasniegšanā, ievērojot programmu dažādību, kā arī ņemot vērā, ka lielākajai daļai programmu ieviešanas nosacījumi netiek izstrādāti nacionālā līmenī.  </w:t>
      </w:r>
    </w:p>
  </w:footnote>
  <w:footnote w:id="26">
    <w:p w:rsidR="00B55C40" w:rsidRPr="00B86F69" w:rsidP="005F4EDC" w14:paraId="22D783DE" w14:textId="77777777">
      <w:pPr>
        <w:pStyle w:val="FootnoteText"/>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Tai skaitā patentu pieteikumi.</w:t>
      </w:r>
    </w:p>
  </w:footnote>
  <w:footnote w:id="27">
    <w:p w:rsidR="00B55C40" w:rsidRPr="00B86F69" w:rsidP="009F2C2C" w14:paraId="40EAB27E" w14:textId="77777777">
      <w:pPr>
        <w:pStyle w:val="FootnoteText"/>
        <w:ind w:left="284" w:hanging="284"/>
        <w:rPr>
          <w:rFonts w:ascii="Candara" w:hAnsi="Candara"/>
          <w:sz w:val="16"/>
          <w:szCs w:val="16"/>
        </w:rPr>
      </w:pPr>
      <w:r w:rsidRPr="00B86F69">
        <w:rPr>
          <w:rStyle w:val="FootnoteReference"/>
          <w:rFonts w:ascii="Candara" w:hAnsi="Candara"/>
          <w:sz w:val="16"/>
          <w:szCs w:val="16"/>
        </w:rPr>
        <w:footnoteRef/>
      </w:r>
      <w:r>
        <w:rPr>
          <w:rFonts w:ascii="Candara" w:hAnsi="Candara"/>
          <w:sz w:val="16"/>
          <w:szCs w:val="16"/>
        </w:rPr>
        <w:tab/>
      </w:r>
      <w:r w:rsidRPr="00B86F69">
        <w:rPr>
          <w:rFonts w:ascii="Candara" w:hAnsi="Candara"/>
          <w:sz w:val="16"/>
          <w:szCs w:val="16"/>
        </w:rPr>
        <w:t>Eurostat 2015. gada dati.</w:t>
      </w:r>
    </w:p>
  </w:footnote>
  <w:footnote w:id="28">
    <w:p w:rsidR="00B55C40" w:rsidRPr="00B86F69" w:rsidP="000419A4" w14:paraId="06CE5342" w14:textId="74848779">
      <w:pPr>
        <w:pStyle w:val="FootnoteText"/>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w:t>
      </w:r>
      <w:r>
        <w:rPr>
          <w:rFonts w:ascii="Candara" w:hAnsi="Candara"/>
          <w:sz w:val="16"/>
          <w:szCs w:val="16"/>
        </w:rPr>
        <w:t>Dati uz 31.12.2017., ievērojot, ka atsevišķiem pētniecības pieteikumiem vēl norisinās līgumu slēgšanas process, iespējams neliels noslēgto līgumu skaita papildinājums</w:t>
      </w:r>
      <w:r w:rsidRPr="00B86F69">
        <w:rPr>
          <w:rFonts w:ascii="Candara" w:hAnsi="Candara"/>
          <w:sz w:val="16"/>
          <w:szCs w:val="16"/>
        </w:rPr>
        <w:t xml:space="preserve">.  </w:t>
      </w:r>
    </w:p>
  </w:footnote>
  <w:footnote w:id="29">
    <w:p w:rsidR="00B55C40" w:rsidRPr="00B86F69" w:rsidP="000419A4" w14:paraId="345CC965" w14:textId="77777777">
      <w:pPr>
        <w:pStyle w:val="FootnoteText"/>
        <w:jc w:val="both"/>
        <w:rPr>
          <w:rFonts w:ascii="Candara" w:hAnsi="Candara"/>
          <w:sz w:val="16"/>
          <w:szCs w:val="16"/>
        </w:rPr>
      </w:pPr>
      <w:r w:rsidRPr="00B86F69">
        <w:rPr>
          <w:rStyle w:val="FootnoteReference"/>
          <w:rFonts w:ascii="Candara" w:hAnsi="Candara"/>
          <w:sz w:val="16"/>
          <w:szCs w:val="16"/>
        </w:rPr>
        <w:footnoteRef/>
      </w:r>
      <w:r w:rsidRPr="00B86F69">
        <w:rPr>
          <w:rFonts w:ascii="Candara" w:hAnsi="Candara"/>
          <w:sz w:val="16"/>
          <w:szCs w:val="16"/>
        </w:rPr>
        <w:t xml:space="preserve"> Pamatā sociālo un humanitāro zinātņu nozarēs īstenoti pētījumi.</w:t>
      </w:r>
    </w:p>
  </w:footnote>
  <w:footnote w:id="30">
    <w:p w:rsidR="00B55C40" w:rsidP="005C41A3" w14:paraId="66A6E6EE" w14:textId="79461E92">
      <w:pPr>
        <w:pStyle w:val="FootnoteText"/>
        <w:jc w:val="both"/>
      </w:pPr>
      <w:r>
        <w:rPr>
          <w:rStyle w:val="FootnoteReference"/>
        </w:rPr>
        <w:footnoteRef/>
      </w:r>
      <w:r>
        <w:t xml:space="preserve"> </w:t>
      </w:r>
      <w:r>
        <w:rPr>
          <w:rFonts w:ascii="Candara" w:hAnsi="Candara"/>
          <w:sz w:val="16"/>
          <w:szCs w:val="16"/>
        </w:rPr>
        <w:t>P</w:t>
      </w:r>
      <w:r w:rsidRPr="00CA105F">
        <w:rPr>
          <w:rFonts w:ascii="Candara" w:hAnsi="Candara"/>
          <w:sz w:val="16"/>
          <w:szCs w:val="16"/>
        </w:rPr>
        <w:t>irmā kārta – IZM un VIAA projekti</w:t>
      </w:r>
      <w:r>
        <w:rPr>
          <w:rFonts w:ascii="Candara" w:hAnsi="Candara"/>
          <w:sz w:val="16"/>
          <w:szCs w:val="16"/>
        </w:rPr>
        <w:t xml:space="preserve"> tiek virzīti vienošanās slēgšanai</w:t>
      </w:r>
      <w:r w:rsidRPr="00CA105F">
        <w:rPr>
          <w:rFonts w:ascii="Candara" w:hAnsi="Candara"/>
          <w:sz w:val="16"/>
          <w:szCs w:val="16"/>
        </w:rPr>
        <w:t xml:space="preserve">; trešā kārta </w:t>
      </w:r>
      <w:r>
        <w:rPr>
          <w:rFonts w:ascii="Candara" w:hAnsi="Candara"/>
          <w:sz w:val="16"/>
          <w:szCs w:val="16"/>
        </w:rPr>
        <w:t>norisinās vērtēšana diviem</w:t>
      </w:r>
      <w:r w:rsidRPr="00CA105F">
        <w:rPr>
          <w:rFonts w:ascii="Candara" w:hAnsi="Candara"/>
          <w:sz w:val="16"/>
          <w:szCs w:val="16"/>
        </w:rPr>
        <w:t xml:space="preserve"> Eiropas Savienības pētniecības un inovāciju pamatprogrammā “Apvārsnis 2020” iesniegti</w:t>
      </w:r>
      <w:r>
        <w:rPr>
          <w:rFonts w:ascii="Candara" w:hAnsi="Candara"/>
          <w:sz w:val="16"/>
          <w:szCs w:val="16"/>
        </w:rPr>
        <w:t>em</w:t>
      </w:r>
      <w:r w:rsidRPr="00CA105F">
        <w:rPr>
          <w:rFonts w:ascii="Candara" w:hAnsi="Candara"/>
          <w:sz w:val="16"/>
          <w:szCs w:val="16"/>
        </w:rPr>
        <w:t>, virs kvalitātes sliekšņa novērtēti</w:t>
      </w:r>
      <w:r>
        <w:rPr>
          <w:rFonts w:ascii="Candara" w:hAnsi="Candara"/>
          <w:sz w:val="16"/>
          <w:szCs w:val="16"/>
        </w:rPr>
        <w:t>em</w:t>
      </w:r>
      <w:r w:rsidRPr="00CA105F">
        <w:rPr>
          <w:rFonts w:ascii="Candara" w:hAnsi="Candara"/>
          <w:sz w:val="16"/>
          <w:szCs w:val="16"/>
        </w:rPr>
        <w:t>, bet finansējumu nesaņēmuši</w:t>
      </w:r>
      <w:r>
        <w:rPr>
          <w:rFonts w:ascii="Candara" w:hAnsi="Candara"/>
          <w:sz w:val="16"/>
          <w:szCs w:val="16"/>
        </w:rPr>
        <w:t>em</w:t>
      </w:r>
      <w:r w:rsidRPr="00CA105F">
        <w:rPr>
          <w:rFonts w:ascii="Candara" w:hAnsi="Candara"/>
          <w:sz w:val="16"/>
          <w:szCs w:val="16"/>
        </w:rPr>
        <w:t xml:space="preserve"> Marijas Kirī – Sklodovskas programmas </w:t>
      </w:r>
      <w:r w:rsidRPr="005C41A3">
        <w:rPr>
          <w:rFonts w:ascii="Candara" w:hAnsi="Candara"/>
          <w:i/>
          <w:sz w:val="16"/>
          <w:szCs w:val="16"/>
        </w:rPr>
        <w:t>International Fellowships</w:t>
      </w:r>
      <w:r w:rsidRPr="00CA105F">
        <w:rPr>
          <w:rFonts w:ascii="Candara" w:hAnsi="Candara"/>
          <w:sz w:val="16"/>
          <w:szCs w:val="16"/>
        </w:rPr>
        <w:t xml:space="preserve"> projekti</w:t>
      </w:r>
      <w:r>
        <w:rPr>
          <w:rFonts w:ascii="Candara" w:hAnsi="Candara"/>
          <w:sz w:val="16"/>
          <w:szCs w:val="16"/>
        </w:rPr>
        <w:t>em</w:t>
      </w:r>
      <w:r w:rsidRPr="00CA105F">
        <w:rPr>
          <w:rFonts w:ascii="Candara" w:hAnsi="Candara"/>
          <w:sz w:val="16"/>
          <w:szCs w:val="16"/>
        </w:rPr>
        <w:t>, kas iesniegti īstenošanai p</w:t>
      </w:r>
      <w:r>
        <w:rPr>
          <w:rFonts w:ascii="Candara" w:hAnsi="Candara"/>
          <w:sz w:val="16"/>
          <w:szCs w:val="16"/>
        </w:rPr>
        <w:t>ar 1.1.1.5. pasākuma līdzekļiem</w:t>
      </w:r>
      <w:r w:rsidRPr="00CA105F">
        <w:rPr>
          <w:rFonts w:ascii="Candara" w:hAnsi="Candara"/>
          <w:sz w:val="16"/>
          <w:szCs w:val="16"/>
        </w:rPr>
        <w:t xml:space="preserve">. Savukārt otrās projektu iesniegumu atlases kārtas ietvaros zinātniskās institūcijas izstrādā projektu iesniegumus (iesniegšanas termiņš 18.01.2018.).  </w:t>
      </w:r>
    </w:p>
  </w:footnote>
  <w:footnote w:id="31">
    <w:p w:rsidR="00B55C40" w:rsidRPr="00B86F69" w:rsidP="009F2C2C" w14:paraId="2BF61DFE" w14:textId="77777777">
      <w:pPr>
        <w:spacing w:after="0" w:line="240" w:lineRule="auto"/>
        <w:ind w:left="284" w:hanging="284"/>
        <w:jc w:val="both"/>
        <w:rPr>
          <w:rFonts w:ascii="Candara" w:hAnsi="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1. Zināšanu ietilpīga bioekonomika – Inovatīvi risinājumi mežsaimniecībai un kokapstrādē; 2. Zināšanu ietilpīga bioekonomika – Inovatīvi risinājumi lauksaimniecībai un pārtikas ražošanai; 3. Biomedicīna, medicīnas tehnoloģijas, biofarmācija un biotehnoloģijas; 4. Viedie materiāli, tehnoloģijas un inženiersistēmas – Viedie materiāli; 5. Viedie materiāli, tehnoloģijas un inženiersistēmas – Modernas ražošanas tehnoloģijas un inženiersistēmas; 6.  IKT – Aparātbūve (elektronika); 7. IKT – Informācijas un komunikāciju tehnoloģijas; 8. Viedā enerģētika.</w:t>
      </w:r>
    </w:p>
  </w:footnote>
  <w:footnote w:id="32">
    <w:p w:rsidR="00B55C40" w:rsidRPr="00B86F69" w:rsidP="009F2C2C" w14:paraId="1BE95179" w14:textId="77777777">
      <w:pPr>
        <w:spacing w:after="0" w:line="240" w:lineRule="auto"/>
        <w:ind w:left="284" w:hanging="284"/>
        <w:jc w:val="both"/>
        <w:rPr>
          <w:rFonts w:ascii="Candara" w:hAnsi="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 xml:space="preserve">TPP programma sastāv no trim komponentēm: (1.) </w:t>
      </w:r>
      <w:r w:rsidRPr="00B86F69">
        <w:rPr>
          <w:rFonts w:ascii="Candara" w:eastAsia="Candara" w:hAnsi="Candara" w:cs="Candara"/>
          <w:b/>
          <w:sz w:val="16"/>
          <w:szCs w:val="16"/>
        </w:rPr>
        <w:t>Tehnoloģiju pārneses procesa veicināšana</w:t>
      </w:r>
      <w:r w:rsidRPr="00B86F69">
        <w:rPr>
          <w:rFonts w:ascii="Candara" w:eastAsia="Candara" w:hAnsi="Candara" w:cs="Candara"/>
          <w:sz w:val="16"/>
          <w:szCs w:val="16"/>
        </w:rPr>
        <w:t xml:space="preserve"> un koordinācija (Vienotā tehnoloģiju pārneses centra darbības nodrošināšana, kā arī atbalsts pētniecības organizāciju pētniecības rezultātu komercializācijai un patentēšanai); (2.) </w:t>
      </w:r>
      <w:r w:rsidRPr="00B86F69">
        <w:rPr>
          <w:rFonts w:ascii="Candara" w:eastAsia="Candara" w:hAnsi="Candara" w:cs="Candara"/>
          <w:b/>
          <w:sz w:val="16"/>
          <w:szCs w:val="16"/>
        </w:rPr>
        <w:t>Inovāciju vaučeris</w:t>
      </w:r>
      <w:r w:rsidRPr="00B86F69">
        <w:rPr>
          <w:rFonts w:ascii="Candara" w:eastAsia="Candara" w:hAnsi="Candara" w:cs="Candara"/>
          <w:sz w:val="16"/>
          <w:szCs w:val="16"/>
        </w:rPr>
        <w:t xml:space="preserve"> (atbalsts jaunu vai būtiski uzlabotu produktu vai tehnoloģiju attīstībai mikro un MVU); (3.) </w:t>
      </w:r>
      <w:r w:rsidRPr="00B86F69">
        <w:rPr>
          <w:rFonts w:ascii="Candara" w:eastAsia="Candara" w:hAnsi="Candara" w:cs="Candara"/>
          <w:b/>
          <w:sz w:val="16"/>
          <w:szCs w:val="16"/>
        </w:rPr>
        <w:t>Augstas kvalifikācijas darbinieku piesaiste</w:t>
      </w:r>
      <w:r w:rsidRPr="00B86F69">
        <w:rPr>
          <w:rFonts w:ascii="Candara" w:eastAsia="Candara" w:hAnsi="Candara" w:cs="Candara"/>
          <w:sz w:val="16"/>
          <w:szCs w:val="16"/>
        </w:rPr>
        <w:t xml:space="preserve"> (jaunuzņēmumu (start-up) atbalsta instruments augstas kvalifikācijas darba spēka piesaistei konkrētu pētniecisku aktivitāšu, tehnoloģisku problēmu risināšanai vai jaunu vai būtiski uzlabotu produktu vai tehnoloģiju izstrādei).</w:t>
      </w:r>
    </w:p>
  </w:footnote>
  <w:footnote w:id="33">
    <w:p w:rsidR="00B55C40" w:rsidRPr="00B86F69" w:rsidP="009F2C2C" w14:paraId="60E74B46" w14:textId="77777777">
      <w:pPr>
        <w:spacing w:after="0" w:line="240" w:lineRule="auto"/>
        <w:ind w:left="284" w:hanging="284"/>
        <w:rPr>
          <w:rFonts w:ascii="Candara" w:eastAsia="Candara" w:hAnsi="Candara" w:cs="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Atbalsts tiek piešķirts eksperimentālām tehnoloģijām, kuras iepriekš nav izmantotas komerciālos nolūkos – vismaz 20% no projekta izmaksām ir unikālas komponentes, 80% – esošu  detaļu iegāde.</w:t>
      </w:r>
    </w:p>
  </w:footnote>
  <w:footnote w:id="34">
    <w:p w:rsidR="00B55C40" w:rsidRPr="00B86F69" w:rsidP="009F2C2C" w14:paraId="243F9EBD" w14:textId="77777777">
      <w:pPr>
        <w:spacing w:after="0" w:line="240" w:lineRule="auto"/>
        <w:ind w:left="284" w:hanging="284"/>
        <w:jc w:val="both"/>
        <w:rPr>
          <w:rFonts w:ascii="Candara" w:eastAsia="Candara" w:hAnsi="Candara" w:cs="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Nodokļa maksātājs ir tiesīgs samazināt ar UIN apliekamo ienākumu par šādām attiecināmajām izmaksām: (1.) atlīdzība zinātniskajam un tehniskajam personālam uzņēmumos; (2.) zinātnisko institūciju pakalpojumu izmaksas; (3.) akreditēto sertifikācijas, testēšanas un kalibrēšanas iestāžu pakalpojumi.</w:t>
      </w:r>
    </w:p>
  </w:footnote>
  <w:footnote w:id="35">
    <w:p w:rsidR="00B55C40" w:rsidRPr="00B86F69" w:rsidP="009F2C2C" w14:paraId="37B97820" w14:textId="77777777">
      <w:pPr>
        <w:spacing w:after="0" w:line="240" w:lineRule="auto"/>
        <w:ind w:left="284" w:hanging="284"/>
        <w:jc w:val="both"/>
        <w:rPr>
          <w:rFonts w:ascii="Candara" w:eastAsia="Candara" w:hAnsi="Candara" w:cs="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Uzņēmumi, kas deklarējuši atlaidi, P&amp;A 2014.gadā ieguldījuši 442 tūkst. EUR, bet 2015.gadā – 1,41 milj. EUR.</w:t>
      </w:r>
    </w:p>
  </w:footnote>
  <w:footnote w:id="36">
    <w:p w:rsidR="00B55C40" w:rsidRPr="00B86F69" w:rsidP="009F2C2C" w14:paraId="614237B1" w14:textId="77777777">
      <w:pPr>
        <w:spacing w:after="0" w:line="240" w:lineRule="auto"/>
        <w:ind w:left="284" w:hanging="284"/>
        <w:jc w:val="both"/>
        <w:rPr>
          <w:rFonts w:ascii="Candara" w:eastAsia="Candara" w:hAnsi="Candara" w:cs="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MK noteikumi Nr.373 nosaka, ka, lai novērtētu komersantu P&amp;A projektu atbilstību UIN likuma 1.panta (29).daļai Ekonomikas ministrs izveido Pētniecības un attīstības darbību novērtēšanas komisiju (turpmāk – Komisija), kurā ietilpst pārstāvji no EM, IZM un LLIAA, kā arī FM un VID pārstāvji bez balss tiesībām. Komisijas lēmumiem ir ieteikuma raksturs. LR normatīvie akti (Likums par UIN un MK noteikumi Nr.373) nosaka, ka komersantam nav pienākums iesniegt projekta aprakstu izskatīšanai Komisijai. Komersants var iesniegt ikgadējo UIN deklarāciju, kurā iekļauj P&amp;A izdevumus, un P&amp;A projekts tiek iesniegts Komisijai tādā gadījumā, ja komersantam vai VID ir neskaidrības par projekta darbību atbilstību P&amp;A darbībām.</w:t>
      </w:r>
    </w:p>
  </w:footnote>
  <w:footnote w:id="37">
    <w:p w:rsidR="00B55C40" w:rsidRPr="00B86F69" w:rsidP="009F2C2C" w14:paraId="445F79DC" w14:textId="77777777">
      <w:pPr>
        <w:spacing w:after="0" w:line="240" w:lineRule="auto"/>
        <w:ind w:left="284" w:hanging="284"/>
        <w:jc w:val="both"/>
        <w:rPr>
          <w:rFonts w:ascii="Candara" w:eastAsia="Candara" w:hAnsi="Candara" w:cs="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Pētniecības un attīstības darbību novērtēšanas komisijai: 2014.gada otrajā pusgadā tika iesniegts 1 projekts, 2015. gadā – 9 projekti, 2016.gadā – 8 projekti.</w:t>
      </w:r>
    </w:p>
  </w:footnote>
  <w:footnote w:id="38">
    <w:p w:rsidR="00B55C40" w:rsidRPr="00B86F69" w:rsidP="00921BC7" w14:paraId="1DD2D0BB" w14:textId="77777777">
      <w:pPr>
        <w:spacing w:after="0" w:line="240" w:lineRule="auto"/>
        <w:jc w:val="both"/>
        <w:rPr>
          <w:rFonts w:ascii="Candara" w:eastAsia="Candara" w:hAnsi="Candara" w:cs="Candara"/>
          <w:sz w:val="16"/>
          <w:szCs w:val="16"/>
        </w:rPr>
      </w:pPr>
      <w:r w:rsidRPr="00B86F69">
        <w:rPr>
          <w:rFonts w:ascii="Candara" w:hAnsi="Candara"/>
          <w:sz w:val="16"/>
          <w:szCs w:val="16"/>
          <w:vertAlign w:val="superscript"/>
        </w:rPr>
        <w:footnoteRef/>
      </w:r>
      <w:r w:rsidRPr="00B86F69">
        <w:rPr>
          <w:rFonts w:ascii="Candara" w:eastAsia="Candara" w:hAnsi="Candara" w:cs="Candara"/>
          <w:sz w:val="16"/>
          <w:szCs w:val="16"/>
        </w:rPr>
        <w:t xml:space="preserve"> Jaunuzņēmumiem pieejams šāds valsts atbalsts:</w:t>
      </w:r>
    </w:p>
    <w:p w:rsidR="00B55C40" w:rsidRPr="00B86F69" w:rsidP="002D1F13" w14:paraId="3B9E4750" w14:textId="77777777">
      <w:pPr>
        <w:widowControl w:val="0"/>
        <w:numPr>
          <w:ilvl w:val="0"/>
          <w:numId w:val="13"/>
        </w:numPr>
        <w:spacing w:after="0" w:line="240" w:lineRule="auto"/>
        <w:ind w:left="284" w:hanging="142"/>
        <w:jc w:val="both"/>
        <w:rPr>
          <w:rFonts w:ascii="Candara" w:hAnsi="Candara"/>
          <w:sz w:val="16"/>
          <w:szCs w:val="16"/>
        </w:rPr>
      </w:pPr>
      <w:r w:rsidRPr="00B86F69">
        <w:rPr>
          <w:rFonts w:ascii="Candara" w:eastAsia="Candara" w:hAnsi="Candara" w:cs="Candara"/>
          <w:sz w:val="16"/>
          <w:szCs w:val="16"/>
        </w:rPr>
        <w:t>atbalsta programma fiksētā maksājuma veikšanai (apmērs 2x min VSAOI) ar papildus iespēju saņemt IIN un UIN (līdz 100%) atvieglojumu;</w:t>
      </w:r>
    </w:p>
    <w:p w:rsidR="00B55C40" w:rsidRPr="00B86F69" w:rsidP="002D1F13" w14:paraId="42229670" w14:textId="77777777">
      <w:pPr>
        <w:widowControl w:val="0"/>
        <w:numPr>
          <w:ilvl w:val="0"/>
          <w:numId w:val="13"/>
        </w:numPr>
        <w:spacing w:after="0" w:line="240" w:lineRule="auto"/>
        <w:ind w:left="284" w:hanging="142"/>
        <w:jc w:val="both"/>
        <w:rPr>
          <w:rFonts w:ascii="Candara" w:hAnsi="Candara"/>
          <w:sz w:val="16"/>
          <w:szCs w:val="16"/>
        </w:rPr>
      </w:pPr>
      <w:r w:rsidRPr="00B86F69">
        <w:rPr>
          <w:rFonts w:ascii="Candara" w:eastAsia="Candara" w:hAnsi="Candara" w:cs="Candara"/>
          <w:sz w:val="16"/>
          <w:szCs w:val="16"/>
        </w:rPr>
        <w:t>atbalsta programma augsti kvalificētu darba ņēmēju piesaistei (piesaistīto darbinieku atalgojuma līdzfinansējums – 45%) ar papildus iespēju piemērot UIN (līdz 100%) atvieglojumu;</w:t>
      </w:r>
    </w:p>
    <w:p w:rsidR="00B55C40" w:rsidRPr="00B86F69" w:rsidP="002D1F13" w14:paraId="43F22060" w14:textId="77777777">
      <w:pPr>
        <w:widowControl w:val="0"/>
        <w:numPr>
          <w:ilvl w:val="0"/>
          <w:numId w:val="13"/>
        </w:numPr>
        <w:spacing w:after="0" w:line="240" w:lineRule="auto"/>
        <w:ind w:left="284" w:hanging="142"/>
        <w:jc w:val="both"/>
        <w:rPr>
          <w:rFonts w:ascii="Candara" w:hAnsi="Candara"/>
          <w:sz w:val="16"/>
          <w:szCs w:val="16"/>
        </w:rPr>
      </w:pPr>
      <w:r w:rsidRPr="00B86F69">
        <w:rPr>
          <w:rFonts w:ascii="Candara" w:eastAsia="Candara" w:hAnsi="Candara" w:cs="Candara"/>
          <w:sz w:val="16"/>
          <w:szCs w:val="16"/>
        </w:rPr>
        <w:t>Kā viens no galvenajiem kritērijiem atbalsta piešķiršanai jaunuzņēmumiem noteikts kvalificēta riska kapitāla investoru vismaz 30 tūkst. euro ieguldījums jaunuzņēmuma pamatkapitālā katrā atbalsta pieteikuma iesniegšanas gadā.</w:t>
      </w:r>
    </w:p>
  </w:footnote>
  <w:footnote w:id="39">
    <w:p w:rsidR="00B55C40" w14:paraId="7271F28B" w14:textId="571E6A25">
      <w:pPr>
        <w:pStyle w:val="FootnoteText"/>
      </w:pPr>
      <w:r>
        <w:rPr>
          <w:rStyle w:val="FootnoteReference"/>
        </w:rPr>
        <w:footnoteRef/>
      </w:r>
      <w:r>
        <w:t xml:space="preserve"> Pieejams: </w:t>
      </w:r>
      <w:r w:rsidRPr="00173A38">
        <w:t>http://ej.uz/tpwi</w:t>
      </w:r>
      <w:r>
        <w:t xml:space="preserve"> , 10.lpp</w:t>
      </w:r>
    </w:p>
  </w:footnote>
  <w:footnote w:id="40">
    <w:p w:rsidR="00B55C40" w:rsidRPr="00B86F69" w:rsidP="009F2C2C" w14:paraId="3AD0ECF9" w14:textId="77777777">
      <w:pPr>
        <w:spacing w:after="0" w:line="240" w:lineRule="auto"/>
        <w:ind w:left="284" w:hanging="284"/>
        <w:jc w:val="both"/>
        <w:rPr>
          <w:rFonts w:ascii="Candara" w:hAnsi="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ES zilo karti varēs saņemt ne tikai tie ārzemnieki, kuriem ir augstākā izglītība attiecīgajā specialitātē vai nozarē, kurā tie tiek nodarbināti, bet arī tie ārzemnieki, kuriem nav augstākās izglītības attiecīgajā specialitātē vai nozarē, bet ir vismaz piecu gadu profesionāla pieredze darba līgumā noteiktajā specialitātē vai nozarē)</w:t>
      </w:r>
    </w:p>
  </w:footnote>
  <w:footnote w:id="41">
    <w:p w:rsidR="00B55C40" w:rsidRPr="00B86F69" w:rsidP="009F2C2C" w14:paraId="7C1FEE16" w14:textId="77777777">
      <w:pPr>
        <w:spacing w:after="0" w:line="240" w:lineRule="auto"/>
        <w:ind w:left="284" w:hanging="284"/>
        <w:jc w:val="both"/>
        <w:rPr>
          <w:rFonts w:ascii="Candara" w:eastAsia="Candara" w:hAnsi="Candara" w:cs="Candara"/>
          <w:sz w:val="16"/>
          <w:szCs w:val="16"/>
        </w:rPr>
      </w:pPr>
      <w:r w:rsidRPr="00B86F69">
        <w:rPr>
          <w:rFonts w:ascii="Candara" w:hAnsi="Candara"/>
          <w:sz w:val="16"/>
          <w:szCs w:val="16"/>
          <w:vertAlign w:val="superscript"/>
        </w:rPr>
        <w:footnoteRef/>
      </w:r>
      <w:r>
        <w:rPr>
          <w:rFonts w:ascii="Candara" w:eastAsia="Candara" w:hAnsi="Candara" w:cs="Candara"/>
          <w:sz w:val="16"/>
          <w:szCs w:val="16"/>
        </w:rPr>
        <w:tab/>
      </w:r>
      <w:r w:rsidRPr="00B86F69">
        <w:rPr>
          <w:rFonts w:ascii="Candara" w:eastAsia="Candara" w:hAnsi="Candara" w:cs="Candara"/>
          <w:sz w:val="16"/>
          <w:szCs w:val="16"/>
        </w:rPr>
        <w:t xml:space="preserve">Uzņēmējdarbības atklājuma process ir iekļaujošs un interaktīvs </w:t>
      </w:r>
      <w:r w:rsidRPr="00B86F69">
        <w:rPr>
          <w:rFonts w:ascii="Candara" w:eastAsia="Candara" w:hAnsi="Candara" w:cs="Candara"/>
          <w:i/>
          <w:sz w:val="16"/>
          <w:szCs w:val="16"/>
        </w:rPr>
        <w:t>bottom-up</w:t>
      </w:r>
      <w:r w:rsidRPr="00B86F69">
        <w:rPr>
          <w:rFonts w:ascii="Candara" w:eastAsia="Candara" w:hAnsi="Candara" w:cs="Candara"/>
          <w:sz w:val="16"/>
          <w:szCs w:val="16"/>
        </w:rPr>
        <w:t xml:space="preserve"> process, kurā dažādas iesaistītās puses (politikas veidotāji, uzņēmējdarbības sektors, akadēmiskās aprindas u.c.) atklāj un piedāvā informāciju par iespējamiem jauniem pasākumiem, tostarp identificē potenciālās iespējas, kas radušās, izmantojot šo mijiedarbību, savukārt politikas veidotāji iegūst iespēju novērtēt rezultātus un veidus, kā īstenot šīs potenciālās iespējas (</w:t>
      </w:r>
      <w:r>
        <w:fldChar w:fldCharType="begin"/>
      </w:r>
      <w:r>
        <w:instrText xml:space="preserve"> HYPERLINK "http://s3platform.jrc.ec.europa.eu/entrepreneurial-discovery-edp" </w:instrText>
      </w:r>
      <w:r>
        <w:fldChar w:fldCharType="separate"/>
      </w:r>
      <w:r w:rsidRPr="00B86F69">
        <w:rPr>
          <w:rFonts w:ascii="Candara" w:eastAsia="Candara" w:hAnsi="Candara" w:cs="Candara"/>
          <w:color w:val="0563C1"/>
          <w:sz w:val="16"/>
          <w:szCs w:val="16"/>
          <w:u w:val="single"/>
        </w:rPr>
        <w:t>http://s3platform.jrc.ec.europa.eu/entrepreneurial-discovery-edp</w:t>
      </w:r>
      <w:r>
        <w:fldChar w:fldCharType="end"/>
      </w:r>
      <w:r w:rsidRPr="00B86F69">
        <w:rPr>
          <w:rFonts w:ascii="Candara" w:eastAsia="Candara" w:hAnsi="Candara" w:cs="Candara"/>
          <w:sz w:val="16"/>
          <w:szCs w:val="16"/>
        </w:rPr>
        <w:t>)</w:t>
      </w:r>
    </w:p>
  </w:footnote>
  <w:footnote w:id="42">
    <w:p w:rsidR="00B55C40" w14:paraId="2CF74CC4" w14:textId="7F09A645">
      <w:pPr>
        <w:pStyle w:val="FootnoteText"/>
      </w:pPr>
      <w:r>
        <w:rPr>
          <w:rStyle w:val="FootnoteReference"/>
        </w:rPr>
        <w:footnoteRef/>
      </w:r>
      <w:r>
        <w:t xml:space="preserve"> Informatīvais ziņojums izstrādāts izpildot MK 2016. gada 8. novembra sēdes protokollēmuma Nr.60 60</w:t>
      </w:r>
      <w:bookmarkStart w:id="52" w:name="1"/>
      <w:r w:rsidRPr="00D07C56">
        <w:t xml:space="preserve"> §</w:t>
      </w:r>
      <w:bookmarkEnd w:id="52"/>
      <w:r>
        <w:t xml:space="preserve"> 4. punkta uzdevumu un IZM plāno informatīvā ziņojuma projektu iesniegt izskatīšanai MK 2018. gada februārī. </w:t>
      </w:r>
    </w:p>
  </w:footnote>
  <w:footnote w:id="43">
    <w:p w:rsidR="00B55C40" w:rsidP="00346B1F" w14:paraId="6FFDB5D4" w14:textId="09241A17">
      <w:pPr>
        <w:pStyle w:val="FootnoteText"/>
      </w:pPr>
      <w:r>
        <w:rPr>
          <w:rStyle w:val="FootnoteReference"/>
        </w:rPr>
        <w:footnoteRef/>
      </w:r>
      <w:r w:rsidRPr="006F5067">
        <w:rPr>
          <w:rFonts w:ascii="Candara" w:hAnsi="Candara"/>
          <w:sz w:val="16"/>
        </w:rPr>
        <w:t xml:space="preserve"> </w:t>
      </w:r>
      <w:r>
        <w:rPr>
          <w:rFonts w:ascii="Candara" w:hAnsi="Candara"/>
          <w:sz w:val="16"/>
        </w:rPr>
        <w:t>Norādīta</w:t>
      </w:r>
      <w:r w:rsidRPr="006F5067">
        <w:rPr>
          <w:rFonts w:ascii="Candara" w:hAnsi="Candara"/>
          <w:sz w:val="16"/>
        </w:rPr>
        <w:t xml:space="preserve"> darbības programmā “Izaugsme un nodarbinātība” noteiktā iznākuma rādītāja vērtība. Vienlaikus IZM ir pieteikusi grozījumus </w:t>
      </w:r>
      <w:r>
        <w:rPr>
          <w:rFonts w:ascii="Candara" w:hAnsi="Candara"/>
          <w:sz w:val="16"/>
        </w:rPr>
        <w:t xml:space="preserve">Nr.3 </w:t>
      </w:r>
      <w:r w:rsidRPr="006F5067">
        <w:rPr>
          <w:rFonts w:ascii="Candara" w:hAnsi="Candara"/>
          <w:sz w:val="16"/>
        </w:rPr>
        <w:t>darbības programmā</w:t>
      </w:r>
      <w:r>
        <w:rPr>
          <w:rFonts w:ascii="Candara" w:hAnsi="Candara"/>
          <w:sz w:val="16"/>
        </w:rPr>
        <w:t xml:space="preserve"> “Izaugsme un nodarbinātība”</w:t>
      </w:r>
      <w:r w:rsidRPr="006F5067">
        <w:rPr>
          <w:rFonts w:ascii="Candara" w:hAnsi="Candara"/>
          <w:sz w:val="16"/>
        </w:rPr>
        <w:t xml:space="preserve">, lūdzot mainīt minētā iznākuma rādītāja struktūru atbilstoši faktiskajai situācijai, tai skaitā rosinot mazināt jaunu pētnieku skaita (jaunas P&amp;A darba vietas) vērtību. </w:t>
      </w:r>
    </w:p>
  </w:footnote>
  <w:footnote w:id="44">
    <w:p w:rsidR="00B55C40" w:rsidRPr="00220368" w:rsidP="00346B1F" w14:paraId="73357F52" w14:textId="33B4FA99">
      <w:pPr>
        <w:pStyle w:val="FootnoteText"/>
        <w:rPr>
          <w:sz w:val="16"/>
        </w:rPr>
      </w:pPr>
      <w:r w:rsidRPr="00220368">
        <w:rPr>
          <w:rStyle w:val="FootnoteReference"/>
          <w:sz w:val="16"/>
        </w:rPr>
        <w:footnoteRef/>
      </w:r>
      <w:r w:rsidRPr="00220368">
        <w:rPr>
          <w:sz w:val="16"/>
        </w:rPr>
        <w:t xml:space="preserve"> Šobrīd darbības programmā “Izaugsme un nodarbinātība” noteiktā iznākuma rādītāja vērtība. Vienlaikus vēršam uzmanību, ka IZM ir pieteikusi grozījumus darbības programmā</w:t>
      </w:r>
      <w:r>
        <w:rPr>
          <w:sz w:val="16"/>
        </w:rPr>
        <w:t xml:space="preserve"> Nr.3</w:t>
      </w:r>
      <w:r w:rsidRPr="00220368">
        <w:rPr>
          <w:sz w:val="16"/>
        </w:rPr>
        <w:t xml:space="preserve">, lūdzot mainīt minētā iznākuma rādītāja struktūru atbilstoši faktiskajai situācijai, tai skaitā rosinot mazināt jaunu pētnieku skaita (jaunas P&amp;A darba vietas) vērtību. </w:t>
      </w:r>
    </w:p>
  </w:footnote>
  <w:footnote w:id="45">
    <w:p w:rsidR="00B55C40" w:rsidRPr="006F5067" w:rsidP="00346B1F" w14:paraId="66626FFD" w14:textId="77777777">
      <w:pPr>
        <w:pStyle w:val="FootnoteText"/>
        <w:rPr>
          <w:rFonts w:ascii="Candara" w:hAnsi="Candara"/>
          <w:sz w:val="16"/>
        </w:rPr>
      </w:pPr>
      <w:r>
        <w:rPr>
          <w:rStyle w:val="FootnoteReference"/>
        </w:rPr>
        <w:footnoteRef/>
      </w:r>
      <w:r>
        <w:t xml:space="preserve"> </w:t>
      </w:r>
      <w:r w:rsidRPr="006F5067">
        <w:rPr>
          <w:rFonts w:ascii="Candara" w:hAnsi="Candara"/>
          <w:sz w:val="16"/>
        </w:rPr>
        <w:t>Norādīta darbības programmā “Izaugsme un nodarbinātība” noteiktā iznākuma rādītāja vērtība. Vienlaikus IZM ir pieteikusi grozījumus darbības programmā</w:t>
      </w:r>
      <w:r>
        <w:rPr>
          <w:rFonts w:ascii="Candara" w:hAnsi="Candara"/>
          <w:sz w:val="16"/>
        </w:rPr>
        <w:t xml:space="preserve"> “Izaugsme un nodarbinātība”</w:t>
      </w:r>
      <w:r w:rsidRPr="006F5067">
        <w:rPr>
          <w:rFonts w:ascii="Candara" w:hAnsi="Candara"/>
          <w:sz w:val="16"/>
        </w:rPr>
        <w:t xml:space="preserve">, lūdzot mainīt minētā iznākuma rādītāja struktūru atbilstoši faktiskajai situācijai, tai skaitā rosinot mazināt jaunu pētnieku skaita (jaunas P&amp;A darba vietas) vērtību. </w:t>
      </w:r>
    </w:p>
    <w:p w:rsidR="00B55C40" w:rsidP="00346B1F" w14:paraId="696F18D8"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5C40" w:rsidP="000176C1" w14:paraId="1D36A36E" w14:textId="7777777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5C40" w:rsidP="000176C1" w14:paraId="13AA6F45"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001855C4"/>
    <w:multiLevelType w:val="multilevel"/>
    <w:tmpl w:val="F2BEF402"/>
    <w:lvl w:ilvl="0">
      <w:start w:val="1"/>
      <w:numFmt w:val="decimal"/>
      <w:pStyle w:val="HE1F"/>
      <w:lvlText w:val="%1."/>
      <w:lvlJc w:val="left"/>
      <w:pPr>
        <w:ind w:left="1080" w:hanging="360"/>
      </w:pPr>
      <w:rPr>
        <w:rFonts w:hint="default"/>
      </w:rPr>
    </w:lvl>
    <w:lvl w:ilvl="1">
      <w:start w:val="1"/>
      <w:numFmt w:val="decimal"/>
      <w:pStyle w:val="HE2F"/>
      <w:isLgl/>
      <w:lvlText w:val="%1.%2."/>
      <w:lvlJc w:val="left"/>
      <w:pPr>
        <w:ind w:left="1699" w:hanging="630"/>
      </w:pPr>
      <w:rPr>
        <w:rFonts w:hint="default"/>
      </w:rPr>
    </w:lvl>
    <w:lvl w:ilvl="2">
      <w:start w:val="1"/>
      <w:numFmt w:val="decimal"/>
      <w:pStyle w:val="HE3F"/>
      <w:isLgl/>
      <w:lvlText w:val="%1.%2.%3."/>
      <w:lvlJc w:val="left"/>
      <w:pPr>
        <w:ind w:left="2138" w:hanging="720"/>
      </w:pPr>
      <w:rPr>
        <w:rFonts w:hint="default"/>
      </w:rPr>
    </w:lvl>
    <w:lvl w:ilvl="3">
      <w:start w:val="1"/>
      <w:numFmt w:val="decimal"/>
      <w:pStyle w:val="HE4F"/>
      <w:isLgl/>
      <w:lvlText w:val="%1.%2.%3.%4."/>
      <w:lvlJc w:val="left"/>
      <w:pPr>
        <w:ind w:left="2487" w:hanging="720"/>
      </w:pPr>
      <w:rPr>
        <w:rFonts w:hint="default"/>
      </w:rPr>
    </w:lvl>
    <w:lvl w:ilvl="4">
      <w:start w:val="1"/>
      <w:numFmt w:val="decimal"/>
      <w:isLgl/>
      <w:lvlText w:val="%1.%2.%3.%4.%5."/>
      <w:lvlJc w:val="left"/>
      <w:pPr>
        <w:ind w:left="3196" w:hanging="1080"/>
      </w:pPr>
      <w:rPr>
        <w:rFonts w:hint="default"/>
      </w:rPr>
    </w:lvl>
    <w:lvl w:ilvl="5">
      <w:start w:val="1"/>
      <w:numFmt w:val="decimal"/>
      <w:isLgl/>
      <w:lvlText w:val="%1.%2.%3.%4.%5.%6."/>
      <w:lvlJc w:val="left"/>
      <w:pPr>
        <w:ind w:left="3545" w:hanging="108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4603" w:hanging="1440"/>
      </w:pPr>
      <w:rPr>
        <w:rFonts w:hint="default"/>
      </w:rPr>
    </w:lvl>
    <w:lvl w:ilvl="8">
      <w:start w:val="1"/>
      <w:numFmt w:val="decimal"/>
      <w:isLgl/>
      <w:lvlText w:val="%1.%2.%3.%4.%5.%6.%7.%8.%9."/>
      <w:lvlJc w:val="left"/>
      <w:pPr>
        <w:ind w:left="5312" w:hanging="1800"/>
      </w:pPr>
      <w:rPr>
        <w:rFonts w:hint="default"/>
      </w:rPr>
    </w:lvl>
  </w:abstractNum>
  <w:abstractNum w:abstractNumId="1" w15:restartNumberingAfterBreak="1">
    <w:nsid w:val="01775946"/>
    <w:multiLevelType w:val="multilevel"/>
    <w:tmpl w:val="53F8AA7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15:restartNumberingAfterBreak="1">
    <w:nsid w:val="03C83E85"/>
    <w:multiLevelType w:val="multilevel"/>
    <w:tmpl w:val="7596644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 w15:restartNumberingAfterBreak="1">
    <w:nsid w:val="047A7C0C"/>
    <w:multiLevelType w:val="hybridMultilevel"/>
    <w:tmpl w:val="6A86123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 w15:restartNumberingAfterBreak="1">
    <w:nsid w:val="04FB37B5"/>
    <w:multiLevelType w:val="hybridMultilevel"/>
    <w:tmpl w:val="101A2B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1">
    <w:nsid w:val="09CA3DE6"/>
    <w:multiLevelType w:val="multilevel"/>
    <w:tmpl w:val="DC6E01F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1">
    <w:nsid w:val="0F5F65F8"/>
    <w:multiLevelType w:val="multilevel"/>
    <w:tmpl w:val="52A864E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 w15:restartNumberingAfterBreak="1">
    <w:nsid w:val="0FAE3B4B"/>
    <w:multiLevelType w:val="multilevel"/>
    <w:tmpl w:val="FBD0F9FE"/>
    <w:lvl w:ilvl="0">
      <w:start w:val="1"/>
      <w:numFmt w:val="decimal"/>
      <w:lvlText w:val="%1."/>
      <w:lvlJc w:val="left"/>
      <w:pPr>
        <w:ind w:left="360" w:firstLine="720"/>
      </w:pPr>
    </w:lvl>
    <w:lvl w:ilvl="1">
      <w:start w:val="11"/>
      <w:numFmt w:val="decimal"/>
      <w:lvlText w:val="%1.%2."/>
      <w:lvlJc w:val="left"/>
      <w:pPr>
        <w:ind w:left="360" w:firstLine="720"/>
      </w:pPr>
      <w:rPr>
        <w:b w:val="0"/>
      </w:rPr>
    </w:lvl>
    <w:lvl w:ilvl="2">
      <w:start w:val="1"/>
      <w:numFmt w:val="decimal"/>
      <w:lvlText w:val="%1.%2.%3."/>
      <w:lvlJc w:val="left"/>
      <w:pPr>
        <w:ind w:left="720" w:firstLine="1440"/>
      </w:pPr>
    </w:lvl>
    <w:lvl w:ilvl="3">
      <w:start w:val="1"/>
      <w:numFmt w:val="decimal"/>
      <w:lvlText w:val="%1.%2.%3.%4."/>
      <w:lvlJc w:val="left"/>
      <w:pPr>
        <w:ind w:left="720" w:firstLine="1440"/>
      </w:pPr>
    </w:lvl>
    <w:lvl w:ilvl="4">
      <w:start w:val="1"/>
      <w:numFmt w:val="decimal"/>
      <w:lvlText w:val="%1.%2.%3.%4.%5."/>
      <w:lvlJc w:val="left"/>
      <w:pPr>
        <w:ind w:left="720" w:firstLine="1440"/>
      </w:pPr>
    </w:lvl>
    <w:lvl w:ilvl="5">
      <w:start w:val="1"/>
      <w:numFmt w:val="decimal"/>
      <w:lvlText w:val="%1.%2.%3.%4.%5.%6."/>
      <w:lvlJc w:val="left"/>
      <w:pPr>
        <w:ind w:left="1080" w:firstLine="2160"/>
      </w:pPr>
    </w:lvl>
    <w:lvl w:ilvl="6">
      <w:start w:val="1"/>
      <w:numFmt w:val="decimal"/>
      <w:lvlText w:val="%1.%2.%3.%4.%5.%6.%7."/>
      <w:lvlJc w:val="left"/>
      <w:pPr>
        <w:ind w:left="1080" w:firstLine="2160"/>
      </w:pPr>
    </w:lvl>
    <w:lvl w:ilvl="7">
      <w:start w:val="1"/>
      <w:numFmt w:val="decimal"/>
      <w:lvlText w:val="%1.%2.%3.%4.%5.%6.%7.%8."/>
      <w:lvlJc w:val="left"/>
      <w:pPr>
        <w:ind w:left="1440" w:firstLine="2880"/>
      </w:pPr>
    </w:lvl>
    <w:lvl w:ilvl="8">
      <w:start w:val="1"/>
      <w:numFmt w:val="decimal"/>
      <w:lvlText w:val="%1.%2.%3.%4.%5.%6.%7.%8.%9."/>
      <w:lvlJc w:val="left"/>
      <w:pPr>
        <w:ind w:left="1440" w:firstLine="2880"/>
      </w:pPr>
    </w:lvl>
  </w:abstractNum>
  <w:abstractNum w:abstractNumId="8" w15:restartNumberingAfterBreak="1">
    <w:nsid w:val="13D3386C"/>
    <w:multiLevelType w:val="multilevel"/>
    <w:tmpl w:val="9A3ECE10"/>
    <w:lvl w:ilvl="0">
      <w:start w:val="1"/>
      <w:numFmt w:val="decimal"/>
      <w:lvlText w:val="4.%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15:restartNumberingAfterBreak="1">
    <w:nsid w:val="14DC01BC"/>
    <w:multiLevelType w:val="multilevel"/>
    <w:tmpl w:val="8AAEC4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1">
    <w:nsid w:val="188B3451"/>
    <w:multiLevelType w:val="multilevel"/>
    <w:tmpl w:val="7660CB2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1">
    <w:nsid w:val="19267A5A"/>
    <w:multiLevelType w:val="multilevel"/>
    <w:tmpl w:val="2E585D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1">
    <w:nsid w:val="1C214CB7"/>
    <w:multiLevelType w:val="multilevel"/>
    <w:tmpl w:val="B1E64712"/>
    <w:lvl w:ilvl="0">
      <w:start w:val="1"/>
      <w:numFmt w:val="decimal"/>
      <w:lvlText w:val="%1."/>
      <w:lvlJc w:val="left"/>
      <w:pPr>
        <w:ind w:left="360" w:firstLine="720"/>
      </w:pPr>
    </w:lvl>
    <w:lvl w:ilvl="1">
      <w:start w:val="2"/>
      <w:numFmt w:val="decimal"/>
      <w:lvlText w:val="%1.%2."/>
      <w:lvlJc w:val="left"/>
      <w:pPr>
        <w:ind w:left="360" w:firstLine="720"/>
      </w:pPr>
      <w:rPr>
        <w:b w:val="0"/>
      </w:rPr>
    </w:lvl>
    <w:lvl w:ilvl="2">
      <w:start w:val="1"/>
      <w:numFmt w:val="decimal"/>
      <w:lvlText w:val="%1.%2.%3."/>
      <w:lvlJc w:val="left"/>
      <w:pPr>
        <w:ind w:left="720" w:firstLine="1440"/>
      </w:pPr>
    </w:lvl>
    <w:lvl w:ilvl="3">
      <w:start w:val="1"/>
      <w:numFmt w:val="decimal"/>
      <w:lvlText w:val="%1.%2.%3.%4."/>
      <w:lvlJc w:val="left"/>
      <w:pPr>
        <w:ind w:left="720" w:firstLine="1440"/>
      </w:pPr>
    </w:lvl>
    <w:lvl w:ilvl="4">
      <w:start w:val="1"/>
      <w:numFmt w:val="decimal"/>
      <w:lvlText w:val="%1.%2.%3.%4.%5."/>
      <w:lvlJc w:val="left"/>
      <w:pPr>
        <w:ind w:left="720" w:firstLine="1440"/>
      </w:pPr>
    </w:lvl>
    <w:lvl w:ilvl="5">
      <w:start w:val="1"/>
      <w:numFmt w:val="decimal"/>
      <w:lvlText w:val="%1.%2.%3.%4.%5.%6."/>
      <w:lvlJc w:val="left"/>
      <w:pPr>
        <w:ind w:left="1080" w:firstLine="2160"/>
      </w:pPr>
    </w:lvl>
    <w:lvl w:ilvl="6">
      <w:start w:val="1"/>
      <w:numFmt w:val="decimal"/>
      <w:lvlText w:val="%1.%2.%3.%4.%5.%6.%7."/>
      <w:lvlJc w:val="left"/>
      <w:pPr>
        <w:ind w:left="1080" w:firstLine="2160"/>
      </w:pPr>
    </w:lvl>
    <w:lvl w:ilvl="7">
      <w:start w:val="1"/>
      <w:numFmt w:val="decimal"/>
      <w:lvlText w:val="%1.%2.%3.%4.%5.%6.%7.%8."/>
      <w:lvlJc w:val="left"/>
      <w:pPr>
        <w:ind w:left="1440" w:firstLine="2880"/>
      </w:pPr>
    </w:lvl>
    <w:lvl w:ilvl="8">
      <w:start w:val="1"/>
      <w:numFmt w:val="decimal"/>
      <w:lvlText w:val="%1.%2.%3.%4.%5.%6.%7.%8.%9."/>
      <w:lvlJc w:val="left"/>
      <w:pPr>
        <w:ind w:left="1440" w:firstLine="2880"/>
      </w:pPr>
    </w:lvl>
  </w:abstractNum>
  <w:abstractNum w:abstractNumId="13" w15:restartNumberingAfterBreak="1">
    <w:nsid w:val="1E5C73E9"/>
    <w:multiLevelType w:val="multilevel"/>
    <w:tmpl w:val="E15C1D3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1">
    <w:nsid w:val="1F0B22E1"/>
    <w:multiLevelType w:val="multilevel"/>
    <w:tmpl w:val="ADD442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1">
    <w:nsid w:val="218E0594"/>
    <w:multiLevelType w:val="hybridMultilevel"/>
    <w:tmpl w:val="3D1E034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1">
    <w:nsid w:val="22F716F8"/>
    <w:multiLevelType w:val="multilevel"/>
    <w:tmpl w:val="A2AC185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15:restartNumberingAfterBreak="1">
    <w:nsid w:val="29B53ECD"/>
    <w:multiLevelType w:val="hybridMultilevel"/>
    <w:tmpl w:val="D744CCCE"/>
    <w:lvl w:ilvl="0">
      <w:start w:val="1"/>
      <w:numFmt w:val="bullet"/>
      <w:lvlText w:val=""/>
      <w:lvlJc w:val="left"/>
      <w:pPr>
        <w:ind w:left="720" w:hanging="360"/>
      </w:pPr>
      <w:rPr>
        <w:rFonts w:ascii="Symbol" w:hAnsi="Symbol" w:hint="default"/>
      </w:rPr>
    </w:lvl>
    <w:lvl w:ilvl="1">
      <w:start w:val="0"/>
      <w:numFmt w:val="bullet"/>
      <w:lvlText w:val="-"/>
      <w:lvlJc w:val="left"/>
      <w:pPr>
        <w:ind w:left="1440" w:hanging="360"/>
      </w:pPr>
      <w:rPr>
        <w:rFonts w:ascii="Candara" w:hAnsi="Candara"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1">
    <w:nsid w:val="29BA06BE"/>
    <w:multiLevelType w:val="hybridMultilevel"/>
    <w:tmpl w:val="57BC2684"/>
    <w:lvl w:ilvl="0">
      <w:start w:val="1"/>
      <w:numFmt w:val="bullet"/>
      <w:lvlText w:val=""/>
      <w:lvlJc w:val="left"/>
      <w:pPr>
        <w:ind w:left="78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1">
    <w:nsid w:val="2ACB7251"/>
    <w:multiLevelType w:val="hybridMultilevel"/>
    <w:tmpl w:val="BE8C9094"/>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15:restartNumberingAfterBreak="1">
    <w:nsid w:val="2C032F73"/>
    <w:multiLevelType w:val="multilevel"/>
    <w:tmpl w:val="3A2E88E2"/>
    <w:lvl w:ilvl="0">
      <w:start w:val="1"/>
      <w:numFmt w:val="decimal"/>
      <w:lvlText w:val="2.%1."/>
      <w:lvlJc w:val="left"/>
      <w:pPr>
        <w:ind w:left="720" w:firstLine="1080"/>
      </w:pPr>
      <w:rPr>
        <w:b w:val="0"/>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1" w15:restartNumberingAfterBreak="1">
    <w:nsid w:val="2D9157B7"/>
    <w:multiLevelType w:val="multilevel"/>
    <w:tmpl w:val="B2D4FD50"/>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2" w15:restartNumberingAfterBreak="1">
    <w:nsid w:val="2E1D587F"/>
    <w:multiLevelType w:val="multilevel"/>
    <w:tmpl w:val="B5ECBF8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3" w15:restartNumberingAfterBreak="1">
    <w:nsid w:val="30FA1218"/>
    <w:multiLevelType w:val="multilevel"/>
    <w:tmpl w:val="BE2C11D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4" w15:restartNumberingAfterBreak="1">
    <w:nsid w:val="3359093E"/>
    <w:multiLevelType w:val="multilevel"/>
    <w:tmpl w:val="8F008C1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5" w15:restartNumberingAfterBreak="1">
    <w:nsid w:val="36040337"/>
    <w:multiLevelType w:val="hybridMultilevel"/>
    <w:tmpl w:val="94505B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1">
    <w:nsid w:val="38140ADF"/>
    <w:multiLevelType w:val="multilevel"/>
    <w:tmpl w:val="6ED0A96E"/>
    <w:lvl w:ilvl="0">
      <w:start w:val="3"/>
      <w:numFmt w:val="decimal"/>
      <w:lvlText w:val="5.%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1">
    <w:nsid w:val="3D466F26"/>
    <w:multiLevelType w:val="hybridMultilevel"/>
    <w:tmpl w:val="562EAF06"/>
    <w:lvl w:ilvl="0">
      <w:start w:val="0"/>
      <w:numFmt w:val="bullet"/>
      <w:pStyle w:val="BulletsF"/>
      <w:lvlText w:val="•"/>
      <w:lvlJc w:val="left"/>
      <w:pPr>
        <w:ind w:left="1069" w:hanging="360"/>
      </w:pPr>
      <w:rPr>
        <w:rFonts w:ascii="Times New Roman" w:eastAsia="Times New Roman" w:hAnsi="Times New Roman" w:hint="default"/>
        <w:i/>
        <w:color w:val="4F81BD"/>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1">
    <w:nsid w:val="41F22991"/>
    <w:multiLevelType w:val="hybridMultilevel"/>
    <w:tmpl w:val="AD3C4D3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1">
    <w:nsid w:val="42B85C2B"/>
    <w:multiLevelType w:val="multilevel"/>
    <w:tmpl w:val="6644BEB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0" w15:restartNumberingAfterBreak="1">
    <w:nsid w:val="4393227F"/>
    <w:multiLevelType w:val="multilevel"/>
    <w:tmpl w:val="32E4B5C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1" w15:restartNumberingAfterBreak="1">
    <w:nsid w:val="445116A4"/>
    <w:multiLevelType w:val="multilevel"/>
    <w:tmpl w:val="8AB233A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2" w15:restartNumberingAfterBreak="1">
    <w:nsid w:val="45A916F5"/>
    <w:multiLevelType w:val="hybridMultilevel"/>
    <w:tmpl w:val="EB0A943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1">
    <w:nsid w:val="45F62446"/>
    <w:multiLevelType w:val="multilevel"/>
    <w:tmpl w:val="83BE7A7E"/>
    <w:lvl w:ilvl="0">
      <w:start w:val="1"/>
      <w:numFmt w:val="decimal"/>
      <w:lvlText w:val="%1.10"/>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1">
    <w:nsid w:val="46417DEC"/>
    <w:multiLevelType w:val="multilevel"/>
    <w:tmpl w:val="4D74D104"/>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1">
    <w:nsid w:val="466F5D24"/>
    <w:multiLevelType w:val="multilevel"/>
    <w:tmpl w:val="D5D4AF2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6" w15:restartNumberingAfterBreak="1">
    <w:nsid w:val="4D29637E"/>
    <w:multiLevelType w:val="multilevel"/>
    <w:tmpl w:val="6B589094"/>
    <w:lvl w:ilvl="0">
      <w:start w:val="1"/>
      <w:numFmt w:val="bullet"/>
      <w:lvlText w:val="–"/>
      <w:lvlJc w:val="left"/>
      <w:pPr>
        <w:ind w:left="765" w:firstLine="1170"/>
      </w:pPr>
      <w:rPr>
        <w:rFonts w:ascii="Arial" w:eastAsia="Arial" w:hAnsi="Arial" w:cs="Arial"/>
      </w:rPr>
    </w:lvl>
    <w:lvl w:ilvl="1">
      <w:start w:val="1"/>
      <w:numFmt w:val="bullet"/>
      <w:lvlText w:val="o"/>
      <w:lvlJc w:val="left"/>
      <w:pPr>
        <w:ind w:left="1485" w:firstLine="2610"/>
      </w:pPr>
      <w:rPr>
        <w:rFonts w:ascii="Arial" w:eastAsia="Arial" w:hAnsi="Arial" w:cs="Arial"/>
      </w:rPr>
    </w:lvl>
    <w:lvl w:ilvl="2">
      <w:start w:val="1"/>
      <w:numFmt w:val="bullet"/>
      <w:lvlText w:val="▪"/>
      <w:lvlJc w:val="left"/>
      <w:pPr>
        <w:ind w:left="2205" w:firstLine="4050"/>
      </w:pPr>
      <w:rPr>
        <w:rFonts w:ascii="Arial" w:eastAsia="Arial" w:hAnsi="Arial" w:cs="Arial"/>
      </w:rPr>
    </w:lvl>
    <w:lvl w:ilvl="3">
      <w:start w:val="1"/>
      <w:numFmt w:val="bullet"/>
      <w:lvlText w:val="●"/>
      <w:lvlJc w:val="left"/>
      <w:pPr>
        <w:ind w:left="2925" w:firstLine="5490"/>
      </w:pPr>
      <w:rPr>
        <w:rFonts w:ascii="Arial" w:eastAsia="Arial" w:hAnsi="Arial" w:cs="Arial"/>
      </w:rPr>
    </w:lvl>
    <w:lvl w:ilvl="4">
      <w:start w:val="1"/>
      <w:numFmt w:val="bullet"/>
      <w:lvlText w:val="o"/>
      <w:lvlJc w:val="left"/>
      <w:pPr>
        <w:ind w:left="3645" w:firstLine="6930"/>
      </w:pPr>
      <w:rPr>
        <w:rFonts w:ascii="Arial" w:eastAsia="Arial" w:hAnsi="Arial" w:cs="Arial"/>
      </w:rPr>
    </w:lvl>
    <w:lvl w:ilvl="5">
      <w:start w:val="1"/>
      <w:numFmt w:val="bullet"/>
      <w:lvlText w:val="▪"/>
      <w:lvlJc w:val="left"/>
      <w:pPr>
        <w:ind w:left="4365" w:firstLine="8370"/>
      </w:pPr>
      <w:rPr>
        <w:rFonts w:ascii="Arial" w:eastAsia="Arial" w:hAnsi="Arial" w:cs="Arial"/>
      </w:rPr>
    </w:lvl>
    <w:lvl w:ilvl="6">
      <w:start w:val="1"/>
      <w:numFmt w:val="bullet"/>
      <w:lvlText w:val="●"/>
      <w:lvlJc w:val="left"/>
      <w:pPr>
        <w:ind w:left="5085" w:firstLine="9810"/>
      </w:pPr>
      <w:rPr>
        <w:rFonts w:ascii="Arial" w:eastAsia="Arial" w:hAnsi="Arial" w:cs="Arial"/>
      </w:rPr>
    </w:lvl>
    <w:lvl w:ilvl="7">
      <w:start w:val="1"/>
      <w:numFmt w:val="bullet"/>
      <w:lvlText w:val="o"/>
      <w:lvlJc w:val="left"/>
      <w:pPr>
        <w:ind w:left="5805" w:firstLine="11250"/>
      </w:pPr>
      <w:rPr>
        <w:rFonts w:ascii="Arial" w:eastAsia="Arial" w:hAnsi="Arial" w:cs="Arial"/>
      </w:rPr>
    </w:lvl>
    <w:lvl w:ilvl="8">
      <w:start w:val="1"/>
      <w:numFmt w:val="bullet"/>
      <w:lvlText w:val="▪"/>
      <w:lvlJc w:val="left"/>
      <w:pPr>
        <w:ind w:left="6525" w:firstLine="12690"/>
      </w:pPr>
      <w:rPr>
        <w:rFonts w:ascii="Arial" w:eastAsia="Arial" w:hAnsi="Arial" w:cs="Arial"/>
      </w:rPr>
    </w:lvl>
  </w:abstractNum>
  <w:abstractNum w:abstractNumId="37" w15:restartNumberingAfterBreak="1">
    <w:nsid w:val="4EDC0DCD"/>
    <w:multiLevelType w:val="multilevel"/>
    <w:tmpl w:val="3494646E"/>
    <w:lvl w:ilvl="0">
      <w:start w:val="1"/>
      <w:numFmt w:val="decimal"/>
      <w:lvlText w:val="3.%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38" w15:restartNumberingAfterBreak="1">
    <w:nsid w:val="50DB161D"/>
    <w:multiLevelType w:val="multilevel"/>
    <w:tmpl w:val="2662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1">
    <w:nsid w:val="521115E2"/>
    <w:multiLevelType w:val="multilevel"/>
    <w:tmpl w:val="74DCABD2"/>
    <w:lvl w:ilvl="0">
      <w:start w:val="1"/>
      <w:numFmt w:val="decimal"/>
      <w:lvlText w:val="5.%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0" w15:restartNumberingAfterBreak="1">
    <w:nsid w:val="54ED589E"/>
    <w:multiLevelType w:val="multilevel"/>
    <w:tmpl w:val="B65C8F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15:restartNumberingAfterBreak="1">
    <w:nsid w:val="5A757919"/>
    <w:multiLevelType w:val="multilevel"/>
    <w:tmpl w:val="A274C334"/>
    <w:lvl w:ilvl="0">
      <w:start w:val="1"/>
      <w:numFmt w:val="decimal"/>
      <w:pStyle w:val="1limenis"/>
      <w:isLgl/>
      <w:lvlText w:val="%1."/>
      <w:lvlJc w:val="left"/>
      <w:pPr>
        <w:tabs>
          <w:tab w:val="num" w:pos="360"/>
        </w:tabs>
        <w:ind w:left="340" w:hanging="340"/>
      </w:pPr>
      <w:rPr>
        <w:rFonts w:hint="default"/>
      </w:rPr>
    </w:lvl>
    <w:lvl w:ilvl="1">
      <w:start w:val="1"/>
      <w:numFmt w:val="decimal"/>
      <w:pStyle w:val="2limenis"/>
      <w:lvlText w:val="%1.%2."/>
      <w:lvlJc w:val="left"/>
      <w:pPr>
        <w:tabs>
          <w:tab w:val="num" w:pos="502"/>
        </w:tabs>
        <w:ind w:left="482" w:hanging="340"/>
      </w:pPr>
      <w:rPr>
        <w:rFonts w:hint="default"/>
        <w:b/>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pStyle w:val="3limenis"/>
      <w:lvlText w:val="%1.%2.%3."/>
      <w:lvlJc w:val="left"/>
      <w:pPr>
        <w:tabs>
          <w:tab w:val="num" w:pos="927"/>
        </w:tabs>
        <w:ind w:left="907" w:hanging="340"/>
      </w:pPr>
      <w:rPr>
        <w:rFonts w:hint="default"/>
        <w:b w:val="0"/>
      </w:rPr>
    </w:lvl>
    <w:lvl w:ilvl="3">
      <w:start w:val="1"/>
      <w:numFmt w:val="decimal"/>
      <w:lvlText w:val="%1.%2.%3.%4."/>
      <w:lvlJc w:val="left"/>
      <w:pPr>
        <w:tabs>
          <w:tab w:val="num" w:pos="1041"/>
        </w:tabs>
        <w:ind w:left="1021" w:hanging="340"/>
      </w:pPr>
      <w:rPr>
        <w:rFonts w:hint="default"/>
        <w:b w:val="0"/>
      </w:rPr>
    </w:lvl>
    <w:lvl w:ilvl="4">
      <w:start w:val="1"/>
      <w:numFmt w:val="decimal"/>
      <w:lvlText w:val="%1.%2.%3.%4.%5."/>
      <w:lvlJc w:val="left"/>
      <w:pPr>
        <w:tabs>
          <w:tab w:val="num" w:pos="1268"/>
        </w:tabs>
        <w:ind w:left="1248" w:hanging="340"/>
      </w:pPr>
      <w:rPr>
        <w:rFonts w:hint="default"/>
      </w:rPr>
    </w:lvl>
    <w:lvl w:ilvl="5">
      <w:start w:val="1"/>
      <w:numFmt w:val="decimal"/>
      <w:lvlText w:val="%1.%2.%3.%4.%5.%6."/>
      <w:lvlJc w:val="left"/>
      <w:pPr>
        <w:tabs>
          <w:tab w:val="num" w:pos="1495"/>
        </w:tabs>
        <w:ind w:left="1475" w:hanging="340"/>
      </w:pPr>
      <w:rPr>
        <w:rFonts w:hint="default"/>
      </w:rPr>
    </w:lvl>
    <w:lvl w:ilvl="6">
      <w:start w:val="1"/>
      <w:numFmt w:val="decimal"/>
      <w:lvlText w:val="%1.%2.%3.%4.%5.%6.%7."/>
      <w:lvlJc w:val="left"/>
      <w:pPr>
        <w:tabs>
          <w:tab w:val="num" w:pos="1722"/>
        </w:tabs>
        <w:ind w:left="1702" w:hanging="340"/>
      </w:pPr>
      <w:rPr>
        <w:rFonts w:hint="default"/>
      </w:rPr>
    </w:lvl>
    <w:lvl w:ilvl="7">
      <w:start w:val="1"/>
      <w:numFmt w:val="decimal"/>
      <w:lvlText w:val="%1.%2.%3.%4.%5.%6.%7.%8."/>
      <w:lvlJc w:val="left"/>
      <w:pPr>
        <w:tabs>
          <w:tab w:val="num" w:pos="1949"/>
        </w:tabs>
        <w:ind w:left="1929" w:hanging="340"/>
      </w:pPr>
      <w:rPr>
        <w:rFonts w:hint="default"/>
      </w:rPr>
    </w:lvl>
    <w:lvl w:ilvl="8">
      <w:start w:val="1"/>
      <w:numFmt w:val="decimal"/>
      <w:lvlText w:val="%1.%2.%3.%4.%5.%6.%7.%8.%9."/>
      <w:lvlJc w:val="left"/>
      <w:pPr>
        <w:tabs>
          <w:tab w:val="num" w:pos="2176"/>
        </w:tabs>
        <w:ind w:left="2156" w:hanging="340"/>
      </w:pPr>
      <w:rPr>
        <w:rFonts w:hint="default"/>
      </w:rPr>
    </w:lvl>
  </w:abstractNum>
  <w:abstractNum w:abstractNumId="42" w15:restartNumberingAfterBreak="1">
    <w:nsid w:val="5DD73ABB"/>
    <w:multiLevelType w:val="hybridMultilevel"/>
    <w:tmpl w:val="B54C9A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15:restartNumberingAfterBreak="1">
    <w:nsid w:val="61AB1DFC"/>
    <w:multiLevelType w:val="multilevel"/>
    <w:tmpl w:val="01FA10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1">
    <w:nsid w:val="620A54E4"/>
    <w:multiLevelType w:val="multilevel"/>
    <w:tmpl w:val="0FDE267C"/>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5" w15:restartNumberingAfterBreak="1">
    <w:nsid w:val="63A85DD4"/>
    <w:multiLevelType w:val="multilevel"/>
    <w:tmpl w:val="9E5A62C2"/>
    <w:lvl w:ilvl="0">
      <w:start w:val="1"/>
      <w:numFmt w:val="decimal"/>
      <w:lvlText w:val="6.%1."/>
      <w:lvlJc w:val="left"/>
      <w:pPr>
        <w:ind w:left="720" w:firstLine="1080"/>
      </w:pPr>
      <w:rPr>
        <w:b w:val="0"/>
        <w:sz w:val="18"/>
        <w:szCs w:val="18"/>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6" w15:restartNumberingAfterBreak="1">
    <w:nsid w:val="66407559"/>
    <w:multiLevelType w:val="multilevel"/>
    <w:tmpl w:val="35289EE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7" w15:restartNumberingAfterBreak="1">
    <w:nsid w:val="672B225A"/>
    <w:multiLevelType w:val="hybridMultilevel"/>
    <w:tmpl w:val="CCB27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15:restartNumberingAfterBreak="1">
    <w:nsid w:val="6A463E4F"/>
    <w:multiLevelType w:val="multilevel"/>
    <w:tmpl w:val="5E3A6122"/>
    <w:lvl w:ilvl="0">
      <w:start w:val="2"/>
      <w:numFmt w:val="decimal"/>
      <w:lvlText w:val="5.%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9" w15:restartNumberingAfterBreak="1">
    <w:nsid w:val="6AA638BD"/>
    <w:multiLevelType w:val="multilevel"/>
    <w:tmpl w:val="D6F05F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1">
    <w:nsid w:val="6BC705DA"/>
    <w:multiLevelType w:val="hybridMultilevel"/>
    <w:tmpl w:val="4CB8B7C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15:restartNumberingAfterBreak="1">
    <w:nsid w:val="6E3E15A7"/>
    <w:multiLevelType w:val="multilevel"/>
    <w:tmpl w:val="C4FA2A9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2" w15:restartNumberingAfterBreak="1">
    <w:nsid w:val="6F40493B"/>
    <w:multiLevelType w:val="hybridMultilevel"/>
    <w:tmpl w:val="9C1E9794"/>
    <w:lvl w:ilvl="0">
      <w:start w:val="1"/>
      <w:numFmt w:val="decimal"/>
      <w:pStyle w:val="NumberedF"/>
      <w:lvlText w:val="%1."/>
      <w:lvlJc w:val="left"/>
      <w:pPr>
        <w:ind w:left="1077" w:hanging="360"/>
      </w:pPr>
    </w:lvl>
    <w:lvl w:ilvl="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53" w15:restartNumberingAfterBreak="1">
    <w:nsid w:val="70291B52"/>
    <w:multiLevelType w:val="multilevel"/>
    <w:tmpl w:val="A39E75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15:restartNumberingAfterBreak="1">
    <w:nsid w:val="72B5508C"/>
    <w:multiLevelType w:val="hybridMultilevel"/>
    <w:tmpl w:val="3B848742"/>
    <w:lvl w:ilvl="0">
      <w:start w:val="1"/>
      <w:numFmt w:val="bullet"/>
      <w:lvlText w:val=""/>
      <w:lvlJc w:val="left"/>
      <w:pPr>
        <w:ind w:left="1210" w:hanging="360"/>
      </w:pPr>
      <w:rPr>
        <w:rFonts w:ascii="Symbol" w:hAnsi="Symbol" w:hint="default"/>
      </w:rPr>
    </w:lvl>
    <w:lvl w:ilvl="1" w:tentative="1">
      <w:start w:val="1"/>
      <w:numFmt w:val="bullet"/>
      <w:lvlText w:val="o"/>
      <w:lvlJc w:val="left"/>
      <w:pPr>
        <w:ind w:left="1930" w:hanging="360"/>
      </w:pPr>
      <w:rPr>
        <w:rFonts w:ascii="Courier New" w:hAnsi="Courier New" w:cs="Courier New" w:hint="default"/>
      </w:rPr>
    </w:lvl>
    <w:lvl w:ilvl="2" w:tentative="1">
      <w:start w:val="1"/>
      <w:numFmt w:val="bullet"/>
      <w:lvlText w:val=""/>
      <w:lvlJc w:val="left"/>
      <w:pPr>
        <w:ind w:left="2650" w:hanging="360"/>
      </w:pPr>
      <w:rPr>
        <w:rFonts w:ascii="Wingdings" w:hAnsi="Wingdings" w:hint="default"/>
      </w:rPr>
    </w:lvl>
    <w:lvl w:ilvl="3" w:tentative="1">
      <w:start w:val="1"/>
      <w:numFmt w:val="bullet"/>
      <w:lvlText w:val=""/>
      <w:lvlJc w:val="left"/>
      <w:pPr>
        <w:ind w:left="3370" w:hanging="360"/>
      </w:pPr>
      <w:rPr>
        <w:rFonts w:ascii="Symbol" w:hAnsi="Symbol" w:hint="default"/>
      </w:rPr>
    </w:lvl>
    <w:lvl w:ilvl="4" w:tentative="1">
      <w:start w:val="1"/>
      <w:numFmt w:val="bullet"/>
      <w:lvlText w:val="o"/>
      <w:lvlJc w:val="left"/>
      <w:pPr>
        <w:ind w:left="4090" w:hanging="360"/>
      </w:pPr>
      <w:rPr>
        <w:rFonts w:ascii="Courier New" w:hAnsi="Courier New" w:cs="Courier New" w:hint="default"/>
      </w:rPr>
    </w:lvl>
    <w:lvl w:ilvl="5" w:tentative="1">
      <w:start w:val="1"/>
      <w:numFmt w:val="bullet"/>
      <w:lvlText w:val=""/>
      <w:lvlJc w:val="left"/>
      <w:pPr>
        <w:ind w:left="4810" w:hanging="360"/>
      </w:pPr>
      <w:rPr>
        <w:rFonts w:ascii="Wingdings" w:hAnsi="Wingdings" w:hint="default"/>
      </w:rPr>
    </w:lvl>
    <w:lvl w:ilvl="6" w:tentative="1">
      <w:start w:val="1"/>
      <w:numFmt w:val="bullet"/>
      <w:lvlText w:val=""/>
      <w:lvlJc w:val="left"/>
      <w:pPr>
        <w:ind w:left="5530" w:hanging="360"/>
      </w:pPr>
      <w:rPr>
        <w:rFonts w:ascii="Symbol" w:hAnsi="Symbol" w:hint="default"/>
      </w:rPr>
    </w:lvl>
    <w:lvl w:ilvl="7" w:tentative="1">
      <w:start w:val="1"/>
      <w:numFmt w:val="bullet"/>
      <w:lvlText w:val="o"/>
      <w:lvlJc w:val="left"/>
      <w:pPr>
        <w:ind w:left="6250" w:hanging="360"/>
      </w:pPr>
      <w:rPr>
        <w:rFonts w:ascii="Courier New" w:hAnsi="Courier New" w:cs="Courier New" w:hint="default"/>
      </w:rPr>
    </w:lvl>
    <w:lvl w:ilvl="8" w:tentative="1">
      <w:start w:val="1"/>
      <w:numFmt w:val="bullet"/>
      <w:lvlText w:val=""/>
      <w:lvlJc w:val="left"/>
      <w:pPr>
        <w:ind w:left="6970" w:hanging="360"/>
      </w:pPr>
      <w:rPr>
        <w:rFonts w:ascii="Wingdings" w:hAnsi="Wingdings" w:hint="default"/>
      </w:rPr>
    </w:lvl>
  </w:abstractNum>
  <w:abstractNum w:abstractNumId="55" w15:restartNumberingAfterBreak="1">
    <w:nsid w:val="730D1D5D"/>
    <w:multiLevelType w:val="multilevel"/>
    <w:tmpl w:val="590447A6"/>
    <w:lvl w:ilvl="0">
      <w:start w:val="1"/>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720" w:firstLine="720"/>
      </w:pPr>
    </w:lvl>
    <w:lvl w:ilvl="4">
      <w:start w:val="1"/>
      <w:numFmt w:val="decimal"/>
      <w:lvlText w:val="%1.%2.%3.%4.%5."/>
      <w:lvlJc w:val="left"/>
      <w:pPr>
        <w:ind w:left="720" w:firstLine="720"/>
      </w:pPr>
    </w:lvl>
    <w:lvl w:ilvl="5">
      <w:start w:val="1"/>
      <w:numFmt w:val="decimal"/>
      <w:lvlText w:val="%1.%2.%3.%4.%5.%6."/>
      <w:lvlJc w:val="left"/>
      <w:pPr>
        <w:ind w:left="1080" w:firstLine="1080"/>
      </w:pPr>
    </w:lvl>
    <w:lvl w:ilvl="6">
      <w:start w:val="1"/>
      <w:numFmt w:val="decimal"/>
      <w:lvlText w:val="%1.%2.%3.%4.%5.%6.%7."/>
      <w:lvlJc w:val="left"/>
      <w:pPr>
        <w:ind w:left="1080" w:firstLine="1080"/>
      </w:pPr>
    </w:lvl>
    <w:lvl w:ilvl="7">
      <w:start w:val="1"/>
      <w:numFmt w:val="decimal"/>
      <w:lvlText w:val="%1.%2.%3.%4.%5.%6.%7.%8."/>
      <w:lvlJc w:val="left"/>
      <w:pPr>
        <w:ind w:left="1440" w:firstLine="1440"/>
      </w:pPr>
    </w:lvl>
    <w:lvl w:ilvl="8">
      <w:start w:val="1"/>
      <w:numFmt w:val="decimal"/>
      <w:lvlText w:val="%1.%2.%3.%4.%5.%6.%7.%8.%9."/>
      <w:lvlJc w:val="left"/>
      <w:pPr>
        <w:ind w:left="1440" w:firstLine="1440"/>
      </w:pPr>
    </w:lvl>
  </w:abstractNum>
  <w:abstractNum w:abstractNumId="56" w15:restartNumberingAfterBreak="1">
    <w:nsid w:val="73ED0C2E"/>
    <w:multiLevelType w:val="multilevel"/>
    <w:tmpl w:val="C346EEE6"/>
    <w:lvl w:ilvl="0">
      <w:start w:val="1"/>
      <w:numFmt w:val="bullet"/>
      <w:lvlText w:val=""/>
      <w:lvlJc w:val="left"/>
      <w:pPr>
        <w:ind w:left="720" w:firstLine="360"/>
      </w:pPr>
      <w:rPr>
        <w:rFonts w:ascii="Wingdings" w:hAnsi="Wingdings"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1">
    <w:nsid w:val="78DE2547"/>
    <w:multiLevelType w:val="multilevel"/>
    <w:tmpl w:val="93B038E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8" w15:restartNumberingAfterBreak="1">
    <w:nsid w:val="790C0658"/>
    <w:multiLevelType w:val="multilevel"/>
    <w:tmpl w:val="38E2AC3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9" w15:restartNumberingAfterBreak="1">
    <w:nsid w:val="7AEA3DB6"/>
    <w:multiLevelType w:val="multilevel"/>
    <w:tmpl w:val="5838C1D4"/>
    <w:lvl w:ilvl="0">
      <w:start w:val="4"/>
      <w:numFmt w:val="decimal"/>
      <w:lvlText w:val="5.%1."/>
      <w:lvlJc w:val="left"/>
      <w:pPr>
        <w:ind w:left="-218" w:firstLine="360"/>
      </w:pPr>
    </w:lvl>
    <w:lvl w:ilvl="1">
      <w:start w:val="1"/>
      <w:numFmt w:val="lowerLetter"/>
      <w:lvlText w:val="%2."/>
      <w:lvlJc w:val="left"/>
      <w:pPr>
        <w:ind w:left="502" w:firstLine="1080"/>
      </w:pPr>
    </w:lvl>
    <w:lvl w:ilvl="2">
      <w:start w:val="1"/>
      <w:numFmt w:val="lowerRoman"/>
      <w:lvlText w:val="%3."/>
      <w:lvlJc w:val="right"/>
      <w:pPr>
        <w:ind w:left="1222" w:firstLine="1980"/>
      </w:pPr>
    </w:lvl>
    <w:lvl w:ilvl="3">
      <w:start w:val="1"/>
      <w:numFmt w:val="decimal"/>
      <w:lvlText w:val="%4."/>
      <w:lvlJc w:val="left"/>
      <w:pPr>
        <w:ind w:left="1942" w:firstLine="2520"/>
      </w:pPr>
    </w:lvl>
    <w:lvl w:ilvl="4">
      <w:start w:val="1"/>
      <w:numFmt w:val="lowerLetter"/>
      <w:lvlText w:val="%5."/>
      <w:lvlJc w:val="left"/>
      <w:pPr>
        <w:ind w:left="2662" w:firstLine="3240"/>
      </w:pPr>
    </w:lvl>
    <w:lvl w:ilvl="5">
      <w:start w:val="1"/>
      <w:numFmt w:val="lowerRoman"/>
      <w:lvlText w:val="%6."/>
      <w:lvlJc w:val="right"/>
      <w:pPr>
        <w:ind w:left="3382" w:firstLine="4140"/>
      </w:pPr>
    </w:lvl>
    <w:lvl w:ilvl="6">
      <w:start w:val="1"/>
      <w:numFmt w:val="decimal"/>
      <w:lvlText w:val="%7."/>
      <w:lvlJc w:val="left"/>
      <w:pPr>
        <w:ind w:left="4102" w:firstLine="4680"/>
      </w:pPr>
    </w:lvl>
    <w:lvl w:ilvl="7">
      <w:start w:val="1"/>
      <w:numFmt w:val="lowerLetter"/>
      <w:lvlText w:val="%8."/>
      <w:lvlJc w:val="left"/>
      <w:pPr>
        <w:ind w:left="4822" w:firstLine="5400"/>
      </w:pPr>
    </w:lvl>
    <w:lvl w:ilvl="8">
      <w:start w:val="1"/>
      <w:numFmt w:val="lowerRoman"/>
      <w:lvlText w:val="%9."/>
      <w:lvlJc w:val="right"/>
      <w:pPr>
        <w:ind w:left="5542" w:firstLine="6300"/>
      </w:pPr>
    </w:lvl>
  </w:abstractNum>
  <w:abstractNum w:abstractNumId="60" w15:restartNumberingAfterBreak="1">
    <w:nsid w:val="7D20162A"/>
    <w:multiLevelType w:val="multilevel"/>
    <w:tmpl w:val="F22E922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num w:numId="1">
    <w:abstractNumId w:val="27"/>
  </w:num>
  <w:num w:numId="2">
    <w:abstractNumId w:val="0"/>
  </w:num>
  <w:num w:numId="3">
    <w:abstractNumId w:val="52"/>
  </w:num>
  <w:num w:numId="4">
    <w:abstractNumId w:val="28"/>
  </w:num>
  <w:num w:numId="5">
    <w:abstractNumId w:val="42"/>
  </w:num>
  <w:num w:numId="6">
    <w:abstractNumId w:val="41"/>
  </w:num>
  <w:num w:numId="7">
    <w:abstractNumId w:val="18"/>
  </w:num>
  <w:num w:numId="8">
    <w:abstractNumId w:val="38"/>
  </w:num>
  <w:num w:numId="9">
    <w:abstractNumId w:val="6"/>
  </w:num>
  <w:num w:numId="10">
    <w:abstractNumId w:val="34"/>
  </w:num>
  <w:num w:numId="11">
    <w:abstractNumId w:val="56"/>
  </w:num>
  <w:num w:numId="12">
    <w:abstractNumId w:val="9"/>
  </w:num>
  <w:num w:numId="13">
    <w:abstractNumId w:val="49"/>
  </w:num>
  <w:num w:numId="14">
    <w:abstractNumId w:val="25"/>
  </w:num>
  <w:num w:numId="15">
    <w:abstractNumId w:val="54"/>
  </w:num>
  <w:num w:numId="16">
    <w:abstractNumId w:val="17"/>
  </w:num>
  <w:num w:numId="17">
    <w:abstractNumId w:val="4"/>
  </w:num>
  <w:num w:numId="18">
    <w:abstractNumId w:val="47"/>
  </w:num>
  <w:num w:numId="19">
    <w:abstractNumId w:val="19"/>
  </w:num>
  <w:num w:numId="20">
    <w:abstractNumId w:val="3"/>
  </w:num>
  <w:num w:numId="21">
    <w:abstractNumId w:val="12"/>
  </w:num>
  <w:num w:numId="22">
    <w:abstractNumId w:val="55"/>
  </w:num>
  <w:num w:numId="23">
    <w:abstractNumId w:val="1"/>
  </w:num>
  <w:num w:numId="24">
    <w:abstractNumId w:val="60"/>
  </w:num>
  <w:num w:numId="25">
    <w:abstractNumId w:val="59"/>
  </w:num>
  <w:num w:numId="26">
    <w:abstractNumId w:val="21"/>
  </w:num>
  <w:num w:numId="27">
    <w:abstractNumId w:val="30"/>
  </w:num>
  <w:num w:numId="28">
    <w:abstractNumId w:val="26"/>
  </w:num>
  <w:num w:numId="29">
    <w:abstractNumId w:val="29"/>
  </w:num>
  <w:num w:numId="30">
    <w:abstractNumId w:val="23"/>
  </w:num>
  <w:num w:numId="31">
    <w:abstractNumId w:val="48"/>
  </w:num>
  <w:num w:numId="32">
    <w:abstractNumId w:val="46"/>
  </w:num>
  <w:num w:numId="33">
    <w:abstractNumId w:val="33"/>
  </w:num>
  <w:num w:numId="34">
    <w:abstractNumId w:val="39"/>
  </w:num>
  <w:num w:numId="35">
    <w:abstractNumId w:val="7"/>
  </w:num>
  <w:num w:numId="36">
    <w:abstractNumId w:val="14"/>
  </w:num>
  <w:num w:numId="37">
    <w:abstractNumId w:val="40"/>
  </w:num>
  <w:num w:numId="38">
    <w:abstractNumId w:val="11"/>
  </w:num>
  <w:num w:numId="39">
    <w:abstractNumId w:val="2"/>
  </w:num>
  <w:num w:numId="40">
    <w:abstractNumId w:val="44"/>
  </w:num>
  <w:num w:numId="41">
    <w:abstractNumId w:val="43"/>
  </w:num>
  <w:num w:numId="42">
    <w:abstractNumId w:val="37"/>
  </w:num>
  <w:num w:numId="43">
    <w:abstractNumId w:val="8"/>
  </w:num>
  <w:num w:numId="44">
    <w:abstractNumId w:val="57"/>
  </w:num>
  <w:num w:numId="45">
    <w:abstractNumId w:val="22"/>
  </w:num>
  <w:num w:numId="46">
    <w:abstractNumId w:val="13"/>
  </w:num>
  <w:num w:numId="47">
    <w:abstractNumId w:val="31"/>
  </w:num>
  <w:num w:numId="48">
    <w:abstractNumId w:val="36"/>
  </w:num>
  <w:num w:numId="49">
    <w:abstractNumId w:val="58"/>
  </w:num>
  <w:num w:numId="50">
    <w:abstractNumId w:val="10"/>
  </w:num>
  <w:num w:numId="51">
    <w:abstractNumId w:val="16"/>
  </w:num>
  <w:num w:numId="52">
    <w:abstractNumId w:val="20"/>
  </w:num>
  <w:num w:numId="53">
    <w:abstractNumId w:val="53"/>
  </w:num>
  <w:num w:numId="54">
    <w:abstractNumId w:val="51"/>
  </w:num>
  <w:num w:numId="55">
    <w:abstractNumId w:val="45"/>
  </w:num>
  <w:num w:numId="56">
    <w:abstractNumId w:val="5"/>
  </w:num>
  <w:num w:numId="57">
    <w:abstractNumId w:val="35"/>
  </w:num>
  <w:num w:numId="58">
    <w:abstractNumId w:val="24"/>
  </w:num>
  <w:num w:numId="59">
    <w:abstractNumId w:val="32"/>
  </w:num>
  <w:num w:numId="60">
    <w:abstractNumId w:val="50"/>
  </w:num>
  <w:num w:numId="61">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4DB"/>
    <w:rsid w:val="00003013"/>
    <w:rsid w:val="000054D3"/>
    <w:rsid w:val="00006B9E"/>
    <w:rsid w:val="00011785"/>
    <w:rsid w:val="00012356"/>
    <w:rsid w:val="00012FFE"/>
    <w:rsid w:val="00013B3B"/>
    <w:rsid w:val="000157CE"/>
    <w:rsid w:val="000176C1"/>
    <w:rsid w:val="00021C3E"/>
    <w:rsid w:val="00026310"/>
    <w:rsid w:val="00030120"/>
    <w:rsid w:val="000405D3"/>
    <w:rsid w:val="000407A3"/>
    <w:rsid w:val="000419A4"/>
    <w:rsid w:val="00042324"/>
    <w:rsid w:val="00042DD6"/>
    <w:rsid w:val="00042F23"/>
    <w:rsid w:val="00044172"/>
    <w:rsid w:val="0004558B"/>
    <w:rsid w:val="0004667F"/>
    <w:rsid w:val="00052538"/>
    <w:rsid w:val="0005347E"/>
    <w:rsid w:val="00056608"/>
    <w:rsid w:val="00057738"/>
    <w:rsid w:val="000612F7"/>
    <w:rsid w:val="00062477"/>
    <w:rsid w:val="00062E5D"/>
    <w:rsid w:val="000636D7"/>
    <w:rsid w:val="00066E50"/>
    <w:rsid w:val="000728BA"/>
    <w:rsid w:val="00073C69"/>
    <w:rsid w:val="00075EB9"/>
    <w:rsid w:val="00076601"/>
    <w:rsid w:val="00077238"/>
    <w:rsid w:val="00077601"/>
    <w:rsid w:val="00083075"/>
    <w:rsid w:val="00085CB8"/>
    <w:rsid w:val="00086B6E"/>
    <w:rsid w:val="000930CF"/>
    <w:rsid w:val="0009530C"/>
    <w:rsid w:val="000959FA"/>
    <w:rsid w:val="000A098A"/>
    <w:rsid w:val="000A362E"/>
    <w:rsid w:val="000A571B"/>
    <w:rsid w:val="000A5BF5"/>
    <w:rsid w:val="000A6E4E"/>
    <w:rsid w:val="000A725B"/>
    <w:rsid w:val="000B087B"/>
    <w:rsid w:val="000B395A"/>
    <w:rsid w:val="000C0653"/>
    <w:rsid w:val="000C1DAE"/>
    <w:rsid w:val="000C4192"/>
    <w:rsid w:val="000C4E3A"/>
    <w:rsid w:val="000C7C90"/>
    <w:rsid w:val="000D0BFE"/>
    <w:rsid w:val="000D1106"/>
    <w:rsid w:val="000D1418"/>
    <w:rsid w:val="000D1F85"/>
    <w:rsid w:val="000D294F"/>
    <w:rsid w:val="000D32D6"/>
    <w:rsid w:val="000D6546"/>
    <w:rsid w:val="000E0956"/>
    <w:rsid w:val="000E1885"/>
    <w:rsid w:val="000E1F11"/>
    <w:rsid w:val="000E35AD"/>
    <w:rsid w:val="000E5114"/>
    <w:rsid w:val="000F1903"/>
    <w:rsid w:val="000F3F61"/>
    <w:rsid w:val="000F466F"/>
    <w:rsid w:val="000F59A8"/>
    <w:rsid w:val="000F773D"/>
    <w:rsid w:val="00100DB3"/>
    <w:rsid w:val="00105231"/>
    <w:rsid w:val="00105F1D"/>
    <w:rsid w:val="00112543"/>
    <w:rsid w:val="00112E68"/>
    <w:rsid w:val="00113B1A"/>
    <w:rsid w:val="00114F60"/>
    <w:rsid w:val="0012314B"/>
    <w:rsid w:val="0012369F"/>
    <w:rsid w:val="0012482B"/>
    <w:rsid w:val="001305F1"/>
    <w:rsid w:val="001312AC"/>
    <w:rsid w:val="00133ACC"/>
    <w:rsid w:val="00133F91"/>
    <w:rsid w:val="001347E1"/>
    <w:rsid w:val="001349D5"/>
    <w:rsid w:val="001356C7"/>
    <w:rsid w:val="001361F7"/>
    <w:rsid w:val="0014008B"/>
    <w:rsid w:val="00145D30"/>
    <w:rsid w:val="00146EA2"/>
    <w:rsid w:val="00150190"/>
    <w:rsid w:val="00150915"/>
    <w:rsid w:val="00150CF0"/>
    <w:rsid w:val="00150EB5"/>
    <w:rsid w:val="00153302"/>
    <w:rsid w:val="001544DC"/>
    <w:rsid w:val="00155013"/>
    <w:rsid w:val="00155E84"/>
    <w:rsid w:val="001563E4"/>
    <w:rsid w:val="00160541"/>
    <w:rsid w:val="00161769"/>
    <w:rsid w:val="0016422D"/>
    <w:rsid w:val="00170992"/>
    <w:rsid w:val="001728EF"/>
    <w:rsid w:val="00172CA8"/>
    <w:rsid w:val="00173A38"/>
    <w:rsid w:val="00175ACF"/>
    <w:rsid w:val="001826B8"/>
    <w:rsid w:val="001859D9"/>
    <w:rsid w:val="00186CF8"/>
    <w:rsid w:val="00196854"/>
    <w:rsid w:val="001A48C2"/>
    <w:rsid w:val="001A6C18"/>
    <w:rsid w:val="001A7303"/>
    <w:rsid w:val="001B4F11"/>
    <w:rsid w:val="001B61C0"/>
    <w:rsid w:val="001B676D"/>
    <w:rsid w:val="001C18F3"/>
    <w:rsid w:val="001C31AE"/>
    <w:rsid w:val="001D52BA"/>
    <w:rsid w:val="001D6AB1"/>
    <w:rsid w:val="001E1ABE"/>
    <w:rsid w:val="001E1E5A"/>
    <w:rsid w:val="001E2ADB"/>
    <w:rsid w:val="001E5381"/>
    <w:rsid w:val="001E5AD0"/>
    <w:rsid w:val="001F1988"/>
    <w:rsid w:val="00201699"/>
    <w:rsid w:val="00202A3C"/>
    <w:rsid w:val="00211721"/>
    <w:rsid w:val="002127F5"/>
    <w:rsid w:val="00213CEC"/>
    <w:rsid w:val="00214364"/>
    <w:rsid w:val="00214E4F"/>
    <w:rsid w:val="00215E19"/>
    <w:rsid w:val="00216077"/>
    <w:rsid w:val="00220368"/>
    <w:rsid w:val="002231F4"/>
    <w:rsid w:val="002279A4"/>
    <w:rsid w:val="0023035F"/>
    <w:rsid w:val="002317D3"/>
    <w:rsid w:val="00232C83"/>
    <w:rsid w:val="00233661"/>
    <w:rsid w:val="002349E2"/>
    <w:rsid w:val="00235E44"/>
    <w:rsid w:val="00236C32"/>
    <w:rsid w:val="00241003"/>
    <w:rsid w:val="002450FE"/>
    <w:rsid w:val="00251279"/>
    <w:rsid w:val="002514D3"/>
    <w:rsid w:val="00253CB7"/>
    <w:rsid w:val="00254F9D"/>
    <w:rsid w:val="00257A07"/>
    <w:rsid w:val="00260E6E"/>
    <w:rsid w:val="00261ACE"/>
    <w:rsid w:val="00262EE7"/>
    <w:rsid w:val="00264208"/>
    <w:rsid w:val="00267C5F"/>
    <w:rsid w:val="00267F65"/>
    <w:rsid w:val="002705F7"/>
    <w:rsid w:val="00271712"/>
    <w:rsid w:val="00276423"/>
    <w:rsid w:val="00283264"/>
    <w:rsid w:val="0028747D"/>
    <w:rsid w:val="00290254"/>
    <w:rsid w:val="00291F11"/>
    <w:rsid w:val="00293839"/>
    <w:rsid w:val="00296348"/>
    <w:rsid w:val="002A1600"/>
    <w:rsid w:val="002A180A"/>
    <w:rsid w:val="002A2135"/>
    <w:rsid w:val="002A573F"/>
    <w:rsid w:val="002B0521"/>
    <w:rsid w:val="002B1CE3"/>
    <w:rsid w:val="002C4322"/>
    <w:rsid w:val="002C616B"/>
    <w:rsid w:val="002D1F13"/>
    <w:rsid w:val="002D2715"/>
    <w:rsid w:val="002D36CB"/>
    <w:rsid w:val="002D6F94"/>
    <w:rsid w:val="002E14DF"/>
    <w:rsid w:val="002E4D9D"/>
    <w:rsid w:val="002E5808"/>
    <w:rsid w:val="002F0B00"/>
    <w:rsid w:val="002F2CB6"/>
    <w:rsid w:val="002F4A31"/>
    <w:rsid w:val="002F50FB"/>
    <w:rsid w:val="002F52D0"/>
    <w:rsid w:val="002F6194"/>
    <w:rsid w:val="002F718D"/>
    <w:rsid w:val="002F77F7"/>
    <w:rsid w:val="003003A5"/>
    <w:rsid w:val="00301FD8"/>
    <w:rsid w:val="00303340"/>
    <w:rsid w:val="0030400B"/>
    <w:rsid w:val="00304312"/>
    <w:rsid w:val="003061DF"/>
    <w:rsid w:val="003065A4"/>
    <w:rsid w:val="00313308"/>
    <w:rsid w:val="00316DC1"/>
    <w:rsid w:val="00316E48"/>
    <w:rsid w:val="003175E6"/>
    <w:rsid w:val="00322BAC"/>
    <w:rsid w:val="003244E2"/>
    <w:rsid w:val="00324F94"/>
    <w:rsid w:val="0033472E"/>
    <w:rsid w:val="0033776C"/>
    <w:rsid w:val="003401E3"/>
    <w:rsid w:val="00345077"/>
    <w:rsid w:val="00346B1F"/>
    <w:rsid w:val="00350536"/>
    <w:rsid w:val="00350EB9"/>
    <w:rsid w:val="0035124D"/>
    <w:rsid w:val="00354457"/>
    <w:rsid w:val="00357144"/>
    <w:rsid w:val="0036052E"/>
    <w:rsid w:val="00361297"/>
    <w:rsid w:val="003632F0"/>
    <w:rsid w:val="0036441C"/>
    <w:rsid w:val="00364BD3"/>
    <w:rsid w:val="0036537A"/>
    <w:rsid w:val="003659D6"/>
    <w:rsid w:val="00366A3F"/>
    <w:rsid w:val="003718AF"/>
    <w:rsid w:val="003736D5"/>
    <w:rsid w:val="0037478F"/>
    <w:rsid w:val="003751D8"/>
    <w:rsid w:val="003761F5"/>
    <w:rsid w:val="00383803"/>
    <w:rsid w:val="00385D66"/>
    <w:rsid w:val="00387645"/>
    <w:rsid w:val="0039028E"/>
    <w:rsid w:val="003930F9"/>
    <w:rsid w:val="003948C7"/>
    <w:rsid w:val="00394AFF"/>
    <w:rsid w:val="003A093C"/>
    <w:rsid w:val="003A2B46"/>
    <w:rsid w:val="003A4F70"/>
    <w:rsid w:val="003B1109"/>
    <w:rsid w:val="003B3D24"/>
    <w:rsid w:val="003B4EAD"/>
    <w:rsid w:val="003B6E97"/>
    <w:rsid w:val="003C0ABB"/>
    <w:rsid w:val="003C0B5F"/>
    <w:rsid w:val="003C19AB"/>
    <w:rsid w:val="003C209F"/>
    <w:rsid w:val="003C409F"/>
    <w:rsid w:val="003C514A"/>
    <w:rsid w:val="003C6D94"/>
    <w:rsid w:val="003C7352"/>
    <w:rsid w:val="003C7490"/>
    <w:rsid w:val="003D0D4E"/>
    <w:rsid w:val="003D7680"/>
    <w:rsid w:val="003E4BBC"/>
    <w:rsid w:val="003E5287"/>
    <w:rsid w:val="003E6D68"/>
    <w:rsid w:val="003E74FB"/>
    <w:rsid w:val="003F6159"/>
    <w:rsid w:val="003F7800"/>
    <w:rsid w:val="00405A8D"/>
    <w:rsid w:val="0040682A"/>
    <w:rsid w:val="004074D2"/>
    <w:rsid w:val="00407D46"/>
    <w:rsid w:val="00410D59"/>
    <w:rsid w:val="00411536"/>
    <w:rsid w:val="00421A39"/>
    <w:rsid w:val="004222D9"/>
    <w:rsid w:val="004227B7"/>
    <w:rsid w:val="00424AFF"/>
    <w:rsid w:val="00425285"/>
    <w:rsid w:val="00427480"/>
    <w:rsid w:val="00427776"/>
    <w:rsid w:val="00427D35"/>
    <w:rsid w:val="00432B6A"/>
    <w:rsid w:val="00437E17"/>
    <w:rsid w:val="00442824"/>
    <w:rsid w:val="00442B76"/>
    <w:rsid w:val="0044621F"/>
    <w:rsid w:val="00451FB8"/>
    <w:rsid w:val="00463E9B"/>
    <w:rsid w:val="004659DE"/>
    <w:rsid w:val="00466FCA"/>
    <w:rsid w:val="00470294"/>
    <w:rsid w:val="00484132"/>
    <w:rsid w:val="0048778F"/>
    <w:rsid w:val="00497EDE"/>
    <w:rsid w:val="004A3090"/>
    <w:rsid w:val="004A3916"/>
    <w:rsid w:val="004A53FC"/>
    <w:rsid w:val="004B01D6"/>
    <w:rsid w:val="004B0451"/>
    <w:rsid w:val="004B312D"/>
    <w:rsid w:val="004B476F"/>
    <w:rsid w:val="004B52AE"/>
    <w:rsid w:val="004B5EB7"/>
    <w:rsid w:val="004C2DF3"/>
    <w:rsid w:val="004C3620"/>
    <w:rsid w:val="004C6C6E"/>
    <w:rsid w:val="004C6E79"/>
    <w:rsid w:val="004C7E5C"/>
    <w:rsid w:val="004D06D8"/>
    <w:rsid w:val="004D12FE"/>
    <w:rsid w:val="004D1AA9"/>
    <w:rsid w:val="004D236D"/>
    <w:rsid w:val="004D3391"/>
    <w:rsid w:val="004D34BC"/>
    <w:rsid w:val="004D6578"/>
    <w:rsid w:val="004D741B"/>
    <w:rsid w:val="004E03A7"/>
    <w:rsid w:val="004E1CF1"/>
    <w:rsid w:val="004F2775"/>
    <w:rsid w:val="004F371F"/>
    <w:rsid w:val="004F3C73"/>
    <w:rsid w:val="0050100F"/>
    <w:rsid w:val="00507410"/>
    <w:rsid w:val="00507FC5"/>
    <w:rsid w:val="005122D9"/>
    <w:rsid w:val="005134AF"/>
    <w:rsid w:val="00514E2E"/>
    <w:rsid w:val="005155B8"/>
    <w:rsid w:val="00516C5D"/>
    <w:rsid w:val="00517AA1"/>
    <w:rsid w:val="00520636"/>
    <w:rsid w:val="00524781"/>
    <w:rsid w:val="00525E53"/>
    <w:rsid w:val="00530813"/>
    <w:rsid w:val="005319F4"/>
    <w:rsid w:val="0053520C"/>
    <w:rsid w:val="00537745"/>
    <w:rsid w:val="005420ED"/>
    <w:rsid w:val="005433E7"/>
    <w:rsid w:val="00543E39"/>
    <w:rsid w:val="005440BB"/>
    <w:rsid w:val="00545DEB"/>
    <w:rsid w:val="005474F9"/>
    <w:rsid w:val="00550065"/>
    <w:rsid w:val="0055031E"/>
    <w:rsid w:val="0055053D"/>
    <w:rsid w:val="00551A02"/>
    <w:rsid w:val="00552465"/>
    <w:rsid w:val="00554A33"/>
    <w:rsid w:val="00555808"/>
    <w:rsid w:val="00556D76"/>
    <w:rsid w:val="00557592"/>
    <w:rsid w:val="00563C8B"/>
    <w:rsid w:val="00565822"/>
    <w:rsid w:val="0056664A"/>
    <w:rsid w:val="005721A2"/>
    <w:rsid w:val="00572A77"/>
    <w:rsid w:val="00576290"/>
    <w:rsid w:val="0057634B"/>
    <w:rsid w:val="0057731A"/>
    <w:rsid w:val="00580EB3"/>
    <w:rsid w:val="00581249"/>
    <w:rsid w:val="00592B2B"/>
    <w:rsid w:val="005944CC"/>
    <w:rsid w:val="005953EC"/>
    <w:rsid w:val="005A0A8A"/>
    <w:rsid w:val="005A0D48"/>
    <w:rsid w:val="005A291E"/>
    <w:rsid w:val="005A3D63"/>
    <w:rsid w:val="005A48A3"/>
    <w:rsid w:val="005A63FF"/>
    <w:rsid w:val="005B0220"/>
    <w:rsid w:val="005B479F"/>
    <w:rsid w:val="005B6B25"/>
    <w:rsid w:val="005B7152"/>
    <w:rsid w:val="005C41A3"/>
    <w:rsid w:val="005C4374"/>
    <w:rsid w:val="005D3EA7"/>
    <w:rsid w:val="005D5A7C"/>
    <w:rsid w:val="005D6F6D"/>
    <w:rsid w:val="005E1901"/>
    <w:rsid w:val="005E2E85"/>
    <w:rsid w:val="005E35A1"/>
    <w:rsid w:val="005E3C17"/>
    <w:rsid w:val="005E46ED"/>
    <w:rsid w:val="005E51CA"/>
    <w:rsid w:val="005F4EDC"/>
    <w:rsid w:val="00600185"/>
    <w:rsid w:val="0060270D"/>
    <w:rsid w:val="0060414D"/>
    <w:rsid w:val="00605EFE"/>
    <w:rsid w:val="006062C2"/>
    <w:rsid w:val="006114C6"/>
    <w:rsid w:val="00613867"/>
    <w:rsid w:val="00613D2D"/>
    <w:rsid w:val="006168A2"/>
    <w:rsid w:val="0062027A"/>
    <w:rsid w:val="0062138F"/>
    <w:rsid w:val="006241E7"/>
    <w:rsid w:val="006251D5"/>
    <w:rsid w:val="00625C7B"/>
    <w:rsid w:val="0062652C"/>
    <w:rsid w:val="00626A3C"/>
    <w:rsid w:val="006319A6"/>
    <w:rsid w:val="00634B1B"/>
    <w:rsid w:val="00635070"/>
    <w:rsid w:val="006354DC"/>
    <w:rsid w:val="00636EF4"/>
    <w:rsid w:val="00641B69"/>
    <w:rsid w:val="00642162"/>
    <w:rsid w:val="006436C9"/>
    <w:rsid w:val="00645D2E"/>
    <w:rsid w:val="00646F45"/>
    <w:rsid w:val="00654F8E"/>
    <w:rsid w:val="00655436"/>
    <w:rsid w:val="00656CCF"/>
    <w:rsid w:val="00660E8C"/>
    <w:rsid w:val="00660FF0"/>
    <w:rsid w:val="00663567"/>
    <w:rsid w:val="00665190"/>
    <w:rsid w:val="00665B3B"/>
    <w:rsid w:val="00666288"/>
    <w:rsid w:val="006669B1"/>
    <w:rsid w:val="006670E5"/>
    <w:rsid w:val="00667955"/>
    <w:rsid w:val="006733B7"/>
    <w:rsid w:val="00674C31"/>
    <w:rsid w:val="00675229"/>
    <w:rsid w:val="00681F34"/>
    <w:rsid w:val="00682E50"/>
    <w:rsid w:val="00684029"/>
    <w:rsid w:val="00685FBF"/>
    <w:rsid w:val="006923AF"/>
    <w:rsid w:val="00694FF6"/>
    <w:rsid w:val="0069540B"/>
    <w:rsid w:val="00695BBF"/>
    <w:rsid w:val="006A1319"/>
    <w:rsid w:val="006A1DF4"/>
    <w:rsid w:val="006A2478"/>
    <w:rsid w:val="006A6035"/>
    <w:rsid w:val="006A6349"/>
    <w:rsid w:val="006A67BB"/>
    <w:rsid w:val="006A6FDE"/>
    <w:rsid w:val="006B0B23"/>
    <w:rsid w:val="006B0DE1"/>
    <w:rsid w:val="006B171E"/>
    <w:rsid w:val="006B2AE7"/>
    <w:rsid w:val="006B3374"/>
    <w:rsid w:val="006B361E"/>
    <w:rsid w:val="006B487B"/>
    <w:rsid w:val="006B5D32"/>
    <w:rsid w:val="006B7209"/>
    <w:rsid w:val="006C4B9D"/>
    <w:rsid w:val="006C5213"/>
    <w:rsid w:val="006C74B6"/>
    <w:rsid w:val="006D08DF"/>
    <w:rsid w:val="006D1B59"/>
    <w:rsid w:val="006D1D87"/>
    <w:rsid w:val="006D3A49"/>
    <w:rsid w:val="006D3D60"/>
    <w:rsid w:val="006D4322"/>
    <w:rsid w:val="006D552C"/>
    <w:rsid w:val="006E04F3"/>
    <w:rsid w:val="006E1EE8"/>
    <w:rsid w:val="006E4B0A"/>
    <w:rsid w:val="006E509F"/>
    <w:rsid w:val="006E541A"/>
    <w:rsid w:val="006E5EEC"/>
    <w:rsid w:val="006F1857"/>
    <w:rsid w:val="006F1B72"/>
    <w:rsid w:val="006F24AE"/>
    <w:rsid w:val="006F5067"/>
    <w:rsid w:val="00702F71"/>
    <w:rsid w:val="007030FD"/>
    <w:rsid w:val="007036E5"/>
    <w:rsid w:val="00704024"/>
    <w:rsid w:val="00706985"/>
    <w:rsid w:val="00707901"/>
    <w:rsid w:val="00710403"/>
    <w:rsid w:val="00713ACE"/>
    <w:rsid w:val="0071659A"/>
    <w:rsid w:val="0072238B"/>
    <w:rsid w:val="007229D2"/>
    <w:rsid w:val="00724F02"/>
    <w:rsid w:val="007255E0"/>
    <w:rsid w:val="00730D46"/>
    <w:rsid w:val="0073369F"/>
    <w:rsid w:val="00734C8E"/>
    <w:rsid w:val="00734EED"/>
    <w:rsid w:val="00740F43"/>
    <w:rsid w:val="007427A2"/>
    <w:rsid w:val="007437FF"/>
    <w:rsid w:val="00746067"/>
    <w:rsid w:val="0075066E"/>
    <w:rsid w:val="00753188"/>
    <w:rsid w:val="00754E0D"/>
    <w:rsid w:val="00754E46"/>
    <w:rsid w:val="00755D9F"/>
    <w:rsid w:val="00756D7C"/>
    <w:rsid w:val="007601EB"/>
    <w:rsid w:val="00761596"/>
    <w:rsid w:val="00761A8A"/>
    <w:rsid w:val="00767EBA"/>
    <w:rsid w:val="007713D8"/>
    <w:rsid w:val="00772866"/>
    <w:rsid w:val="00774698"/>
    <w:rsid w:val="00776BB2"/>
    <w:rsid w:val="00777053"/>
    <w:rsid w:val="007809BC"/>
    <w:rsid w:val="00781595"/>
    <w:rsid w:val="00786ACD"/>
    <w:rsid w:val="0078761E"/>
    <w:rsid w:val="007909AC"/>
    <w:rsid w:val="00793AE0"/>
    <w:rsid w:val="00795F97"/>
    <w:rsid w:val="00796200"/>
    <w:rsid w:val="00796977"/>
    <w:rsid w:val="007A037B"/>
    <w:rsid w:val="007A2BAA"/>
    <w:rsid w:val="007A36AA"/>
    <w:rsid w:val="007B0E5C"/>
    <w:rsid w:val="007B1700"/>
    <w:rsid w:val="007B4F3B"/>
    <w:rsid w:val="007B6B4A"/>
    <w:rsid w:val="007C2C17"/>
    <w:rsid w:val="007C3F2D"/>
    <w:rsid w:val="007C505D"/>
    <w:rsid w:val="007C5614"/>
    <w:rsid w:val="007C6F73"/>
    <w:rsid w:val="007C756F"/>
    <w:rsid w:val="007D09BA"/>
    <w:rsid w:val="007D2B0C"/>
    <w:rsid w:val="007E0393"/>
    <w:rsid w:val="007E245B"/>
    <w:rsid w:val="007E4030"/>
    <w:rsid w:val="007E6A67"/>
    <w:rsid w:val="007F30CE"/>
    <w:rsid w:val="007F3216"/>
    <w:rsid w:val="007F59C3"/>
    <w:rsid w:val="007F5ED9"/>
    <w:rsid w:val="008005A7"/>
    <w:rsid w:val="00801C32"/>
    <w:rsid w:val="00801FD0"/>
    <w:rsid w:val="00804BF2"/>
    <w:rsid w:val="00804CC5"/>
    <w:rsid w:val="0080556E"/>
    <w:rsid w:val="008106E3"/>
    <w:rsid w:val="00810E58"/>
    <w:rsid w:val="00811088"/>
    <w:rsid w:val="008203ED"/>
    <w:rsid w:val="0082084E"/>
    <w:rsid w:val="00822D84"/>
    <w:rsid w:val="00823627"/>
    <w:rsid w:val="008237E8"/>
    <w:rsid w:val="00826465"/>
    <w:rsid w:val="00827F74"/>
    <w:rsid w:val="00832E0D"/>
    <w:rsid w:val="008341A4"/>
    <w:rsid w:val="00834F00"/>
    <w:rsid w:val="0084032C"/>
    <w:rsid w:val="00840712"/>
    <w:rsid w:val="00840BD1"/>
    <w:rsid w:val="00840E61"/>
    <w:rsid w:val="008451B3"/>
    <w:rsid w:val="008470F5"/>
    <w:rsid w:val="008501CD"/>
    <w:rsid w:val="00850C94"/>
    <w:rsid w:val="00851362"/>
    <w:rsid w:val="008513D8"/>
    <w:rsid w:val="00852583"/>
    <w:rsid w:val="00853808"/>
    <w:rsid w:val="00853838"/>
    <w:rsid w:val="00860A6B"/>
    <w:rsid w:val="00860B39"/>
    <w:rsid w:val="00862380"/>
    <w:rsid w:val="00862C32"/>
    <w:rsid w:val="0086387E"/>
    <w:rsid w:val="00865625"/>
    <w:rsid w:val="00865DDD"/>
    <w:rsid w:val="008664B1"/>
    <w:rsid w:val="008714DB"/>
    <w:rsid w:val="00873AA9"/>
    <w:rsid w:val="008759DE"/>
    <w:rsid w:val="00875C29"/>
    <w:rsid w:val="0087691D"/>
    <w:rsid w:val="00876E2D"/>
    <w:rsid w:val="00877C12"/>
    <w:rsid w:val="00883473"/>
    <w:rsid w:val="00883AFF"/>
    <w:rsid w:val="00883DBB"/>
    <w:rsid w:val="00885114"/>
    <w:rsid w:val="0088582E"/>
    <w:rsid w:val="00886B39"/>
    <w:rsid w:val="008934EF"/>
    <w:rsid w:val="00895416"/>
    <w:rsid w:val="0089697C"/>
    <w:rsid w:val="00896DA5"/>
    <w:rsid w:val="008A2493"/>
    <w:rsid w:val="008A2A10"/>
    <w:rsid w:val="008A2FD0"/>
    <w:rsid w:val="008A4579"/>
    <w:rsid w:val="008B1733"/>
    <w:rsid w:val="008B2C92"/>
    <w:rsid w:val="008B6124"/>
    <w:rsid w:val="008B7513"/>
    <w:rsid w:val="008B7DF6"/>
    <w:rsid w:val="008C115A"/>
    <w:rsid w:val="008C3B71"/>
    <w:rsid w:val="008C47AD"/>
    <w:rsid w:val="008C4E1B"/>
    <w:rsid w:val="008C73ED"/>
    <w:rsid w:val="008C75F3"/>
    <w:rsid w:val="008D3B9D"/>
    <w:rsid w:val="008D43FE"/>
    <w:rsid w:val="008D6448"/>
    <w:rsid w:val="008E2C1E"/>
    <w:rsid w:val="008E3569"/>
    <w:rsid w:val="008E3AE3"/>
    <w:rsid w:val="008E4035"/>
    <w:rsid w:val="008E687D"/>
    <w:rsid w:val="008F028E"/>
    <w:rsid w:val="008F097D"/>
    <w:rsid w:val="008F13D5"/>
    <w:rsid w:val="008F4E4D"/>
    <w:rsid w:val="00901832"/>
    <w:rsid w:val="00902282"/>
    <w:rsid w:val="00902870"/>
    <w:rsid w:val="0090384B"/>
    <w:rsid w:val="00904AE5"/>
    <w:rsid w:val="00912218"/>
    <w:rsid w:val="00913787"/>
    <w:rsid w:val="00914049"/>
    <w:rsid w:val="009216DF"/>
    <w:rsid w:val="00921BC7"/>
    <w:rsid w:val="00924993"/>
    <w:rsid w:val="00926349"/>
    <w:rsid w:val="009267EF"/>
    <w:rsid w:val="0092731B"/>
    <w:rsid w:val="009364A9"/>
    <w:rsid w:val="009376DC"/>
    <w:rsid w:val="009411AD"/>
    <w:rsid w:val="00945CA1"/>
    <w:rsid w:val="00946865"/>
    <w:rsid w:val="0095135A"/>
    <w:rsid w:val="00951DCF"/>
    <w:rsid w:val="0095237E"/>
    <w:rsid w:val="009524A9"/>
    <w:rsid w:val="00953BAA"/>
    <w:rsid w:val="00955D6D"/>
    <w:rsid w:val="0095604C"/>
    <w:rsid w:val="009564D9"/>
    <w:rsid w:val="00956676"/>
    <w:rsid w:val="00956EF9"/>
    <w:rsid w:val="00960F67"/>
    <w:rsid w:val="00964D44"/>
    <w:rsid w:val="00965BC6"/>
    <w:rsid w:val="00965C0A"/>
    <w:rsid w:val="00973753"/>
    <w:rsid w:val="00975706"/>
    <w:rsid w:val="00975FA6"/>
    <w:rsid w:val="00976AD4"/>
    <w:rsid w:val="0097720F"/>
    <w:rsid w:val="00980B2A"/>
    <w:rsid w:val="0098551C"/>
    <w:rsid w:val="00990024"/>
    <w:rsid w:val="009913F6"/>
    <w:rsid w:val="00995810"/>
    <w:rsid w:val="00996CD8"/>
    <w:rsid w:val="009971CC"/>
    <w:rsid w:val="009A28C7"/>
    <w:rsid w:val="009A2B13"/>
    <w:rsid w:val="009A64CC"/>
    <w:rsid w:val="009A650D"/>
    <w:rsid w:val="009B16E6"/>
    <w:rsid w:val="009B3CBC"/>
    <w:rsid w:val="009B420F"/>
    <w:rsid w:val="009B433B"/>
    <w:rsid w:val="009B58F1"/>
    <w:rsid w:val="009B5E99"/>
    <w:rsid w:val="009C0F2D"/>
    <w:rsid w:val="009C3B6B"/>
    <w:rsid w:val="009C5E19"/>
    <w:rsid w:val="009D0489"/>
    <w:rsid w:val="009D1878"/>
    <w:rsid w:val="009D1FA1"/>
    <w:rsid w:val="009D50F6"/>
    <w:rsid w:val="009D554E"/>
    <w:rsid w:val="009D5615"/>
    <w:rsid w:val="009D5AC3"/>
    <w:rsid w:val="009D6A4D"/>
    <w:rsid w:val="009D7FAD"/>
    <w:rsid w:val="009E03EE"/>
    <w:rsid w:val="009E5545"/>
    <w:rsid w:val="009E63BC"/>
    <w:rsid w:val="009E6743"/>
    <w:rsid w:val="009E680D"/>
    <w:rsid w:val="009F19CB"/>
    <w:rsid w:val="009F2C2C"/>
    <w:rsid w:val="009F4306"/>
    <w:rsid w:val="009F487C"/>
    <w:rsid w:val="009F59F2"/>
    <w:rsid w:val="009F5C62"/>
    <w:rsid w:val="009F7A68"/>
    <w:rsid w:val="00A016C5"/>
    <w:rsid w:val="00A03C12"/>
    <w:rsid w:val="00A04C42"/>
    <w:rsid w:val="00A058E3"/>
    <w:rsid w:val="00A05900"/>
    <w:rsid w:val="00A060B1"/>
    <w:rsid w:val="00A10631"/>
    <w:rsid w:val="00A110BF"/>
    <w:rsid w:val="00A11525"/>
    <w:rsid w:val="00A15392"/>
    <w:rsid w:val="00A165DF"/>
    <w:rsid w:val="00A16E1F"/>
    <w:rsid w:val="00A2199B"/>
    <w:rsid w:val="00A2221C"/>
    <w:rsid w:val="00A224B2"/>
    <w:rsid w:val="00A2414A"/>
    <w:rsid w:val="00A258D3"/>
    <w:rsid w:val="00A26433"/>
    <w:rsid w:val="00A3103F"/>
    <w:rsid w:val="00A31C76"/>
    <w:rsid w:val="00A32F1D"/>
    <w:rsid w:val="00A33F78"/>
    <w:rsid w:val="00A400D3"/>
    <w:rsid w:val="00A42B29"/>
    <w:rsid w:val="00A43037"/>
    <w:rsid w:val="00A44065"/>
    <w:rsid w:val="00A470B5"/>
    <w:rsid w:val="00A525F5"/>
    <w:rsid w:val="00A52C7D"/>
    <w:rsid w:val="00A531C7"/>
    <w:rsid w:val="00A53F6B"/>
    <w:rsid w:val="00A57DF8"/>
    <w:rsid w:val="00A603AE"/>
    <w:rsid w:val="00A62058"/>
    <w:rsid w:val="00A641DE"/>
    <w:rsid w:val="00A64713"/>
    <w:rsid w:val="00A65B70"/>
    <w:rsid w:val="00A67B28"/>
    <w:rsid w:val="00A74C87"/>
    <w:rsid w:val="00A90858"/>
    <w:rsid w:val="00A90945"/>
    <w:rsid w:val="00A92534"/>
    <w:rsid w:val="00A94670"/>
    <w:rsid w:val="00AA0989"/>
    <w:rsid w:val="00AA2653"/>
    <w:rsid w:val="00AA4E91"/>
    <w:rsid w:val="00AA7C16"/>
    <w:rsid w:val="00AA7DF4"/>
    <w:rsid w:val="00AB234C"/>
    <w:rsid w:val="00AB3823"/>
    <w:rsid w:val="00AB5BBF"/>
    <w:rsid w:val="00AB73E1"/>
    <w:rsid w:val="00AB75F0"/>
    <w:rsid w:val="00AC2550"/>
    <w:rsid w:val="00AC4A11"/>
    <w:rsid w:val="00AC69BB"/>
    <w:rsid w:val="00AD1483"/>
    <w:rsid w:val="00AD1682"/>
    <w:rsid w:val="00AD1BDF"/>
    <w:rsid w:val="00AD423E"/>
    <w:rsid w:val="00AD4B1C"/>
    <w:rsid w:val="00AD50DD"/>
    <w:rsid w:val="00AD7866"/>
    <w:rsid w:val="00AE26BB"/>
    <w:rsid w:val="00AE4994"/>
    <w:rsid w:val="00AE593D"/>
    <w:rsid w:val="00AE75A4"/>
    <w:rsid w:val="00AF03D8"/>
    <w:rsid w:val="00AF0E56"/>
    <w:rsid w:val="00AF169F"/>
    <w:rsid w:val="00AF1DCD"/>
    <w:rsid w:val="00AF24E1"/>
    <w:rsid w:val="00B01408"/>
    <w:rsid w:val="00B017CB"/>
    <w:rsid w:val="00B030F6"/>
    <w:rsid w:val="00B07C59"/>
    <w:rsid w:val="00B11AFF"/>
    <w:rsid w:val="00B12472"/>
    <w:rsid w:val="00B16DB3"/>
    <w:rsid w:val="00B21977"/>
    <w:rsid w:val="00B224B3"/>
    <w:rsid w:val="00B22D15"/>
    <w:rsid w:val="00B25D9D"/>
    <w:rsid w:val="00B26BBB"/>
    <w:rsid w:val="00B26F53"/>
    <w:rsid w:val="00B27815"/>
    <w:rsid w:val="00B3029A"/>
    <w:rsid w:val="00B3137C"/>
    <w:rsid w:val="00B3209B"/>
    <w:rsid w:val="00B32290"/>
    <w:rsid w:val="00B33B9F"/>
    <w:rsid w:val="00B34442"/>
    <w:rsid w:val="00B4006C"/>
    <w:rsid w:val="00B42CA7"/>
    <w:rsid w:val="00B4303E"/>
    <w:rsid w:val="00B4564E"/>
    <w:rsid w:val="00B4626C"/>
    <w:rsid w:val="00B5322C"/>
    <w:rsid w:val="00B54B76"/>
    <w:rsid w:val="00B554AC"/>
    <w:rsid w:val="00B55C40"/>
    <w:rsid w:val="00B561B2"/>
    <w:rsid w:val="00B56A9B"/>
    <w:rsid w:val="00B608EB"/>
    <w:rsid w:val="00B614E9"/>
    <w:rsid w:val="00B61A23"/>
    <w:rsid w:val="00B6537C"/>
    <w:rsid w:val="00B655BE"/>
    <w:rsid w:val="00B65ADA"/>
    <w:rsid w:val="00B65F17"/>
    <w:rsid w:val="00B71402"/>
    <w:rsid w:val="00B74E14"/>
    <w:rsid w:val="00B808B7"/>
    <w:rsid w:val="00B85111"/>
    <w:rsid w:val="00B85475"/>
    <w:rsid w:val="00B8601C"/>
    <w:rsid w:val="00B86D3A"/>
    <w:rsid w:val="00B86F69"/>
    <w:rsid w:val="00B9100B"/>
    <w:rsid w:val="00B91194"/>
    <w:rsid w:val="00B921B8"/>
    <w:rsid w:val="00B92BD5"/>
    <w:rsid w:val="00B93086"/>
    <w:rsid w:val="00B94CDE"/>
    <w:rsid w:val="00BA0380"/>
    <w:rsid w:val="00BA1A17"/>
    <w:rsid w:val="00BA2423"/>
    <w:rsid w:val="00BA3A9A"/>
    <w:rsid w:val="00BA4331"/>
    <w:rsid w:val="00BA548A"/>
    <w:rsid w:val="00BB0112"/>
    <w:rsid w:val="00BB2095"/>
    <w:rsid w:val="00BB247F"/>
    <w:rsid w:val="00BB3334"/>
    <w:rsid w:val="00BB3909"/>
    <w:rsid w:val="00BB58A1"/>
    <w:rsid w:val="00BB6DBD"/>
    <w:rsid w:val="00BC32B5"/>
    <w:rsid w:val="00BC3891"/>
    <w:rsid w:val="00BC38A2"/>
    <w:rsid w:val="00BC42D1"/>
    <w:rsid w:val="00BC4595"/>
    <w:rsid w:val="00BC4AD9"/>
    <w:rsid w:val="00BC6219"/>
    <w:rsid w:val="00BC6A98"/>
    <w:rsid w:val="00BC74A5"/>
    <w:rsid w:val="00BD13CC"/>
    <w:rsid w:val="00BD14F2"/>
    <w:rsid w:val="00BD46EE"/>
    <w:rsid w:val="00BD4C4B"/>
    <w:rsid w:val="00BE029D"/>
    <w:rsid w:val="00BE334C"/>
    <w:rsid w:val="00BE4DEE"/>
    <w:rsid w:val="00BE759F"/>
    <w:rsid w:val="00BF1410"/>
    <w:rsid w:val="00BF1602"/>
    <w:rsid w:val="00BF2970"/>
    <w:rsid w:val="00BF2A97"/>
    <w:rsid w:val="00BF333F"/>
    <w:rsid w:val="00BF3E4E"/>
    <w:rsid w:val="00BF420C"/>
    <w:rsid w:val="00BF4B38"/>
    <w:rsid w:val="00BF4CEA"/>
    <w:rsid w:val="00BF75E0"/>
    <w:rsid w:val="00C1078E"/>
    <w:rsid w:val="00C1136E"/>
    <w:rsid w:val="00C11AF8"/>
    <w:rsid w:val="00C12E6C"/>
    <w:rsid w:val="00C13A01"/>
    <w:rsid w:val="00C14BEE"/>
    <w:rsid w:val="00C17D33"/>
    <w:rsid w:val="00C24755"/>
    <w:rsid w:val="00C25A22"/>
    <w:rsid w:val="00C2742E"/>
    <w:rsid w:val="00C30795"/>
    <w:rsid w:val="00C35100"/>
    <w:rsid w:val="00C3609A"/>
    <w:rsid w:val="00C364EA"/>
    <w:rsid w:val="00C36607"/>
    <w:rsid w:val="00C423EA"/>
    <w:rsid w:val="00C446CE"/>
    <w:rsid w:val="00C44794"/>
    <w:rsid w:val="00C479C1"/>
    <w:rsid w:val="00C504C2"/>
    <w:rsid w:val="00C5536D"/>
    <w:rsid w:val="00C561E2"/>
    <w:rsid w:val="00C61869"/>
    <w:rsid w:val="00C62FB3"/>
    <w:rsid w:val="00C6536F"/>
    <w:rsid w:val="00C66A79"/>
    <w:rsid w:val="00C71D56"/>
    <w:rsid w:val="00C72F85"/>
    <w:rsid w:val="00C7324C"/>
    <w:rsid w:val="00C73917"/>
    <w:rsid w:val="00C82C87"/>
    <w:rsid w:val="00C844F8"/>
    <w:rsid w:val="00C8558B"/>
    <w:rsid w:val="00C91F38"/>
    <w:rsid w:val="00C9214E"/>
    <w:rsid w:val="00C92FE1"/>
    <w:rsid w:val="00C95113"/>
    <w:rsid w:val="00C9652B"/>
    <w:rsid w:val="00CA105F"/>
    <w:rsid w:val="00CA58DE"/>
    <w:rsid w:val="00CB00E9"/>
    <w:rsid w:val="00CB0A6D"/>
    <w:rsid w:val="00CB27AF"/>
    <w:rsid w:val="00CB54C0"/>
    <w:rsid w:val="00CB7F04"/>
    <w:rsid w:val="00CC0116"/>
    <w:rsid w:val="00CC03F7"/>
    <w:rsid w:val="00CC0C86"/>
    <w:rsid w:val="00CC3733"/>
    <w:rsid w:val="00CC5387"/>
    <w:rsid w:val="00CC598E"/>
    <w:rsid w:val="00CC788F"/>
    <w:rsid w:val="00CD0BC9"/>
    <w:rsid w:val="00CD3156"/>
    <w:rsid w:val="00CD3D31"/>
    <w:rsid w:val="00CD5A19"/>
    <w:rsid w:val="00CD65F2"/>
    <w:rsid w:val="00CE180D"/>
    <w:rsid w:val="00CE4C8C"/>
    <w:rsid w:val="00CE4D2D"/>
    <w:rsid w:val="00CE69A8"/>
    <w:rsid w:val="00CF182D"/>
    <w:rsid w:val="00CF340F"/>
    <w:rsid w:val="00CF3F47"/>
    <w:rsid w:val="00CF501D"/>
    <w:rsid w:val="00CF67D2"/>
    <w:rsid w:val="00CF6F4E"/>
    <w:rsid w:val="00D00427"/>
    <w:rsid w:val="00D036C8"/>
    <w:rsid w:val="00D0722B"/>
    <w:rsid w:val="00D07467"/>
    <w:rsid w:val="00D07C56"/>
    <w:rsid w:val="00D113CB"/>
    <w:rsid w:val="00D13CD1"/>
    <w:rsid w:val="00D1559D"/>
    <w:rsid w:val="00D15842"/>
    <w:rsid w:val="00D20921"/>
    <w:rsid w:val="00D21817"/>
    <w:rsid w:val="00D25C37"/>
    <w:rsid w:val="00D27B06"/>
    <w:rsid w:val="00D3090E"/>
    <w:rsid w:val="00D31531"/>
    <w:rsid w:val="00D33597"/>
    <w:rsid w:val="00D33FA1"/>
    <w:rsid w:val="00D3451C"/>
    <w:rsid w:val="00D36C7C"/>
    <w:rsid w:val="00D40E84"/>
    <w:rsid w:val="00D41596"/>
    <w:rsid w:val="00D43AE0"/>
    <w:rsid w:val="00D462D6"/>
    <w:rsid w:val="00D46D12"/>
    <w:rsid w:val="00D46E54"/>
    <w:rsid w:val="00D504DD"/>
    <w:rsid w:val="00D53AE5"/>
    <w:rsid w:val="00D541FB"/>
    <w:rsid w:val="00D544A9"/>
    <w:rsid w:val="00D55166"/>
    <w:rsid w:val="00D61998"/>
    <w:rsid w:val="00D62355"/>
    <w:rsid w:val="00D62386"/>
    <w:rsid w:val="00D641FF"/>
    <w:rsid w:val="00D64BE7"/>
    <w:rsid w:val="00D668BB"/>
    <w:rsid w:val="00D727C9"/>
    <w:rsid w:val="00D736D1"/>
    <w:rsid w:val="00D73C06"/>
    <w:rsid w:val="00D830D7"/>
    <w:rsid w:val="00D86F08"/>
    <w:rsid w:val="00D878C1"/>
    <w:rsid w:val="00D92FF7"/>
    <w:rsid w:val="00D94106"/>
    <w:rsid w:val="00D949B2"/>
    <w:rsid w:val="00D9709D"/>
    <w:rsid w:val="00DA0265"/>
    <w:rsid w:val="00DA22CE"/>
    <w:rsid w:val="00DA2C5B"/>
    <w:rsid w:val="00DA4D68"/>
    <w:rsid w:val="00DA5847"/>
    <w:rsid w:val="00DA622B"/>
    <w:rsid w:val="00DB1967"/>
    <w:rsid w:val="00DB6263"/>
    <w:rsid w:val="00DB6F4D"/>
    <w:rsid w:val="00DB7493"/>
    <w:rsid w:val="00DB7820"/>
    <w:rsid w:val="00DC008F"/>
    <w:rsid w:val="00DC2587"/>
    <w:rsid w:val="00DC393B"/>
    <w:rsid w:val="00DC43F5"/>
    <w:rsid w:val="00DD00E8"/>
    <w:rsid w:val="00DD0EB8"/>
    <w:rsid w:val="00DE5009"/>
    <w:rsid w:val="00DE738A"/>
    <w:rsid w:val="00DF13E7"/>
    <w:rsid w:val="00DF13F0"/>
    <w:rsid w:val="00DF18C6"/>
    <w:rsid w:val="00DF2882"/>
    <w:rsid w:val="00DF28BB"/>
    <w:rsid w:val="00DF331F"/>
    <w:rsid w:val="00DF469B"/>
    <w:rsid w:val="00DF46E9"/>
    <w:rsid w:val="00E02999"/>
    <w:rsid w:val="00E031D5"/>
    <w:rsid w:val="00E044D1"/>
    <w:rsid w:val="00E060A1"/>
    <w:rsid w:val="00E06C6C"/>
    <w:rsid w:val="00E10013"/>
    <w:rsid w:val="00E12B7F"/>
    <w:rsid w:val="00E131AD"/>
    <w:rsid w:val="00E15883"/>
    <w:rsid w:val="00E20D80"/>
    <w:rsid w:val="00E21C31"/>
    <w:rsid w:val="00E21D4A"/>
    <w:rsid w:val="00E26F95"/>
    <w:rsid w:val="00E30C5A"/>
    <w:rsid w:val="00E31AF8"/>
    <w:rsid w:val="00E32DDC"/>
    <w:rsid w:val="00E33F68"/>
    <w:rsid w:val="00E343A4"/>
    <w:rsid w:val="00E3471F"/>
    <w:rsid w:val="00E4341F"/>
    <w:rsid w:val="00E43970"/>
    <w:rsid w:val="00E43AC3"/>
    <w:rsid w:val="00E50B85"/>
    <w:rsid w:val="00E54D4E"/>
    <w:rsid w:val="00E55137"/>
    <w:rsid w:val="00E5585A"/>
    <w:rsid w:val="00E55C87"/>
    <w:rsid w:val="00E623EB"/>
    <w:rsid w:val="00E628EE"/>
    <w:rsid w:val="00E631FD"/>
    <w:rsid w:val="00E65D6E"/>
    <w:rsid w:val="00E70EAC"/>
    <w:rsid w:val="00E74D21"/>
    <w:rsid w:val="00E75394"/>
    <w:rsid w:val="00E8014E"/>
    <w:rsid w:val="00E81B09"/>
    <w:rsid w:val="00E84C10"/>
    <w:rsid w:val="00E86C1A"/>
    <w:rsid w:val="00E90659"/>
    <w:rsid w:val="00E90A5D"/>
    <w:rsid w:val="00E938A3"/>
    <w:rsid w:val="00EA22E5"/>
    <w:rsid w:val="00EA7571"/>
    <w:rsid w:val="00EB11EC"/>
    <w:rsid w:val="00EB129F"/>
    <w:rsid w:val="00EB1680"/>
    <w:rsid w:val="00EB351A"/>
    <w:rsid w:val="00EB534C"/>
    <w:rsid w:val="00EB53CF"/>
    <w:rsid w:val="00EC1FA9"/>
    <w:rsid w:val="00EC206C"/>
    <w:rsid w:val="00EC44C3"/>
    <w:rsid w:val="00EC4FCB"/>
    <w:rsid w:val="00EC698A"/>
    <w:rsid w:val="00ED20CF"/>
    <w:rsid w:val="00EE18E1"/>
    <w:rsid w:val="00EE25F1"/>
    <w:rsid w:val="00EE493C"/>
    <w:rsid w:val="00EE56DF"/>
    <w:rsid w:val="00EF0856"/>
    <w:rsid w:val="00EF3345"/>
    <w:rsid w:val="00EF3DE5"/>
    <w:rsid w:val="00EF485F"/>
    <w:rsid w:val="00EF5CD8"/>
    <w:rsid w:val="00F0137C"/>
    <w:rsid w:val="00F1035B"/>
    <w:rsid w:val="00F161A4"/>
    <w:rsid w:val="00F1727C"/>
    <w:rsid w:val="00F2012D"/>
    <w:rsid w:val="00F21492"/>
    <w:rsid w:val="00F21AD6"/>
    <w:rsid w:val="00F229D8"/>
    <w:rsid w:val="00F233AC"/>
    <w:rsid w:val="00F24D27"/>
    <w:rsid w:val="00F27E41"/>
    <w:rsid w:val="00F30C5C"/>
    <w:rsid w:val="00F338A0"/>
    <w:rsid w:val="00F3640D"/>
    <w:rsid w:val="00F40068"/>
    <w:rsid w:val="00F427C2"/>
    <w:rsid w:val="00F438FA"/>
    <w:rsid w:val="00F44114"/>
    <w:rsid w:val="00F44E44"/>
    <w:rsid w:val="00F45071"/>
    <w:rsid w:val="00F458C8"/>
    <w:rsid w:val="00F53018"/>
    <w:rsid w:val="00F573C6"/>
    <w:rsid w:val="00F60A52"/>
    <w:rsid w:val="00F61CE5"/>
    <w:rsid w:val="00F61D55"/>
    <w:rsid w:val="00F656F2"/>
    <w:rsid w:val="00F66769"/>
    <w:rsid w:val="00F73429"/>
    <w:rsid w:val="00F74199"/>
    <w:rsid w:val="00F76B99"/>
    <w:rsid w:val="00F77FE9"/>
    <w:rsid w:val="00F858DC"/>
    <w:rsid w:val="00F8757D"/>
    <w:rsid w:val="00F90959"/>
    <w:rsid w:val="00F926C3"/>
    <w:rsid w:val="00F93115"/>
    <w:rsid w:val="00F97214"/>
    <w:rsid w:val="00F97262"/>
    <w:rsid w:val="00FA0519"/>
    <w:rsid w:val="00FA484B"/>
    <w:rsid w:val="00FA4B32"/>
    <w:rsid w:val="00FA7265"/>
    <w:rsid w:val="00FB07EF"/>
    <w:rsid w:val="00FB2B0F"/>
    <w:rsid w:val="00FB3AFD"/>
    <w:rsid w:val="00FC27C2"/>
    <w:rsid w:val="00FC2A9B"/>
    <w:rsid w:val="00FC3616"/>
    <w:rsid w:val="00FC5AB6"/>
    <w:rsid w:val="00FC74A2"/>
    <w:rsid w:val="00FD3A1C"/>
    <w:rsid w:val="00FE121C"/>
    <w:rsid w:val="00FE2DFC"/>
    <w:rsid w:val="00FE3A76"/>
    <w:rsid w:val="00FE3AB2"/>
    <w:rsid w:val="00FE4609"/>
    <w:rsid w:val="00FE51EE"/>
    <w:rsid w:val="00FE5584"/>
    <w:rsid w:val="00FF25A4"/>
    <w:rsid w:val="00FF2D54"/>
    <w:rsid w:val="00FF6982"/>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docId w15:val="{4A38D811-5224-4620-B0B5-6AB19047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58B"/>
  </w:style>
  <w:style w:type="paragraph" w:styleId="Heading1">
    <w:name w:val="heading 1"/>
    <w:basedOn w:val="Normal"/>
    <w:next w:val="Normal"/>
    <w:link w:val="Heading1Char"/>
    <w:qFormat/>
    <w:rsid w:val="008714DB"/>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4">
    <w:name w:val="heading 4"/>
    <w:basedOn w:val="Normal"/>
    <w:link w:val="Heading4Char"/>
    <w:uiPriority w:val="9"/>
    <w:qFormat/>
    <w:rsid w:val="008714DB"/>
    <w:pPr>
      <w:spacing w:before="100" w:beforeAutospacing="1" w:after="100" w:afterAutospacing="1" w:line="240" w:lineRule="auto"/>
      <w:outlineLvl w:val="3"/>
    </w:pPr>
    <w:rPr>
      <w:rFonts w:ascii="Times New Roman" w:eastAsia="Times New Roman" w:hAnsi="Times New Roman" w:cs="Times New Roman"/>
      <w:b/>
      <w:bCs/>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14DB"/>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4Char">
    <w:name w:val="Heading 4 Char"/>
    <w:basedOn w:val="DefaultParagraphFont"/>
    <w:link w:val="Heading4"/>
    <w:uiPriority w:val="9"/>
    <w:rsid w:val="008714DB"/>
    <w:rPr>
      <w:rFonts w:ascii="Times New Roman" w:eastAsia="Times New Roman" w:hAnsi="Times New Roman" w:cs="Times New Roman"/>
      <w:b/>
      <w:bCs/>
      <w:sz w:val="24"/>
      <w:szCs w:val="24"/>
      <w:lang w:eastAsia="lv-LV"/>
    </w:rPr>
  </w:style>
  <w:style w:type="paragraph" w:customStyle="1" w:styleId="HE1F">
    <w:name w:val="HE1 F"/>
    <w:basedOn w:val="Normal"/>
    <w:qFormat/>
    <w:rsid w:val="008714DB"/>
    <w:pPr>
      <w:keepNext/>
      <w:keepLines/>
      <w:numPr>
        <w:numId w:val="2"/>
      </w:numPr>
      <w:spacing w:before="120" w:after="240" w:line="240" w:lineRule="auto"/>
      <w:ind w:left="1077" w:hanging="357"/>
      <w:jc w:val="center"/>
      <w:outlineLvl w:val="1"/>
    </w:pPr>
    <w:rPr>
      <w:rFonts w:ascii="Times New Roman" w:eastAsia="Times New Roman" w:hAnsi="Times New Roman" w:cs="Times New Roman"/>
      <w:b/>
      <w:bCs/>
      <w:sz w:val="28"/>
      <w:szCs w:val="28"/>
    </w:rPr>
  </w:style>
  <w:style w:type="paragraph" w:customStyle="1" w:styleId="HE2F">
    <w:name w:val="HE2 F"/>
    <w:basedOn w:val="HE1F"/>
    <w:qFormat/>
    <w:rsid w:val="008714DB"/>
    <w:pPr>
      <w:numPr>
        <w:ilvl w:val="1"/>
      </w:numPr>
      <w:ind w:left="425" w:hanging="425"/>
      <w:jc w:val="left"/>
    </w:pPr>
  </w:style>
  <w:style w:type="paragraph" w:customStyle="1" w:styleId="HE3F">
    <w:name w:val="HE3 F"/>
    <w:basedOn w:val="HE2F"/>
    <w:qFormat/>
    <w:rsid w:val="008714DB"/>
    <w:pPr>
      <w:numPr>
        <w:ilvl w:val="2"/>
      </w:numPr>
      <w:spacing w:before="240"/>
      <w:ind w:left="992" w:hanging="992"/>
    </w:pPr>
  </w:style>
  <w:style w:type="paragraph" w:customStyle="1" w:styleId="HE4F">
    <w:name w:val="HE4 F"/>
    <w:basedOn w:val="HE3F"/>
    <w:qFormat/>
    <w:rsid w:val="008714DB"/>
    <w:pPr>
      <w:numPr>
        <w:ilvl w:val="3"/>
      </w:numPr>
    </w:pPr>
    <w:rPr>
      <w:sz w:val="24"/>
      <w:szCs w:val="24"/>
    </w:rPr>
  </w:style>
  <w:style w:type="paragraph" w:customStyle="1" w:styleId="HE5F">
    <w:name w:val="HE5 F"/>
    <w:basedOn w:val="HE4F"/>
    <w:qFormat/>
    <w:rsid w:val="008714DB"/>
    <w:pPr>
      <w:numPr>
        <w:ilvl w:val="0"/>
        <w:numId w:val="0"/>
      </w:numPr>
      <w:spacing w:after="120"/>
    </w:pPr>
  </w:style>
  <w:style w:type="paragraph" w:customStyle="1" w:styleId="BulletsF">
    <w:name w:val="Bullets F"/>
    <w:basedOn w:val="Normal"/>
    <w:link w:val="BulletsFChar"/>
    <w:qFormat/>
    <w:rsid w:val="008714DB"/>
    <w:pPr>
      <w:numPr>
        <w:numId w:val="1"/>
      </w:numPr>
      <w:spacing w:after="0" w:line="240" w:lineRule="auto"/>
      <w:contextualSpacing/>
    </w:pPr>
    <w:rPr>
      <w:rFonts w:ascii="Times New Roman" w:eastAsia="Times New Roman" w:hAnsi="Times New Roman" w:cs="Times New Roman"/>
      <w:sz w:val="24"/>
      <w:szCs w:val="24"/>
    </w:rPr>
  </w:style>
  <w:style w:type="character" w:customStyle="1" w:styleId="BulletsFChar">
    <w:name w:val="Bullets F Char"/>
    <w:link w:val="BulletsF"/>
    <w:locked/>
    <w:rsid w:val="008714DB"/>
    <w:rPr>
      <w:rFonts w:ascii="Times New Roman" w:eastAsia="Times New Roman" w:hAnsi="Times New Roman" w:cs="Times New Roman"/>
      <w:sz w:val="24"/>
      <w:szCs w:val="24"/>
    </w:rPr>
  </w:style>
  <w:style w:type="paragraph" w:styleId="Caption">
    <w:name w:val="caption"/>
    <w:basedOn w:val="Normal"/>
    <w:next w:val="Normal"/>
    <w:link w:val="CaptionChar"/>
    <w:uiPriority w:val="35"/>
    <w:qFormat/>
    <w:rsid w:val="008714DB"/>
    <w:pPr>
      <w:keepNext/>
      <w:spacing w:before="120" w:after="60" w:line="240" w:lineRule="auto"/>
      <w:ind w:firstLine="709"/>
      <w:jc w:val="both"/>
    </w:pPr>
    <w:rPr>
      <w:rFonts w:ascii="Times New Roman" w:eastAsia="Times New Roman" w:hAnsi="Times New Roman" w:cs="Times New Roman"/>
      <w:b/>
      <w:bCs/>
      <w:i/>
      <w:sz w:val="24"/>
      <w:szCs w:val="20"/>
    </w:rPr>
  </w:style>
  <w:style w:type="character" w:customStyle="1" w:styleId="CaptionChar">
    <w:name w:val="Caption Char"/>
    <w:link w:val="Caption"/>
    <w:uiPriority w:val="35"/>
    <w:locked/>
    <w:rsid w:val="008714DB"/>
    <w:rPr>
      <w:rFonts w:ascii="Times New Roman" w:eastAsia="Times New Roman" w:hAnsi="Times New Roman" w:cs="Times New Roman"/>
      <w:b/>
      <w:bCs/>
      <w:i/>
      <w:sz w:val="24"/>
      <w:szCs w:val="20"/>
    </w:rPr>
  </w:style>
  <w:style w:type="paragraph" w:styleId="ListParagraph">
    <w:name w:val="List Paragraph"/>
    <w:aliases w:val="2,H&amp;P List Paragraph,Saraksta rindkopa,Saraksta rindkopa1,Strip"/>
    <w:basedOn w:val="Normal"/>
    <w:link w:val="ListParagraphChar"/>
    <w:uiPriority w:val="34"/>
    <w:qFormat/>
    <w:rsid w:val="008714DB"/>
    <w:pPr>
      <w:spacing w:before="60" w:after="0" w:line="240" w:lineRule="auto"/>
      <w:ind w:left="720" w:firstLine="709"/>
      <w:contextualSpacing/>
      <w:jc w:val="both"/>
    </w:pPr>
    <w:rPr>
      <w:rFonts w:ascii="Times New Roman" w:eastAsia="Times New Roman" w:hAnsi="Times New Roman" w:cs="Times New Roman"/>
      <w:sz w:val="24"/>
      <w:szCs w:val="24"/>
    </w:rPr>
  </w:style>
  <w:style w:type="character" w:customStyle="1" w:styleId="ListParagraphChar">
    <w:name w:val="List Paragraph Char"/>
    <w:aliases w:val="2 Char,H&amp;P List Paragraph Char,Saraksta rindkopa Char,Saraksta rindkopa1 Char,Strip Char"/>
    <w:link w:val="ListParagraph"/>
    <w:uiPriority w:val="34"/>
    <w:locked/>
    <w:rsid w:val="008714DB"/>
    <w:rPr>
      <w:rFonts w:ascii="Times New Roman" w:eastAsia="Times New Roman" w:hAnsi="Times New Roman" w:cs="Times New Roman"/>
      <w:sz w:val="24"/>
      <w:szCs w:val="24"/>
    </w:rPr>
  </w:style>
  <w:style w:type="paragraph" w:customStyle="1" w:styleId="TableText">
    <w:name w:val="Table Text"/>
    <w:basedOn w:val="Normal"/>
    <w:link w:val="TableTextChar"/>
    <w:qFormat/>
    <w:rsid w:val="008714DB"/>
    <w:pPr>
      <w:spacing w:after="0" w:line="240" w:lineRule="auto"/>
      <w:jc w:val="both"/>
    </w:pPr>
    <w:rPr>
      <w:rFonts w:ascii="Times New Roman" w:eastAsia="Times New Roman" w:hAnsi="Times New Roman" w:cs="Times New Roman"/>
      <w:bCs/>
      <w:iCs/>
      <w:noProof/>
      <w:sz w:val="24"/>
      <w:szCs w:val="24"/>
      <w:lang w:eastAsia="lv-LV"/>
    </w:rPr>
  </w:style>
  <w:style w:type="character" w:customStyle="1" w:styleId="TableTextChar">
    <w:name w:val="Table Text Char"/>
    <w:link w:val="TableText"/>
    <w:rsid w:val="008714DB"/>
    <w:rPr>
      <w:rFonts w:ascii="Times New Roman" w:eastAsia="Times New Roman" w:hAnsi="Times New Roman" w:cs="Times New Roman"/>
      <w:bCs/>
      <w:iCs/>
      <w:noProof/>
      <w:sz w:val="24"/>
      <w:szCs w:val="24"/>
      <w:lang w:eastAsia="lv-LV"/>
    </w:rPr>
  </w:style>
  <w:style w:type="paragraph" w:customStyle="1" w:styleId="AvotsItalic">
    <w:name w:val="Avots Italic"/>
    <w:basedOn w:val="Normal"/>
    <w:qFormat/>
    <w:rsid w:val="008714DB"/>
    <w:pPr>
      <w:spacing w:before="60" w:after="240" w:line="240" w:lineRule="auto"/>
      <w:ind w:firstLine="709"/>
      <w:jc w:val="both"/>
    </w:pPr>
    <w:rPr>
      <w:rFonts w:ascii="Times New Roman" w:eastAsia="Times New Roman" w:hAnsi="Times New Roman" w:cs="Times New Roman"/>
      <w:i/>
      <w:sz w:val="20"/>
      <w:szCs w:val="20"/>
    </w:rPr>
  </w:style>
  <w:style w:type="table" w:styleId="TableGrid">
    <w:name w:val="Table Grid"/>
    <w:basedOn w:val="TableNormal"/>
    <w:uiPriority w:val="39"/>
    <w:rsid w:val="00871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714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14DB"/>
  </w:style>
  <w:style w:type="paragraph" w:customStyle="1" w:styleId="NumberedF">
    <w:name w:val="Numbered F"/>
    <w:basedOn w:val="ListParagraph"/>
    <w:link w:val="NumberedFChar"/>
    <w:qFormat/>
    <w:rsid w:val="008714DB"/>
    <w:pPr>
      <w:numPr>
        <w:numId w:val="3"/>
      </w:numPr>
      <w:spacing w:before="120" w:after="120" w:line="300" w:lineRule="auto"/>
    </w:pPr>
    <w:rPr>
      <w:rFonts w:ascii="Calibri" w:hAnsi="Calibri" w:cs="Arial Unicode MS"/>
      <w:lang w:eastAsia="zh-CN" w:bidi="lo-LA"/>
    </w:rPr>
  </w:style>
  <w:style w:type="character" w:customStyle="1" w:styleId="Heading1Char">
    <w:name w:val="Heading 1 Char"/>
    <w:basedOn w:val="DefaultParagraphFont"/>
    <w:link w:val="Heading1"/>
    <w:uiPriority w:val="9"/>
    <w:rsid w:val="008714DB"/>
    <w:rPr>
      <w:rFonts w:asciiTheme="majorHAnsi" w:eastAsiaTheme="majorEastAsia" w:hAnsiTheme="majorHAnsi" w:cstheme="majorBidi"/>
      <w:color w:val="6D1D6A" w:themeColor="accent1" w:themeShade="BF"/>
      <w:sz w:val="32"/>
      <w:szCs w:val="32"/>
    </w:rPr>
  </w:style>
  <w:style w:type="paragraph" w:styleId="Header">
    <w:name w:val="header"/>
    <w:aliases w:val="18pt Bold"/>
    <w:basedOn w:val="Normal"/>
    <w:link w:val="HeaderChar"/>
    <w:unhideWhenUsed/>
    <w:rsid w:val="008714DB"/>
    <w:pPr>
      <w:tabs>
        <w:tab w:val="center" w:pos="4153"/>
        <w:tab w:val="right" w:pos="8306"/>
      </w:tabs>
      <w:spacing w:after="0" w:line="240" w:lineRule="auto"/>
    </w:pPr>
  </w:style>
  <w:style w:type="character" w:customStyle="1" w:styleId="HeaderChar">
    <w:name w:val="Header Char"/>
    <w:aliases w:val="18pt Bold Char"/>
    <w:basedOn w:val="DefaultParagraphFont"/>
    <w:link w:val="Header"/>
    <w:rsid w:val="008714DB"/>
  </w:style>
  <w:style w:type="character" w:styleId="Strong">
    <w:name w:val="Strong"/>
    <w:basedOn w:val="DefaultParagraphFont"/>
    <w:uiPriority w:val="22"/>
    <w:qFormat/>
    <w:rsid w:val="00E84C10"/>
    <w:rPr>
      <w:b/>
      <w:bCs/>
    </w:rPr>
  </w:style>
  <w:style w:type="paragraph" w:customStyle="1" w:styleId="Zmjums">
    <w:name w:val="Zīmējums"/>
    <w:basedOn w:val="Normal"/>
    <w:qFormat/>
    <w:rsid w:val="00233661"/>
    <w:pPr>
      <w:spacing w:after="120" w:line="240" w:lineRule="auto"/>
      <w:jc w:val="center"/>
    </w:pPr>
    <w:rPr>
      <w:rFonts w:ascii="Arial Narrow" w:eastAsia="SimSun" w:hAnsi="Arial Narrow" w:cs="Calibri"/>
      <w:sz w:val="18"/>
      <w:szCs w:val="28"/>
      <w:lang w:eastAsia="zh-CN"/>
    </w:rPr>
  </w:style>
  <w:style w:type="paragraph" w:customStyle="1" w:styleId="Normal2">
    <w:name w:val="Normal2"/>
    <w:rsid w:val="00233661"/>
    <w:pPr>
      <w:spacing w:after="120" w:line="240" w:lineRule="auto"/>
      <w:ind w:firstLine="567"/>
      <w:jc w:val="both"/>
    </w:pPr>
    <w:rPr>
      <w:rFonts w:ascii="Times New Roman" w:eastAsia="Times New Roman" w:hAnsi="Times New Roman" w:cs="Times New Roman"/>
      <w:color w:val="000000"/>
      <w:sz w:val="24"/>
      <w:lang w:eastAsia="zh-CN" w:bidi="lo-LA"/>
    </w:rPr>
  </w:style>
  <w:style w:type="paragraph" w:styleId="NoSpacing">
    <w:name w:val="No Spacing"/>
    <w:link w:val="NoSpacingChar"/>
    <w:uiPriority w:val="1"/>
    <w:qFormat/>
    <w:rsid w:val="0088347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3473"/>
    <w:rPr>
      <w:rFonts w:eastAsiaTheme="minorEastAsia"/>
      <w:lang w:val="en-US"/>
    </w:rPr>
  </w:style>
  <w:style w:type="character" w:styleId="Hyperlink">
    <w:name w:val="Hyperlink"/>
    <w:basedOn w:val="DefaultParagraphFont"/>
    <w:uiPriority w:val="99"/>
    <w:unhideWhenUsed/>
    <w:rsid w:val="00883473"/>
    <w:rPr>
      <w:color w:val="0066FF" w:themeColor="hyperlink"/>
      <w:u w:val="single"/>
    </w:rPr>
  </w:style>
  <w:style w:type="paragraph" w:styleId="TOCHeading">
    <w:name w:val="TOC Heading"/>
    <w:basedOn w:val="Heading1"/>
    <w:next w:val="Normal"/>
    <w:uiPriority w:val="39"/>
    <w:unhideWhenUsed/>
    <w:qFormat/>
    <w:rsid w:val="00883473"/>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883473"/>
    <w:pPr>
      <w:spacing w:after="100" w:line="276" w:lineRule="auto"/>
      <w:ind w:left="220"/>
    </w:pPr>
  </w:style>
  <w:style w:type="paragraph" w:styleId="TOC1">
    <w:name w:val="toc 1"/>
    <w:basedOn w:val="Normal"/>
    <w:next w:val="Normal"/>
    <w:autoRedefine/>
    <w:uiPriority w:val="39"/>
    <w:unhideWhenUsed/>
    <w:rsid w:val="00883473"/>
    <w:pPr>
      <w:spacing w:after="100" w:line="276" w:lineRule="auto"/>
    </w:pPr>
  </w:style>
  <w:style w:type="paragraph" w:customStyle="1" w:styleId="Nenumurtslielais">
    <w:name w:val="Nenumurēts lielais"/>
    <w:basedOn w:val="Heading1"/>
    <w:link w:val="NenumurtslielaisChar"/>
    <w:qFormat/>
    <w:rsid w:val="00581249"/>
    <w:pPr>
      <w:keepLines w:val="0"/>
      <w:spacing w:before="120" w:after="120" w:line="240" w:lineRule="auto"/>
      <w:jc w:val="both"/>
    </w:pPr>
    <w:rPr>
      <w:rFonts w:ascii="Times New Roman" w:eastAsia="Times New Roman" w:hAnsi="Times New Roman" w:cs="Times New Roman"/>
      <w:b/>
      <w:bCs/>
      <w:caps/>
      <w:color w:val="auto"/>
      <w:sz w:val="28"/>
      <w:szCs w:val="28"/>
    </w:rPr>
  </w:style>
  <w:style w:type="character" w:customStyle="1" w:styleId="NenumurtslielaisChar">
    <w:name w:val="Nenumurēts lielais Char"/>
    <w:link w:val="Nenumurtslielais"/>
    <w:rsid w:val="00581249"/>
    <w:rPr>
      <w:rFonts w:ascii="Times New Roman" w:eastAsia="Times New Roman" w:hAnsi="Times New Roman" w:cs="Times New Roman"/>
      <w:b/>
      <w:bCs/>
      <w:caps/>
      <w:sz w:val="28"/>
      <w:szCs w:val="28"/>
    </w:r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rsid w:val="00354457"/>
    <w:pPr>
      <w:spacing w:after="0" w:line="240" w:lineRule="auto"/>
    </w:pPr>
    <w:rPr>
      <w:rFonts w:ascii="Calibri" w:eastAsia="Calibri" w:hAnsi="Calibri" w:cs="Times New Roman"/>
      <w:sz w:val="20"/>
      <w:szCs w:val="20"/>
    </w:rPr>
  </w:style>
  <w:style w:type="character" w:customStyle="1" w:styleId="FootnoteTextChar">
    <w:name w:val="Footnote Text Char"/>
    <w:aliases w:val="Footnote Text Char Char Char,Footnote Text Char Char Char Char Char,Footnote Text Char Char Char Char Char Char Char,Footnote Text Char1 Char,Footnote Text Char1 Char Char Char,Footnote Text Char1 Char Char1 Char Char Char,f Char"/>
    <w:basedOn w:val="DefaultParagraphFont"/>
    <w:link w:val="FootnoteText"/>
    <w:uiPriority w:val="99"/>
    <w:rsid w:val="00354457"/>
    <w:rPr>
      <w:rFonts w:ascii="Calibri" w:eastAsia="Calibri" w:hAnsi="Calibri"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rsid w:val="00354457"/>
    <w:rPr>
      <w:vertAlign w:val="superscript"/>
    </w:rPr>
  </w:style>
  <w:style w:type="paragraph" w:customStyle="1" w:styleId="CharCharCharChar">
    <w:name w:val="Char Char Char Char"/>
    <w:aliases w:val="Char2"/>
    <w:basedOn w:val="Normal"/>
    <w:next w:val="Normal"/>
    <w:link w:val="FootnoteReference"/>
    <w:uiPriority w:val="99"/>
    <w:rsid w:val="00354457"/>
    <w:pPr>
      <w:spacing w:line="240" w:lineRule="exact"/>
      <w:jc w:val="both"/>
      <w:textAlignment w:val="baseline"/>
    </w:pPr>
    <w:rPr>
      <w:vertAlign w:val="superscript"/>
    </w:rPr>
  </w:style>
  <w:style w:type="paragraph" w:customStyle="1" w:styleId="1limenis">
    <w:name w:val="1 limenis"/>
    <w:basedOn w:val="Normal"/>
    <w:qFormat/>
    <w:rsid w:val="00354457"/>
    <w:pPr>
      <w:keepNext/>
      <w:keepLines/>
      <w:numPr>
        <w:numId w:val="6"/>
      </w:numPr>
      <w:spacing w:before="240" w:after="120" w:line="240" w:lineRule="auto"/>
      <w:jc w:val="center"/>
      <w:outlineLvl w:val="1"/>
    </w:pPr>
    <w:rPr>
      <w:rFonts w:ascii="Times New Roman" w:eastAsia="Times New Roman" w:hAnsi="Times New Roman" w:cs="Times New Roman"/>
      <w:b/>
      <w:caps/>
      <w:spacing w:val="2"/>
      <w:sz w:val="24"/>
      <w:szCs w:val="24"/>
      <w:lang w:eastAsia="lv-LV"/>
    </w:rPr>
  </w:style>
  <w:style w:type="paragraph" w:customStyle="1" w:styleId="2limenis">
    <w:name w:val="2 limenis"/>
    <w:basedOn w:val="Normal"/>
    <w:qFormat/>
    <w:rsid w:val="00354457"/>
    <w:pPr>
      <w:keepLines/>
      <w:numPr>
        <w:ilvl w:val="1"/>
        <w:numId w:val="6"/>
      </w:numPr>
      <w:spacing w:before="120" w:after="0" w:line="276" w:lineRule="auto"/>
    </w:pPr>
    <w:rPr>
      <w:rFonts w:ascii="Times New Roman" w:eastAsia="Times New Roman" w:hAnsi="Times New Roman" w:cs="Times New Roman"/>
      <w:spacing w:val="-3"/>
      <w:szCs w:val="24"/>
    </w:rPr>
  </w:style>
  <w:style w:type="paragraph" w:customStyle="1" w:styleId="3limenis">
    <w:name w:val="3 limenis"/>
    <w:basedOn w:val="Normal"/>
    <w:qFormat/>
    <w:rsid w:val="00354457"/>
    <w:pPr>
      <w:keepLines/>
      <w:numPr>
        <w:ilvl w:val="2"/>
        <w:numId w:val="6"/>
      </w:numPr>
      <w:tabs>
        <w:tab w:val="num" w:pos="814"/>
        <w:tab w:val="clear" w:pos="927"/>
      </w:tabs>
      <w:spacing w:before="120" w:after="0" w:line="276" w:lineRule="auto"/>
      <w:ind w:left="794" w:right="43"/>
    </w:pPr>
    <w:rPr>
      <w:rFonts w:ascii="Times New Roman" w:eastAsia="Times New Roman" w:hAnsi="Times New Roman" w:cs="Times New Roman"/>
      <w:spacing w:val="2"/>
    </w:rPr>
  </w:style>
  <w:style w:type="paragraph" w:customStyle="1" w:styleId="Default">
    <w:name w:val="Default"/>
    <w:rsid w:val="004F2775"/>
    <w:pPr>
      <w:autoSpaceDE w:val="0"/>
      <w:autoSpaceDN w:val="0"/>
      <w:adjustRightInd w:val="0"/>
      <w:spacing w:after="0" w:line="240" w:lineRule="auto"/>
    </w:pPr>
    <w:rPr>
      <w:rFonts w:ascii="Verdana" w:hAnsi="Verdana" w:eastAsiaTheme="minorEastAsia" w:cs="Verdana"/>
      <w:color w:val="000000"/>
      <w:sz w:val="24"/>
      <w:szCs w:val="24"/>
      <w:lang w:val="en-US"/>
    </w:rPr>
  </w:style>
  <w:style w:type="character" w:customStyle="1" w:styleId="NumberedFChar">
    <w:name w:val="Numbered F Char"/>
    <w:link w:val="NumberedF"/>
    <w:rsid w:val="004A53FC"/>
    <w:rPr>
      <w:rFonts w:ascii="Calibri" w:eastAsia="Times New Roman" w:hAnsi="Calibri" w:cs="Arial Unicode MS"/>
      <w:sz w:val="24"/>
      <w:szCs w:val="24"/>
      <w:lang w:eastAsia="zh-CN" w:bidi="lo-LA"/>
    </w:rPr>
  </w:style>
  <w:style w:type="paragraph" w:styleId="BalloonText">
    <w:name w:val="Balloon Text"/>
    <w:basedOn w:val="Normal"/>
    <w:link w:val="BalloonTextChar"/>
    <w:uiPriority w:val="99"/>
    <w:semiHidden/>
    <w:unhideWhenUsed/>
    <w:rsid w:val="00885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82E"/>
    <w:rPr>
      <w:rFonts w:ascii="Segoe UI" w:hAnsi="Segoe UI" w:cs="Segoe UI"/>
      <w:sz w:val="18"/>
      <w:szCs w:val="18"/>
    </w:rPr>
  </w:style>
  <w:style w:type="table" w:customStyle="1" w:styleId="ListTable3-Accent11">
    <w:name w:val="List Table 3 - Accent 11"/>
    <w:basedOn w:val="TableNormal"/>
    <w:uiPriority w:val="48"/>
    <w:rsid w:val="00DF331F"/>
    <w:pPr>
      <w:spacing w:after="0" w:line="240" w:lineRule="auto"/>
    </w:pPr>
    <w:rPr>
      <w:rFonts w:ascii="Times New Roman" w:hAnsi="Times New Roman"/>
      <w:sz w:val="28"/>
    </w:r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character" w:styleId="CommentReference">
    <w:name w:val="annotation reference"/>
    <w:basedOn w:val="DefaultParagraphFont"/>
    <w:uiPriority w:val="99"/>
    <w:semiHidden/>
    <w:unhideWhenUsed/>
    <w:rsid w:val="00592B2B"/>
    <w:rPr>
      <w:sz w:val="16"/>
      <w:szCs w:val="16"/>
    </w:rPr>
  </w:style>
  <w:style w:type="paragraph" w:styleId="CommentText">
    <w:name w:val="annotation text"/>
    <w:basedOn w:val="Normal"/>
    <w:link w:val="CommentTextChar"/>
    <w:uiPriority w:val="99"/>
    <w:unhideWhenUsed/>
    <w:rsid w:val="00592B2B"/>
    <w:pPr>
      <w:spacing w:line="240" w:lineRule="auto"/>
    </w:pPr>
    <w:rPr>
      <w:sz w:val="20"/>
      <w:szCs w:val="20"/>
    </w:rPr>
  </w:style>
  <w:style w:type="character" w:customStyle="1" w:styleId="CommentTextChar">
    <w:name w:val="Comment Text Char"/>
    <w:basedOn w:val="DefaultParagraphFont"/>
    <w:link w:val="CommentText"/>
    <w:uiPriority w:val="99"/>
    <w:rsid w:val="00592B2B"/>
    <w:rPr>
      <w:sz w:val="20"/>
      <w:szCs w:val="20"/>
    </w:rPr>
  </w:style>
  <w:style w:type="paragraph" w:styleId="CommentSubject">
    <w:name w:val="annotation subject"/>
    <w:basedOn w:val="CommentText"/>
    <w:next w:val="CommentText"/>
    <w:link w:val="CommentSubjectChar"/>
    <w:uiPriority w:val="99"/>
    <w:semiHidden/>
    <w:unhideWhenUsed/>
    <w:rsid w:val="00592B2B"/>
    <w:rPr>
      <w:b/>
      <w:bCs/>
    </w:rPr>
  </w:style>
  <w:style w:type="character" w:customStyle="1" w:styleId="CommentSubjectChar">
    <w:name w:val="Comment Subject Char"/>
    <w:basedOn w:val="CommentTextChar"/>
    <w:link w:val="CommentSubject"/>
    <w:uiPriority w:val="99"/>
    <w:semiHidden/>
    <w:rsid w:val="00592B2B"/>
    <w:rPr>
      <w:b/>
      <w:bCs/>
      <w:sz w:val="20"/>
      <w:szCs w:val="20"/>
    </w:rPr>
  </w:style>
  <w:style w:type="paragraph" w:styleId="Revision">
    <w:name w:val="Revision"/>
    <w:hidden/>
    <w:uiPriority w:val="99"/>
    <w:semiHidden/>
    <w:rsid w:val="00AF03D8"/>
    <w:pPr>
      <w:spacing w:after="0" w:line="240" w:lineRule="auto"/>
    </w:pPr>
  </w:style>
  <w:style w:type="table" w:customStyle="1" w:styleId="PlainTable41">
    <w:name w:val="Plain Table 41"/>
    <w:basedOn w:val="TableNormal"/>
    <w:uiPriority w:val="44"/>
    <w:rsid w:val="008B2C92"/>
    <w:pPr>
      <w:spacing w:after="0" w:line="240" w:lineRule="auto"/>
    </w:pPr>
    <w:rPr>
      <w:rFonts w:ascii="Times New Roman" w:hAnsi="Times New Roman"/>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hone">
    <w:name w:val="phone"/>
    <w:basedOn w:val="DefaultParagraphFont"/>
    <w:rsid w:val="00112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00" Type="http://schemas.openxmlformats.org/officeDocument/2006/relationships/image" Target="media/image33.png" /><Relationship Id="rId101" Type="http://schemas.openxmlformats.org/officeDocument/2006/relationships/image" Target="media/image34.png" /><Relationship Id="rId102" Type="http://schemas.openxmlformats.org/officeDocument/2006/relationships/image" Target="media/image35.jpeg" /><Relationship Id="rId103" Type="http://schemas.openxmlformats.org/officeDocument/2006/relationships/image" Target="media/image36.png" /><Relationship Id="rId104" Type="http://schemas.openxmlformats.org/officeDocument/2006/relationships/image" Target="media/image37.png" /><Relationship Id="rId105" Type="http://schemas.openxmlformats.org/officeDocument/2006/relationships/image" Target="media/image38.png" /><Relationship Id="rId106" Type="http://schemas.openxmlformats.org/officeDocument/2006/relationships/image" Target="media/image39.png" /><Relationship Id="rId107" Type="http://schemas.openxmlformats.org/officeDocument/2006/relationships/image" Target="media/image40.png" /><Relationship Id="rId108" Type="http://schemas.openxmlformats.org/officeDocument/2006/relationships/image" Target="media/image41.png" /><Relationship Id="rId109" Type="http://schemas.openxmlformats.org/officeDocument/2006/relationships/image" Target="media/image42.png" /><Relationship Id="rId11" Type="http://schemas.openxmlformats.org/officeDocument/2006/relationships/image" Target="media/image2.png" /><Relationship Id="rId110" Type="http://schemas.openxmlformats.org/officeDocument/2006/relationships/image" Target="media/image43.jpeg" /><Relationship Id="rId111" Type="http://schemas.openxmlformats.org/officeDocument/2006/relationships/image" Target="media/image44.jpeg" /><Relationship Id="rId112" Type="http://schemas.openxmlformats.org/officeDocument/2006/relationships/image" Target="media/image45.jpeg" /><Relationship Id="rId113" Type="http://schemas.openxmlformats.org/officeDocument/2006/relationships/image" Target="media/image46.jpeg" /><Relationship Id="rId114" Type="http://schemas.openxmlformats.org/officeDocument/2006/relationships/image" Target="media/image47.jpeg" /><Relationship Id="rId115" Type="http://schemas.openxmlformats.org/officeDocument/2006/relationships/image" Target="media/image48.jpeg" /><Relationship Id="rId116" Type="http://schemas.openxmlformats.org/officeDocument/2006/relationships/theme" Target="theme/theme1.xml" /><Relationship Id="rId117" Type="http://schemas.openxmlformats.org/officeDocument/2006/relationships/numbering" Target="numbering.xml" /><Relationship Id="rId118" Type="http://schemas.openxmlformats.org/officeDocument/2006/relationships/styles" Target="styles.xml"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chart" Target="charts/chart1.xml" /><Relationship Id="rId17" Type="http://schemas.openxmlformats.org/officeDocument/2006/relationships/chart" Target="charts/chart2.xml" /><Relationship Id="rId18" Type="http://schemas.openxmlformats.org/officeDocument/2006/relationships/chart" Target="charts/chart3.xml" /><Relationship Id="rId19" Type="http://schemas.openxmlformats.org/officeDocument/2006/relationships/chart" Target="charts/chart4.xml" /><Relationship Id="rId2" Type="http://schemas.openxmlformats.org/officeDocument/2006/relationships/settings" Target="settings.xml" /><Relationship Id="rId20" Type="http://schemas.openxmlformats.org/officeDocument/2006/relationships/chart" Target="charts/chart5.xml" /><Relationship Id="rId21" Type="http://schemas.openxmlformats.org/officeDocument/2006/relationships/chart" Target="charts/chart6.xml" /><Relationship Id="rId22" Type="http://schemas.openxmlformats.org/officeDocument/2006/relationships/chart" Target="charts/chart7.xml" /><Relationship Id="rId23" Type="http://schemas.openxmlformats.org/officeDocument/2006/relationships/chart" Target="charts/chart8.xml" /><Relationship Id="rId24" Type="http://schemas.openxmlformats.org/officeDocument/2006/relationships/chart" Target="charts/chart9.xml" /><Relationship Id="rId25" Type="http://schemas.openxmlformats.org/officeDocument/2006/relationships/chart" Target="charts/chart10.xml"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webSettings" Target="webSetting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chart" Target="charts/chart11.xml" /><Relationship Id="rId34" Type="http://schemas.openxmlformats.org/officeDocument/2006/relationships/chart" Target="charts/chart12.xml" /><Relationship Id="rId35" Type="http://schemas.openxmlformats.org/officeDocument/2006/relationships/chart" Target="charts/chart13.xml" /><Relationship Id="rId36" Type="http://schemas.openxmlformats.org/officeDocument/2006/relationships/image" Target="media/image14.png" /><Relationship Id="rId37" Type="http://schemas.openxmlformats.org/officeDocument/2006/relationships/image" Target="media/image15.png" /><Relationship Id="rId38" Type="http://schemas.openxmlformats.org/officeDocument/2006/relationships/image" Target="media/image16.png" /><Relationship Id="rId39" Type="http://schemas.openxmlformats.org/officeDocument/2006/relationships/image" Target="media/image17.png" /><Relationship Id="rId4" Type="http://schemas.openxmlformats.org/officeDocument/2006/relationships/fontTable" Target="fontTable.xml" /><Relationship Id="rId40" Type="http://schemas.openxmlformats.org/officeDocument/2006/relationships/image" Target="media/image18.emf" /><Relationship Id="rId41" Type="http://schemas.openxmlformats.org/officeDocument/2006/relationships/image" Target="media/image19.png" /><Relationship Id="rId42" Type="http://schemas.openxmlformats.org/officeDocument/2006/relationships/image" Target="media/image20.emf" /><Relationship Id="rId43" Type="http://schemas.openxmlformats.org/officeDocument/2006/relationships/image" Target="media/image21.emf" /><Relationship Id="rId44" Type="http://schemas.openxmlformats.org/officeDocument/2006/relationships/image" Target="media/image22.emf" /><Relationship Id="rId45" Type="http://schemas.openxmlformats.org/officeDocument/2006/relationships/image" Target="media/image23.emf" /><Relationship Id="rId46" Type="http://schemas.openxmlformats.org/officeDocument/2006/relationships/image" Target="media/image24.emf" /><Relationship Id="rId47" Type="http://schemas.openxmlformats.org/officeDocument/2006/relationships/image" Target="media/image25.png" /><Relationship Id="rId48" Type="http://schemas.openxmlformats.org/officeDocument/2006/relationships/image" Target="media/image26.png" /><Relationship Id="rId49" Type="http://schemas.openxmlformats.org/officeDocument/2006/relationships/chart" Target="charts/chart14.xml" /><Relationship Id="rId5" Type="http://schemas.openxmlformats.org/officeDocument/2006/relationships/customXml" Target="../customXml/item1.xml" /><Relationship Id="rId50" Type="http://schemas.openxmlformats.org/officeDocument/2006/relationships/chart" Target="charts/chart15.xml" /><Relationship Id="rId51" Type="http://schemas.openxmlformats.org/officeDocument/2006/relationships/chart" Target="charts/chart16.xml" /><Relationship Id="rId52" Type="http://schemas.openxmlformats.org/officeDocument/2006/relationships/chart" Target="charts/chart17.xml" /><Relationship Id="rId53" Type="http://schemas.openxmlformats.org/officeDocument/2006/relationships/chart" Target="charts/chart18.xml" /><Relationship Id="rId54" Type="http://schemas.openxmlformats.org/officeDocument/2006/relationships/chart" Target="charts/chart19.xml" /><Relationship Id="rId55" Type="http://schemas.openxmlformats.org/officeDocument/2006/relationships/chart" Target="charts/chart20.xml" /><Relationship Id="rId56" Type="http://schemas.openxmlformats.org/officeDocument/2006/relationships/chart" Target="charts/chart21.xml" /><Relationship Id="rId57" Type="http://schemas.openxmlformats.org/officeDocument/2006/relationships/chart" Target="charts/chart22.xml" /><Relationship Id="rId58" Type="http://schemas.openxmlformats.org/officeDocument/2006/relationships/chart" Target="charts/chart23.xml" /><Relationship Id="rId59" Type="http://schemas.openxmlformats.org/officeDocument/2006/relationships/chart" Target="charts/chart24.xml" /><Relationship Id="rId6" Type="http://schemas.openxmlformats.org/officeDocument/2006/relationships/header" Target="header1.xml" /><Relationship Id="rId60" Type="http://schemas.openxmlformats.org/officeDocument/2006/relationships/chart" Target="charts/chart25.xml" /><Relationship Id="rId61" Type="http://schemas.openxmlformats.org/officeDocument/2006/relationships/chart" Target="charts/chart26.xml" /><Relationship Id="rId62" Type="http://schemas.openxmlformats.org/officeDocument/2006/relationships/chart" Target="charts/chart27.xml" /><Relationship Id="rId63" Type="http://schemas.openxmlformats.org/officeDocument/2006/relationships/chart" Target="charts/chart28.xml" /><Relationship Id="rId64" Type="http://schemas.openxmlformats.org/officeDocument/2006/relationships/chart" Target="charts/chart29.xml" /><Relationship Id="rId65" Type="http://schemas.openxmlformats.org/officeDocument/2006/relationships/chart" Target="charts/chart30.xml" /><Relationship Id="rId66" Type="http://schemas.openxmlformats.org/officeDocument/2006/relationships/chart" Target="charts/chart31.xml" /><Relationship Id="rId67" Type="http://schemas.openxmlformats.org/officeDocument/2006/relationships/chart" Target="charts/chart32.xml" /><Relationship Id="rId68" Type="http://schemas.openxmlformats.org/officeDocument/2006/relationships/chart" Target="charts/chart33.xml" /><Relationship Id="rId69" Type="http://schemas.openxmlformats.org/officeDocument/2006/relationships/chart" Target="charts/chart34.xml" /><Relationship Id="rId7" Type="http://schemas.openxmlformats.org/officeDocument/2006/relationships/footer" Target="footer1.xml" /><Relationship Id="rId70" Type="http://schemas.openxmlformats.org/officeDocument/2006/relationships/chart" Target="charts/chart35.xml" /><Relationship Id="rId71" Type="http://schemas.openxmlformats.org/officeDocument/2006/relationships/chart" Target="charts/chart36.xml" /><Relationship Id="rId72" Type="http://schemas.openxmlformats.org/officeDocument/2006/relationships/chart" Target="charts/chart37.xml" /><Relationship Id="rId73" Type="http://schemas.openxmlformats.org/officeDocument/2006/relationships/chart" Target="charts/chart38.xml" /><Relationship Id="rId74" Type="http://schemas.openxmlformats.org/officeDocument/2006/relationships/chart" Target="charts/chart39.xml" /><Relationship Id="rId75" Type="http://schemas.openxmlformats.org/officeDocument/2006/relationships/chart" Target="charts/chart40.xml" /><Relationship Id="rId76" Type="http://schemas.openxmlformats.org/officeDocument/2006/relationships/chart" Target="charts/chart41.xml" /><Relationship Id="rId77" Type="http://schemas.openxmlformats.org/officeDocument/2006/relationships/chart" Target="charts/chart42.xml" /><Relationship Id="rId78" Type="http://schemas.openxmlformats.org/officeDocument/2006/relationships/chart" Target="charts/chart43.xml" /><Relationship Id="rId79" Type="http://schemas.openxmlformats.org/officeDocument/2006/relationships/image" Target="media/image27.png" /><Relationship Id="rId8" Type="http://schemas.openxmlformats.org/officeDocument/2006/relationships/footer" Target="footer2.xml" /><Relationship Id="rId80" Type="http://schemas.openxmlformats.org/officeDocument/2006/relationships/image" Target="media/image28.png" /><Relationship Id="rId81" Type="http://schemas.openxmlformats.org/officeDocument/2006/relationships/image" Target="media/image29.png" /><Relationship Id="rId82" Type="http://schemas.openxmlformats.org/officeDocument/2006/relationships/header" Target="header2.xml" /><Relationship Id="rId83" Type="http://schemas.openxmlformats.org/officeDocument/2006/relationships/footer" Target="footer4.xml" /><Relationship Id="rId84" Type="http://schemas.openxmlformats.org/officeDocument/2006/relationships/footer" Target="footer5.xml" /><Relationship Id="rId85" Type="http://schemas.openxmlformats.org/officeDocument/2006/relationships/footer" Target="footer6.xml" /><Relationship Id="rId86" Type="http://schemas.openxmlformats.org/officeDocument/2006/relationships/chart" Target="charts/chart44.xml" /><Relationship Id="rId87" Type="http://schemas.openxmlformats.org/officeDocument/2006/relationships/chart" Target="charts/chart45.xml" /><Relationship Id="rId88" Type="http://schemas.openxmlformats.org/officeDocument/2006/relationships/chart" Target="charts/chart46.xml" /><Relationship Id="rId89" Type="http://schemas.openxmlformats.org/officeDocument/2006/relationships/chart" Target="charts/chart47.xml" /><Relationship Id="rId9" Type="http://schemas.openxmlformats.org/officeDocument/2006/relationships/footer" Target="footer3.xml" /><Relationship Id="rId90" Type="http://schemas.openxmlformats.org/officeDocument/2006/relationships/chart" Target="charts/chart48.xml" /><Relationship Id="rId91" Type="http://schemas.openxmlformats.org/officeDocument/2006/relationships/chart" Target="charts/chart49.xml" /><Relationship Id="rId92" Type="http://schemas.openxmlformats.org/officeDocument/2006/relationships/chart" Target="charts/chart50.xml" /><Relationship Id="rId93" Type="http://schemas.openxmlformats.org/officeDocument/2006/relationships/chart" Target="charts/chart51.xml" /><Relationship Id="rId94" Type="http://schemas.openxmlformats.org/officeDocument/2006/relationships/chart" Target="charts/chart52.xml" /><Relationship Id="rId95" Type="http://schemas.openxmlformats.org/officeDocument/2006/relationships/chart" Target="charts/chart53.xml" /><Relationship Id="rId96" Type="http://schemas.openxmlformats.org/officeDocument/2006/relationships/chart" Target="charts/chart54.xml" /><Relationship Id="rId97" Type="http://schemas.openxmlformats.org/officeDocument/2006/relationships/image" Target="media/image30.png" /><Relationship Id="rId98" Type="http://schemas.openxmlformats.org/officeDocument/2006/relationships/image" Target="media/image31.png" /><Relationship Id="rId99" Type="http://schemas.openxmlformats.org/officeDocument/2006/relationships/image" Target="media/image32.png"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10.xml.rels>&#65279;<?xml version="1.0" encoding="utf-8" standalone="yes"?><Relationships xmlns="http://schemas.openxmlformats.org/package/2006/relationships"><Relationship Id="rId1" Type="http://schemas.openxmlformats.org/officeDocument/2006/relationships/package" Target="../embeddings/Microsoft_Excel_Worksheet10.xlsx" /></Relationships>
</file>

<file path=word/charts/_rels/chart11.xml.rels>&#65279;<?xml version="1.0" encoding="utf-8" standalone="yes"?><Relationships xmlns="http://schemas.openxmlformats.org/package/2006/relationships"><Relationship Id="rId1" Type="http://schemas.openxmlformats.org/officeDocument/2006/relationships/package" Target="../embeddings/Microsoft_Excel_Worksheet11.xlsx" /></Relationships>
</file>

<file path=word/charts/_rels/chart12.xml.rels>&#65279;<?xml version="1.0" encoding="utf-8" standalone="yes"?><Relationships xmlns="http://schemas.openxmlformats.org/package/2006/relationships"><Relationship Id="rId1" Type="http://schemas.openxmlformats.org/officeDocument/2006/relationships/package" Target="../embeddings/Microsoft_Excel_Worksheet12.xlsx" /><Relationship Id="rId2" Type="http://schemas.openxmlformats.org/officeDocument/2006/relationships/chartUserShapes" Target="../drawings/drawing2.xml" /><Relationship Id="rId3" Type="http://schemas.openxmlformats.org/officeDocument/2006/relationships/themeOverride" Target="../theme/themeOverride1.xml" /></Relationships>
</file>

<file path=word/charts/_rels/chart13.xml.rels>&#65279;<?xml version="1.0" encoding="utf-8" standalone="yes"?><Relationships xmlns="http://schemas.openxmlformats.org/package/2006/relationships"><Relationship Id="rId1" Type="http://schemas.openxmlformats.org/officeDocument/2006/relationships/package" Target="../embeddings/Microsoft_Excel_Worksheet13.xlsx" /><Relationship Id="rId2" Type="http://schemas.openxmlformats.org/officeDocument/2006/relationships/themeOverride" Target="../theme/themeOverride2.xml" /></Relationships>
</file>

<file path=word/charts/_rels/chart14.xml.rels>&#65279;<?xml version="1.0" encoding="utf-8" standalone="yes"?><Relationships xmlns="http://schemas.openxmlformats.org/package/2006/relationships"><Relationship Id="rId1" Type="http://schemas.openxmlformats.org/officeDocument/2006/relationships/package" Target="../embeddings/Microsoft_Excel_Worksheet14.xlsx" /><Relationship Id="rId2" Type="http://schemas.openxmlformats.org/officeDocument/2006/relationships/themeOverride" Target="../theme/themeOverride3.xml" /></Relationships>
</file>

<file path=word/charts/_rels/chart15.xml.rels>&#65279;<?xml version="1.0" encoding="utf-8" standalone="yes"?><Relationships xmlns="http://schemas.openxmlformats.org/package/2006/relationships"><Relationship Id="rId1" Type="http://schemas.openxmlformats.org/officeDocument/2006/relationships/package" Target="../embeddings/Microsoft_Excel_Worksheet15.xlsx" /><Relationship Id="rId2" Type="http://schemas.openxmlformats.org/officeDocument/2006/relationships/themeOverride" Target="../theme/themeOverride4.xml" /></Relationships>
</file>

<file path=word/charts/_rels/chart16.xml.rels>&#65279;<?xml version="1.0" encoding="utf-8" standalone="yes"?><Relationships xmlns="http://schemas.openxmlformats.org/package/2006/relationships"><Relationship Id="rId1" Type="http://schemas.openxmlformats.org/officeDocument/2006/relationships/package" Target="../embeddings/Microsoft_Excel_Worksheet16.xlsx" /><Relationship Id="rId2" Type="http://schemas.openxmlformats.org/officeDocument/2006/relationships/themeOverride" Target="../theme/themeOverride5.xml" /></Relationships>
</file>

<file path=word/charts/_rels/chart17.xml.rels>&#65279;<?xml version="1.0" encoding="utf-8" standalone="yes"?><Relationships xmlns="http://schemas.openxmlformats.org/package/2006/relationships"><Relationship Id="rId1" Type="http://schemas.openxmlformats.org/officeDocument/2006/relationships/package" Target="../embeddings/Microsoft_Excel_Worksheet17.xlsx" /><Relationship Id="rId2" Type="http://schemas.openxmlformats.org/officeDocument/2006/relationships/themeOverride" Target="../theme/themeOverride6.xml" /></Relationships>
</file>

<file path=word/charts/_rels/chart18.xml.rels>&#65279;<?xml version="1.0" encoding="utf-8" standalone="yes"?><Relationships xmlns="http://schemas.openxmlformats.org/package/2006/relationships"><Relationship Id="rId1" Type="http://schemas.openxmlformats.org/officeDocument/2006/relationships/oleObject" Target="file:///C:\Users\janis.paiders\Documents\dokumenti_2014\2017_02_13%20Prezent&#257;cija%20FM%202017\IZM_AI_FinMin_panelis_03-042016_JP.xlsx" TargetMode="External" /></Relationships>
</file>

<file path=word/charts/_rels/chart19.xml.rels>&#65279;<?xml version="1.0" encoding="utf-8" standalone="yes"?><Relationships xmlns="http://schemas.openxmlformats.org/package/2006/relationships"><Relationship Id="rId1" Type="http://schemas.openxmlformats.org/officeDocument/2006/relationships/package" Target="../embeddings/Microsoft_Excel_Worksheet18.xlsx"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_rels/chart20.xml.rels>&#65279;<?xml version="1.0" encoding="utf-8" standalone="yes"?><Relationships xmlns="http://schemas.openxmlformats.org/package/2006/relationships"><Relationship Id="rId1" Type="http://schemas.openxmlformats.org/officeDocument/2006/relationships/oleObject" Target="file:///C:\Users\SilinsJ\Desktop\ino%20uzn%20sk.xlsx" TargetMode="External" /></Relationships>
</file>

<file path=word/charts/_rels/chart21.xml.rels>&#65279;<?xml version="1.0" encoding="utf-8" standalone="yes"?><Relationships xmlns="http://schemas.openxmlformats.org/package/2006/relationships"><Relationship Id="rId1" Type="http://schemas.openxmlformats.org/officeDocument/2006/relationships/package" Target="../embeddings/Microsoft_Excel_Worksheet19.xlsx" /><Relationship Id="rId2" Type="http://schemas.openxmlformats.org/officeDocument/2006/relationships/themeOverride" Target="../theme/themeOverride7.xml" /></Relationships>
</file>

<file path=word/charts/_rels/chart22.xml.rels>&#65279;<?xml version="1.0" encoding="utf-8" standalone="yes"?><Relationships xmlns="http://schemas.openxmlformats.org/package/2006/relationships"><Relationship Id="rId1" Type="http://schemas.openxmlformats.org/officeDocument/2006/relationships/oleObject" Target="file:///C:\Users\janis.paiders\Documents\dokumenti_2014\ZTAI%20pamatnost&#257;d&#326;u%20infozi&#326;ojums\DATU%20ANAL&#298;ZE\Grafiki.xlsx" TargetMode="External" /><Relationship Id="rId2" Type="http://schemas.microsoft.com/office/2011/relationships/chartColorStyle" Target="chart/colors1.xml" /><Relationship Id="rId3" Type="http://schemas.microsoft.com/office/2011/relationships/chartStyle" Target="chart/style1.xml" /></Relationships>
</file>

<file path=word/charts/_rels/chart23.xml.rels>&#65279;<?xml version="1.0" encoding="utf-8" standalone="yes"?><Relationships xmlns="http://schemas.openxmlformats.org/package/2006/relationships"><Relationship Id="rId1" Type="http://schemas.openxmlformats.org/officeDocument/2006/relationships/package" Target="../embeddings/Microsoft_Excel_Worksheet20.xlsx" /><Relationship Id="rId2" Type="http://schemas.openxmlformats.org/officeDocument/2006/relationships/themeOverride" Target="../theme/themeOverride8.xml" /></Relationships>
</file>

<file path=word/charts/_rels/chart24.xml.rels>&#65279;<?xml version="1.0" encoding="utf-8" standalone="yes"?><Relationships xmlns="http://schemas.openxmlformats.org/package/2006/relationships"><Relationship Id="rId1" Type="http://schemas.openxmlformats.org/officeDocument/2006/relationships/package" Target="../embeddings/Microsoft_Excel_Worksheet21.xlsx" /><Relationship Id="rId2" Type="http://schemas.openxmlformats.org/officeDocument/2006/relationships/themeOverride" Target="../theme/themeOverride9.xml" /></Relationships>
</file>

<file path=word/charts/_rels/chart25.xml.rels>&#65279;<?xml version="1.0" encoding="utf-8" standalone="yes"?><Relationships xmlns="http://schemas.openxmlformats.org/package/2006/relationships"><Relationship Id="rId1" Type="http://schemas.openxmlformats.org/officeDocument/2006/relationships/oleObject" Target="../embeddings/OleObject1.bin" /><Relationship Id="rId2" Type="http://schemas.openxmlformats.org/officeDocument/2006/relationships/themeOverride" Target="../theme/themeOverride10.xml" /></Relationships>
</file>

<file path=word/charts/_rels/chart26.xml.rels>&#65279;<?xml version="1.0" encoding="utf-8" standalone="yes"?><Relationships xmlns="http://schemas.openxmlformats.org/package/2006/relationships"><Relationship Id="rId1" Type="http://schemas.openxmlformats.org/officeDocument/2006/relationships/package" Target="../embeddings/Microsoft_Excel_Worksheet22.xlsx" /><Relationship Id="rId2" Type="http://schemas.openxmlformats.org/officeDocument/2006/relationships/themeOverride" Target="../theme/themeOverride11.xml" /></Relationships>
</file>

<file path=word/charts/_rels/chart27.xml.rels>&#65279;<?xml version="1.0" encoding="utf-8" standalone="yes"?><Relationships xmlns="http://schemas.openxmlformats.org/package/2006/relationships"><Relationship Id="rId1" Type="http://schemas.openxmlformats.org/officeDocument/2006/relationships/package" Target="../embeddings/Microsoft_Excel_Worksheet23.xlsx" /><Relationship Id="rId2" Type="http://schemas.openxmlformats.org/officeDocument/2006/relationships/themeOverride" Target="../theme/themeOverride12.xml" /></Relationships>
</file>

<file path=word/charts/_rels/chart28.xml.rels>&#65279;<?xml version="1.0" encoding="utf-8" standalone="yes"?><Relationships xmlns="http://schemas.openxmlformats.org/package/2006/relationships"><Relationship Id="rId1" Type="http://schemas.openxmlformats.org/officeDocument/2006/relationships/oleObject" Target="file:///C:\Users\janis.paiders\Documents\dokumenti_2014\ZTAI%20pamatnost&#257;d&#326;u%20infozi&#326;ojums\DATU%20ANAL&#298;ZE\patenti.xlsx" TargetMode="External" /></Relationships>
</file>

<file path=word/charts/_rels/chart29.xml.rels>&#65279;<?xml version="1.0" encoding="utf-8" standalone="yes"?><Relationships xmlns="http://schemas.openxmlformats.org/package/2006/relationships"><Relationship Id="rId1" Type="http://schemas.openxmlformats.org/officeDocument/2006/relationships/oleObject" Target="file:///C:\Users\janis.paiders\Documents\dokumenti_2014\ZTAI%20pamatnost&#257;d&#326;u%20infozi&#326;ojums\DATU%20ANAL&#298;ZE\patenti.xlsx" TargetMode="Externa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s>
</file>

<file path=word/charts/_rels/chart30.xml.rels>&#65279;<?xml version="1.0" encoding="utf-8" standalone="yes"?><Relationships xmlns="http://schemas.openxmlformats.org/package/2006/relationships"><Relationship Id="rId1" Type="http://schemas.openxmlformats.org/officeDocument/2006/relationships/oleObject" Target="file:///C:\Users\janis.paiders\Documents\dokumenti_2014\ZTAI%20pamatnost&#257;d&#326;u%20infozi&#326;ojums\DATU%20ANAL&#298;ZE\patenti.xlsx" TargetMode="External" /></Relationships>
</file>

<file path=word/charts/_rels/chart31.xml.rels>&#65279;<?xml version="1.0" encoding="utf-8" standalone="yes"?><Relationships xmlns="http://schemas.openxmlformats.org/package/2006/relationships"><Relationship Id="rId1" Type="http://schemas.openxmlformats.org/officeDocument/2006/relationships/package" Target="../embeddings/Microsoft_Excel_Worksheet24.xlsx" /><Relationship Id="rId2" Type="http://schemas.openxmlformats.org/officeDocument/2006/relationships/themeOverride" Target="../theme/themeOverride13.xml" /></Relationships>
</file>

<file path=word/charts/_rels/chart32.xml.rels>&#65279;<?xml version="1.0" encoding="utf-8" standalone="yes"?><Relationships xmlns="http://schemas.openxmlformats.org/package/2006/relationships"><Relationship Id="rId1" Type="http://schemas.openxmlformats.org/officeDocument/2006/relationships/package" Target="../embeddings/Microsoft_Excel_Worksheet25.xlsx" /><Relationship Id="rId2" Type="http://schemas.openxmlformats.org/officeDocument/2006/relationships/themeOverride" Target="../theme/themeOverride14.xml" /></Relationships>
</file>

<file path=word/charts/_rels/chart33.xml.rels>&#65279;<?xml version="1.0" encoding="utf-8" standalone="yes"?><Relationships xmlns="http://schemas.openxmlformats.org/package/2006/relationships"><Relationship Id="rId1" Type="http://schemas.openxmlformats.org/officeDocument/2006/relationships/package" Target="../embeddings/Microsoft_Excel_Worksheet26.xlsx" /><Relationship Id="rId2" Type="http://schemas.openxmlformats.org/officeDocument/2006/relationships/themeOverride" Target="../theme/themeOverride15.xml" /></Relationships>
</file>

<file path=word/charts/_rels/chart34.xml.rels>&#65279;<?xml version="1.0" encoding="utf-8" standalone="yes"?><Relationships xmlns="http://schemas.openxmlformats.org/package/2006/relationships"><Relationship Id="rId1" Type="http://schemas.openxmlformats.org/officeDocument/2006/relationships/oleObject" Target="file:///C:\Users\janis.paiders\Documents\dokumenti_2014\ZTAI%20pamatnost&#257;d&#326;u%20infozi&#326;ojums\Publik&#257;cijas.xlsx" TargetMode="External" /></Relationships>
</file>

<file path=word/charts/_rels/chart35.xml.rels>&#65279;<?xml version="1.0" encoding="utf-8" standalone="yes"?><Relationships xmlns="http://schemas.openxmlformats.org/package/2006/relationships"><Relationship Id="rId1" Type="http://schemas.openxmlformats.org/officeDocument/2006/relationships/package" Target="../embeddings/Microsoft_Excel_Worksheet27.xlsx" /><Relationship Id="rId2" Type="http://schemas.openxmlformats.org/officeDocument/2006/relationships/themeOverride" Target="../theme/themeOverride16.xml" /></Relationships>
</file>

<file path=word/charts/_rels/chart36.xml.rels>&#65279;<?xml version="1.0" encoding="utf-8" standalone="yes"?><Relationships xmlns="http://schemas.openxmlformats.org/package/2006/relationships"><Relationship Id="rId1" Type="http://schemas.openxmlformats.org/officeDocument/2006/relationships/package" Target="../embeddings/Microsoft_Excel_Worksheet28.xlsx" /><Relationship Id="rId2" Type="http://schemas.openxmlformats.org/officeDocument/2006/relationships/themeOverride" Target="../theme/themeOverride17.xml" /></Relationships>
</file>

<file path=word/charts/_rels/chart37.xml.rels>&#65279;<?xml version="1.0" encoding="utf-8" standalone="yes"?><Relationships xmlns="http://schemas.openxmlformats.org/package/2006/relationships"><Relationship Id="rId1" Type="http://schemas.openxmlformats.org/officeDocument/2006/relationships/package" Target="../embeddings/Microsoft_Excel_Worksheet29.xlsx" /><Relationship Id="rId2" Type="http://schemas.openxmlformats.org/officeDocument/2006/relationships/themeOverride" Target="../theme/themeOverride18.xml" /></Relationships>
</file>

<file path=word/charts/_rels/chart38.xml.rels>&#65279;<?xml version="1.0" encoding="utf-8" standalone="yes"?><Relationships xmlns="http://schemas.openxmlformats.org/package/2006/relationships"><Relationship Id="rId1" Type="http://schemas.openxmlformats.org/officeDocument/2006/relationships/package" Target="../embeddings/Microsoft_Excel_Worksheet30.xlsx" /><Relationship Id="rId2" Type="http://schemas.openxmlformats.org/officeDocument/2006/relationships/themeOverride" Target="../theme/themeOverride19.xml" /></Relationships>
</file>

<file path=word/charts/_rels/chart39.xml.rels>&#65279;<?xml version="1.0" encoding="utf-8" standalone="yes"?><Relationships xmlns="http://schemas.openxmlformats.org/package/2006/relationships"><Relationship Id="rId1" Type="http://schemas.openxmlformats.org/officeDocument/2006/relationships/package" Target="../embeddings/Microsoft_Excel_Worksheet31.xlsx" /><Relationship Id="rId2" Type="http://schemas.openxmlformats.org/officeDocument/2006/relationships/themeOverride" Target="../theme/themeOverride20.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openxmlformats.org/officeDocument/2006/relationships/chartUserShapes" Target="../drawings/drawing1.xml" /></Relationships>
</file>

<file path=word/charts/_rels/chart40.xml.rels>&#65279;<?xml version="1.0" encoding="utf-8" standalone="yes"?><Relationships xmlns="http://schemas.openxmlformats.org/package/2006/relationships"><Relationship Id="rId1" Type="http://schemas.openxmlformats.org/officeDocument/2006/relationships/package" Target="../embeddings/Microsoft_Excel_Worksheet32.xlsx" /><Relationship Id="rId2" Type="http://schemas.openxmlformats.org/officeDocument/2006/relationships/themeOverride" Target="../theme/themeOverride21.xml" /></Relationships>
</file>

<file path=word/charts/_rels/chart41.xml.rels>&#65279;<?xml version="1.0" encoding="utf-8" standalone="yes"?><Relationships xmlns="http://schemas.openxmlformats.org/package/2006/relationships"><Relationship Id="rId1" Type="http://schemas.openxmlformats.org/officeDocument/2006/relationships/package" Target="../embeddings/Microsoft_Excel_Worksheet33.xlsx" /><Relationship Id="rId2" Type="http://schemas.openxmlformats.org/officeDocument/2006/relationships/themeOverride" Target="../theme/themeOverride22.xml" /></Relationships>
</file>

<file path=word/charts/_rels/chart42.xml.rels>&#65279;<?xml version="1.0" encoding="utf-8" standalone="yes"?><Relationships xmlns="http://schemas.openxmlformats.org/package/2006/relationships"><Relationship Id="rId1" Type="http://schemas.openxmlformats.org/officeDocument/2006/relationships/package" Target="../embeddings/Microsoft_Excel_Worksheet34.xlsx" /><Relationship Id="rId2" Type="http://schemas.openxmlformats.org/officeDocument/2006/relationships/themeOverride" Target="../theme/themeOverride23.xml" /></Relationships>
</file>

<file path=word/charts/_rels/chart43.xml.rels>&#65279;<?xml version="1.0" encoding="utf-8" standalone="yes"?><Relationships xmlns="http://schemas.openxmlformats.org/package/2006/relationships"><Relationship Id="rId1" Type="http://schemas.openxmlformats.org/officeDocument/2006/relationships/package" Target="../embeddings/Microsoft_Excel_Worksheet35.xlsx" /><Relationship Id="rId2" Type="http://schemas.openxmlformats.org/officeDocument/2006/relationships/themeOverride" Target="../theme/themeOverride24.xml" /></Relationships>
</file>

<file path=word/charts/_rels/chart44.xml.rels>&#65279;<?xml version="1.0" encoding="utf-8" standalone="yes"?><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RIS3\IZSTR&#256;D&#274;%20RIS3%20progresa%20zi&#326;ojums%202017\P&#274;C%20VSS_atk&#257;rtotai%20saska&#326;o&#353;anai\1111%20un%201112.xlsx" TargetMode="External" /><Relationship Id="rId2" Type="http://schemas.microsoft.com/office/2011/relationships/chartColorStyle" Target="chart/colors2.xml" /><Relationship Id="rId3" Type="http://schemas.microsoft.com/office/2011/relationships/chartStyle" Target="chart/style2.xml" /></Relationships>
</file>

<file path=word/charts/_rels/chart45.xml.rels>&#65279;<?xml version="1.0" encoding="utf-8" standalone="yes"?><Relationships xmlns="http://schemas.openxmlformats.org/package/2006/relationships"><Relationship Id="rId1" Type="http://schemas.openxmlformats.org/officeDocument/2006/relationships/package" Target="../embeddings/Microsoft_Excel_Worksheet36.xlsx" /><Relationship Id="rId2" Type="http://schemas.openxmlformats.org/officeDocument/2006/relationships/themeOverride" Target="../theme/themeOverride25.xml" /></Relationships>
</file>

<file path=word/charts/_rels/chart46.xml.rels>&#65279;<?xml version="1.0" encoding="utf-8" standalone="yes"?><Relationships xmlns="http://schemas.openxmlformats.org/package/2006/relationships"><Relationship Id="rId1" Type="http://schemas.openxmlformats.org/officeDocument/2006/relationships/oleObject" Target="file:///C:\Users\janis.paiders\Documents\dokumenti_2014\ZTAI%20pamatnost&#257;d&#326;u%20infozi&#326;ojums\DATU%20ANAL&#298;ZE\patenti.xlsx" TargetMode="External" /></Relationships>
</file>

<file path=word/charts/_rels/chart47.xml.rels>&#65279;<?xml version="1.0" encoding="utf-8" standalone="yes"?><Relationships xmlns="http://schemas.openxmlformats.org/package/2006/relationships"><Relationship Id="rId1" Type="http://schemas.openxmlformats.org/officeDocument/2006/relationships/oleObject" Target="file:///C:\Users\janis.paiders\Documents\dokumenti_2014\ZTAI%20pamatnost&#257;d&#326;u%20infozi&#326;ojums\DATU%20ANAL&#298;ZE\patenti.xlsx" TargetMode="External" /></Relationships>
</file>

<file path=word/charts/_rels/chart48.xml.rels>&#65279;<?xml version="1.0" encoding="utf-8" standalone="yes"?><Relationships xmlns="http://schemas.openxmlformats.org/package/2006/relationships"><Relationship Id="rId1" Type="http://schemas.openxmlformats.org/officeDocument/2006/relationships/oleObject" Target="file:///C:\Users\janis.paiders\AppData\Local\Microsoft\Windows\INetCache\Content.Outlook\P31TNQQM\1111%20un%201112.xlsx" TargetMode="External" /></Relationships>
</file>

<file path=word/charts/_rels/chart49.xml.rels>&#65279;<?xml version="1.0" encoding="utf-8" standalone="yes"?><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RIS3\IZSTR&#256;D&#274;%20RIS3%20progresa%20zi&#326;ojums%202017\P&#274;C%20VSS_atk&#257;rtotai%20saska&#326;o&#353;anai\1111%20un%201112.xlsx" TargetMode="External" /><Relationship Id="rId2" Type="http://schemas.microsoft.com/office/2011/relationships/chartColorStyle" Target="chart/colors3.xml" /><Relationship Id="rId3" Type="http://schemas.microsoft.com/office/2011/relationships/chartStyle" Target="chart/style3.xml" /></Relationships>
</file>

<file path=word/charts/_rels/chart5.xml.rels>&#65279;<?xml version="1.0" encoding="utf-8" standalone="yes"?><Relationships xmlns="http://schemas.openxmlformats.org/package/2006/relationships"><Relationship Id="rId1" Type="http://schemas.openxmlformats.org/officeDocument/2006/relationships/package" Target="../embeddings/Microsoft_Excel_Worksheet5.xlsx" /></Relationships>
</file>

<file path=word/charts/_rels/chart50.xml.rels>&#65279;<?xml version="1.0" encoding="utf-8" standalone="yes"?><Relationships xmlns="http://schemas.openxmlformats.org/package/2006/relationships"><Relationship Id="rId1" Type="http://schemas.openxmlformats.org/officeDocument/2006/relationships/oleObject" Target="file:///\\IZM-S-FOXTROT\Departamenti\SSFID\SSFID\ES%20fondu%20invest&#299;ciju%20pamatojums%202014.-2020.gadam\Zinatne_un_augst.izglitiba\RIS3\IZSTR&#256;D&#274;%20RIS3%20progresa%20zi&#326;ojums%202017\P&#274;C%20VSS_atk&#257;rtotai%20saska&#326;o&#353;anai\1111%20un%201112.xlsx" TargetMode="External" /><Relationship Id="rId2" Type="http://schemas.microsoft.com/office/2011/relationships/chartColorStyle" Target="chart/colors4.xml" /><Relationship Id="rId3" Type="http://schemas.microsoft.com/office/2011/relationships/chartStyle" Target="chart/style4.xml" /></Relationships>
</file>

<file path=word/charts/_rels/chart51.xml.rels>&#65279;<?xml version="1.0" encoding="utf-8" standalone="yes"?><Relationships xmlns="http://schemas.openxmlformats.org/package/2006/relationships"><Relationship Id="rId1" Type="http://schemas.openxmlformats.org/officeDocument/2006/relationships/oleObject" Target="file:///C:\Users\Ieva.Grike\Desktop\1111%20un%201112.xlsx" TargetMode="External" /><Relationship Id="rId2" Type="http://schemas.openxmlformats.org/officeDocument/2006/relationships/chartUserShapes" Target="../drawings/drawing3.xml" /></Relationships>
</file>

<file path=word/charts/_rels/chart52.xml.rels>&#65279;<?xml version="1.0" encoding="utf-8" standalone="yes"?><Relationships xmlns="http://schemas.openxmlformats.org/package/2006/relationships"><Relationship Id="rId1" Type="http://schemas.openxmlformats.org/officeDocument/2006/relationships/package" Target="../embeddings/Microsoft_Excel_Worksheet37.xlsx" /><Relationship Id="rId2" Type="http://schemas.openxmlformats.org/officeDocument/2006/relationships/themeOverride" Target="../theme/themeOverride26.xml" /></Relationships>
</file>

<file path=word/charts/_rels/chart53.xml.rels>&#65279;<?xml version="1.0" encoding="utf-8" standalone="yes"?><Relationships xmlns="http://schemas.openxmlformats.org/package/2006/relationships"><Relationship Id="rId1" Type="http://schemas.openxmlformats.org/officeDocument/2006/relationships/package" Target="../embeddings/Microsoft_Excel_Worksheet38.xlsx" /><Relationship Id="rId2" Type="http://schemas.openxmlformats.org/officeDocument/2006/relationships/themeOverride" Target="../theme/themeOverride27.xml" /></Relationships>
</file>

<file path=word/charts/_rels/chart54.xml.rels>&#65279;<?xml version="1.0" encoding="utf-8" standalone="yes"?><Relationships xmlns="http://schemas.openxmlformats.org/package/2006/relationships"><Relationship Id="rId1" Type="http://schemas.openxmlformats.org/officeDocument/2006/relationships/package" Target="../embeddings/Microsoft_Excel_Worksheet39.xlsx" /><Relationship Id="rId2" Type="http://schemas.openxmlformats.org/officeDocument/2006/relationships/themeOverride" Target="../theme/themeOverride28.xml" /></Relationships>
</file>

<file path=word/charts/_rels/chart6.xml.rels>&#65279;<?xml version="1.0" encoding="utf-8" standalone="yes"?><Relationships xmlns="http://schemas.openxmlformats.org/package/2006/relationships"><Relationship Id="rId1" Type="http://schemas.openxmlformats.org/officeDocument/2006/relationships/package" Target="../embeddings/Microsoft_Excel_Worksheet6.xlsx" /></Relationships>
</file>

<file path=word/charts/_rels/chart7.xml.rels>&#65279;<?xml version="1.0" encoding="utf-8" standalone="yes"?><Relationships xmlns="http://schemas.openxmlformats.org/package/2006/relationships"><Relationship Id="rId1" Type="http://schemas.openxmlformats.org/officeDocument/2006/relationships/package" Target="../embeddings/Microsoft_Excel_Worksheet7.xlsx" /></Relationships>
</file>

<file path=word/charts/_rels/chart8.xml.rels>&#65279;<?xml version="1.0" encoding="utf-8" standalone="yes"?><Relationships xmlns="http://schemas.openxmlformats.org/package/2006/relationships"><Relationship Id="rId1" Type="http://schemas.openxmlformats.org/officeDocument/2006/relationships/package" Target="../embeddings/Microsoft_Excel_Worksheet8.xlsx" /></Relationships>
</file>

<file path=word/charts/_rels/chart9.xml.rels>&#65279;<?xml version="1.0" encoding="utf-8" standalone="yes"?><Relationships xmlns="http://schemas.openxmlformats.org/package/2006/relationships"><Relationship Id="rId1" Type="http://schemas.openxmlformats.org/officeDocument/2006/relationships/package" Target="../embeddings/Microsoft_Excel_Worksheet9.xlsx"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sx="100000" sy="100000" kx="0" ky="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sx="100000" sy="100000" kx="0" ky="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dist="0" dir="0" sx="102000" sy="102000" kx="0" ky="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0">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0">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chart/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sx="100000" sy="100000" kx="0" ky="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sx="100000" sy="100000" kx="0" ky="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dist="0" dir="0" sx="102000" sy="102000" kx="0" ky="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0">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0">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0962202627300904"/>
          <c:y val="0.032239949725269064"/>
          <c:w val="0.96057613465509262"/>
          <c:h val="0.90696682381086358"/>
        </c:manualLayout>
      </c:layout>
      <c:barChart>
        <c:barDir val="col"/>
        <c:grouping val="clustered"/>
        <c:varyColors val="0"/>
        <c:ser>
          <c:idx val="2"/>
          <c:order val="1"/>
          <c:tx>
            <c:strRef>
              <c:f>Sheet1!$A$4</c:f>
              <c:strCache>
                <c:ptCount val="1"/>
              </c:strCache>
            </c:strRef>
          </c:tx>
          <c:spPr>
            <a:solidFill>
              <a:schemeClr val="bg2"/>
            </a:solidFill>
          </c:spPr>
          <c:invertIfNegative val="0"/>
          <c:cat>
            <c:numRef>
              <c:f>Sheet1!$B$1:$AP$1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Sheet1!$B$4:$AP$4</c:f>
              <c:numCache>
                <c:formatCode>General</c:formatCode>
                <c:ptCount val="19"/>
              </c:numCache>
            </c:numRef>
          </c:val>
          <c:extLst>
            <c:ext xmlns:c="http://schemas.openxmlformats.org/drawingml/2006/chart" xmlns:c16="http://schemas.microsoft.com/office/drawing/2014/chart" uri="{C3380CC4-5D6E-409C-BE32-E72D297353CC}">
              <c16:uniqueId val="{00000000-B3AC-4CA6-815B-442FDC9E87DB}"/>
            </c:ext>
          </c:extLst>
        </c:ser>
        <c:dLbls>
          <c:showLegendKey val="0"/>
          <c:showVal val="0"/>
          <c:showCatName val="0"/>
          <c:showSerName val="0"/>
          <c:showPercent val="0"/>
          <c:showBubbleSize val="0"/>
        </c:dLbls>
        <c:gapWidth val="0"/>
        <c:axId val="304293008"/>
        <c:axId val="304294576"/>
      </c:barChart>
      <c:lineChart>
        <c:grouping val="standard"/>
        <c:varyColors val="0"/>
        <c:ser>
          <c:idx val="0"/>
          <c:order val="0"/>
          <c:tx>
            <c:strRef>
              <c:f>Sheet1!$A$2</c:f>
              <c:strCache>
                <c:ptCount val="1"/>
                <c:pt idx="0">
                  <c:v>Mērķa scenārijs</c:v>
                </c:pt>
              </c:strCache>
            </c:strRef>
          </c:tx>
          <c:spPr>
            <a:ln w="28575">
              <a:solidFill>
                <a:srgbClr val="FF0000"/>
              </a:solidFill>
            </a:ln>
          </c:spPr>
          <c:marker>
            <c:symbol val="none"/>
          </c:marker>
          <c:dPt>
            <c:idx val="1"/>
            <c:bubble3D val="0"/>
            <c:spPr>
              <a:ln w="28575">
                <a:solidFill>
                  <a:schemeClr val="tx1"/>
                </a:solidFill>
              </a:ln>
            </c:spPr>
            <c:extLst>
              <c:ext xmlns:c="http://schemas.openxmlformats.org/drawingml/2006/chart" xmlns:c16="http://schemas.microsoft.com/office/drawing/2014/chart" uri="{C3380CC4-5D6E-409C-BE32-E72D297353CC}">
                <c16:uniqueId val="{00000002-B3AC-4CA6-815B-442FDC9E87DB}"/>
              </c:ext>
            </c:extLst>
          </c:dPt>
          <c:dPt>
            <c:idx val="2"/>
            <c:bubble3D val="0"/>
            <c:spPr>
              <a:ln w="28575">
                <a:solidFill>
                  <a:schemeClr val="tx1"/>
                </a:solidFill>
              </a:ln>
            </c:spPr>
            <c:extLst>
              <c:ext xmlns:c="http://schemas.openxmlformats.org/drawingml/2006/chart" xmlns:c16="http://schemas.microsoft.com/office/drawing/2014/chart" uri="{C3380CC4-5D6E-409C-BE32-E72D297353CC}">
                <c16:uniqueId val="{00000004-B3AC-4CA6-815B-442FDC9E87DB}"/>
              </c:ext>
            </c:extLst>
          </c:dPt>
          <c:dPt>
            <c:idx val="3"/>
            <c:bubble3D val="0"/>
            <c:spPr>
              <a:ln w="28575">
                <a:solidFill>
                  <a:schemeClr val="tx1"/>
                </a:solidFill>
              </a:ln>
            </c:spPr>
            <c:extLst>
              <c:ext xmlns:c="http://schemas.openxmlformats.org/drawingml/2006/chart" xmlns:c16="http://schemas.microsoft.com/office/drawing/2014/chart" uri="{C3380CC4-5D6E-409C-BE32-E72D297353CC}">
                <c16:uniqueId val="{00000006-B3AC-4CA6-815B-442FDC9E87DB}"/>
              </c:ext>
            </c:extLst>
          </c:dPt>
          <c:dPt>
            <c:idx val="4"/>
            <c:bubble3D val="0"/>
            <c:spPr>
              <a:ln w="28575">
                <a:solidFill>
                  <a:schemeClr val="tx1"/>
                </a:solidFill>
              </a:ln>
            </c:spPr>
            <c:extLst>
              <c:ext xmlns:c="http://schemas.openxmlformats.org/drawingml/2006/chart" xmlns:c16="http://schemas.microsoft.com/office/drawing/2014/chart" uri="{C3380CC4-5D6E-409C-BE32-E72D297353CC}">
                <c16:uniqueId val="{00000008-B3AC-4CA6-815B-442FDC9E87DB}"/>
              </c:ext>
            </c:extLst>
          </c:dPt>
          <c:dPt>
            <c:idx val="5"/>
            <c:bubble3D val="0"/>
            <c:spPr>
              <a:ln w="28575">
                <a:solidFill>
                  <a:schemeClr val="tx1"/>
                </a:solidFill>
              </a:ln>
            </c:spPr>
            <c:extLst>
              <c:ext xmlns:c="http://schemas.openxmlformats.org/drawingml/2006/chart" xmlns:c16="http://schemas.microsoft.com/office/drawing/2014/chart" uri="{C3380CC4-5D6E-409C-BE32-E72D297353CC}">
                <c16:uniqueId val="{0000000A-B3AC-4CA6-815B-442FDC9E87DB}"/>
              </c:ext>
            </c:extLst>
          </c:dPt>
          <c:dPt>
            <c:idx val="6"/>
            <c:bubble3D val="0"/>
            <c:spPr>
              <a:ln w="28575">
                <a:solidFill>
                  <a:schemeClr val="tx1"/>
                </a:solidFill>
              </a:ln>
            </c:spPr>
            <c:extLst>
              <c:ext xmlns:c="http://schemas.openxmlformats.org/drawingml/2006/chart" xmlns:c16="http://schemas.microsoft.com/office/drawing/2014/chart" uri="{C3380CC4-5D6E-409C-BE32-E72D297353CC}">
                <c16:uniqueId val="{0000000C-B3AC-4CA6-815B-442FDC9E87DB}"/>
              </c:ext>
            </c:extLst>
          </c:dPt>
          <c:dPt>
            <c:idx val="7"/>
            <c:bubble3D val="0"/>
            <c:spPr>
              <a:ln w="28575">
                <a:solidFill>
                  <a:schemeClr val="tx1"/>
                </a:solidFill>
              </a:ln>
            </c:spPr>
            <c:extLst>
              <c:ext xmlns:c="http://schemas.openxmlformats.org/drawingml/2006/chart" xmlns:c16="http://schemas.microsoft.com/office/drawing/2014/chart" uri="{C3380CC4-5D6E-409C-BE32-E72D297353CC}">
                <c16:uniqueId val="{0000000E-B3AC-4CA6-815B-442FDC9E87DB}"/>
              </c:ext>
            </c:extLst>
          </c:dPt>
          <c:dPt>
            <c:idx val="8"/>
            <c:bubble3D val="0"/>
            <c:spPr>
              <a:ln w="28575">
                <a:solidFill>
                  <a:schemeClr val="tx1"/>
                </a:solidFill>
              </a:ln>
            </c:spPr>
            <c:extLst>
              <c:ext xmlns:c="http://schemas.openxmlformats.org/drawingml/2006/chart" xmlns:c16="http://schemas.microsoft.com/office/drawing/2014/chart" uri="{C3380CC4-5D6E-409C-BE32-E72D297353CC}">
                <c16:uniqueId val="{00000010-B3AC-4CA6-815B-442FDC9E87DB}"/>
              </c:ext>
            </c:extLst>
          </c:dPt>
          <c:dPt>
            <c:idx val="9"/>
            <c:bubble3D val="0"/>
            <c:spPr>
              <a:ln w="28575">
                <a:solidFill>
                  <a:schemeClr val="tx1"/>
                </a:solidFill>
              </a:ln>
            </c:spPr>
            <c:extLst>
              <c:ext xmlns:c="http://schemas.openxmlformats.org/drawingml/2006/chart" xmlns:c16="http://schemas.microsoft.com/office/drawing/2014/chart" uri="{C3380CC4-5D6E-409C-BE32-E72D297353CC}">
                <c16:uniqueId val="{00000012-B3AC-4CA6-815B-442FDC9E87DB}"/>
              </c:ext>
            </c:extLst>
          </c:dPt>
          <c:dPt>
            <c:idx val="10"/>
            <c:bubble3D val="0"/>
            <c:spPr>
              <a:ln w="28575">
                <a:solidFill>
                  <a:schemeClr val="tx1"/>
                </a:solidFill>
              </a:ln>
            </c:spPr>
            <c:extLst>
              <c:ext xmlns:c="http://schemas.openxmlformats.org/drawingml/2006/chart" xmlns:c16="http://schemas.microsoft.com/office/drawing/2014/chart" uri="{C3380CC4-5D6E-409C-BE32-E72D297353CC}">
                <c16:uniqueId val="{00000014-B3AC-4CA6-815B-442FDC9E87DB}"/>
              </c:ext>
            </c:extLst>
          </c:dPt>
          <c:dPt>
            <c:idx val="11"/>
            <c:bubble3D val="0"/>
            <c:spPr>
              <a:ln w="28575">
                <a:solidFill>
                  <a:schemeClr val="tx1"/>
                </a:solidFill>
              </a:ln>
            </c:spPr>
            <c:extLst>
              <c:ext xmlns:c="http://schemas.openxmlformats.org/drawingml/2006/chart" xmlns:c16="http://schemas.microsoft.com/office/drawing/2014/chart" uri="{C3380CC4-5D6E-409C-BE32-E72D297353CC}">
                <c16:uniqueId val="{00000016-B3AC-4CA6-815B-442FDC9E87DB}"/>
              </c:ext>
            </c:extLst>
          </c:dPt>
          <c:dPt>
            <c:idx val="12"/>
            <c:bubble3D val="0"/>
            <c:spPr>
              <a:ln w="28575">
                <a:solidFill>
                  <a:schemeClr val="tx1"/>
                </a:solidFill>
              </a:ln>
            </c:spPr>
            <c:extLst>
              <c:ext xmlns:c="http://schemas.openxmlformats.org/drawingml/2006/chart" xmlns:c16="http://schemas.microsoft.com/office/drawing/2014/chart" uri="{C3380CC4-5D6E-409C-BE32-E72D297353CC}">
                <c16:uniqueId val="{00000016-FBEF-4CB5-B94C-1ED7FE6ACD5F}"/>
              </c:ext>
            </c:extLst>
          </c:dPt>
          <c:dPt>
            <c:idx val="13"/>
            <c:bubble3D val="0"/>
            <c:spPr>
              <a:ln w="28575">
                <a:solidFill>
                  <a:schemeClr val="accent1"/>
                </a:solidFill>
              </a:ln>
            </c:spPr>
            <c:extLst>
              <c:ext xmlns:c="http://schemas.openxmlformats.org/drawingml/2006/chart" xmlns:c16="http://schemas.microsoft.com/office/drawing/2014/chart" uri="{C3380CC4-5D6E-409C-BE32-E72D297353CC}">
                <c16:uniqueId val="{00000019-E3B3-4C27-9863-8819F7891B05}"/>
              </c:ext>
            </c:extLst>
          </c:dPt>
          <c:dPt>
            <c:idx val="14"/>
            <c:bubble3D val="0"/>
            <c:spPr>
              <a:ln w="28575">
                <a:solidFill>
                  <a:schemeClr val="accent1"/>
                </a:solidFill>
              </a:ln>
            </c:spPr>
            <c:extLst>
              <c:ext xmlns:c="http://schemas.openxmlformats.org/drawingml/2006/chart" xmlns:c16="http://schemas.microsoft.com/office/drawing/2014/chart" uri="{C3380CC4-5D6E-409C-BE32-E72D297353CC}">
                <c16:uniqueId val="{0000001B-E3B3-4C27-9863-8819F7891B05}"/>
              </c:ext>
            </c:extLst>
          </c:dPt>
          <c:dPt>
            <c:idx val="15"/>
            <c:bubble3D val="0"/>
            <c:spPr>
              <a:ln w="28575">
                <a:solidFill>
                  <a:schemeClr val="accent1"/>
                </a:solidFill>
              </a:ln>
            </c:spPr>
            <c:extLst>
              <c:ext xmlns:c="http://schemas.openxmlformats.org/drawingml/2006/chart" xmlns:c16="http://schemas.microsoft.com/office/drawing/2014/chart" uri="{C3380CC4-5D6E-409C-BE32-E72D297353CC}">
                <c16:uniqueId val="{0000001D-E3B3-4C27-9863-8819F7891B05}"/>
              </c:ext>
            </c:extLst>
          </c:dPt>
          <c:dPt>
            <c:idx val="16"/>
            <c:bubble3D val="0"/>
            <c:spPr>
              <a:ln w="28575">
                <a:solidFill>
                  <a:schemeClr val="accent1"/>
                </a:solidFill>
              </a:ln>
            </c:spPr>
            <c:extLst>
              <c:ext xmlns:c="http://schemas.openxmlformats.org/drawingml/2006/chart" xmlns:c16="http://schemas.microsoft.com/office/drawing/2014/chart" uri="{C3380CC4-5D6E-409C-BE32-E72D297353CC}">
                <c16:uniqueId val="{0000001F-E3B3-4C27-9863-8819F7891B05}"/>
              </c:ext>
            </c:extLst>
          </c:dPt>
          <c:dPt>
            <c:idx val="17"/>
            <c:bubble3D val="0"/>
            <c:spPr>
              <a:ln w="28575">
                <a:solidFill>
                  <a:schemeClr val="accent1"/>
                </a:solidFill>
              </a:ln>
            </c:spPr>
            <c:extLst>
              <c:ext xmlns:c="http://schemas.openxmlformats.org/drawingml/2006/chart" xmlns:c16="http://schemas.microsoft.com/office/drawing/2014/chart" uri="{C3380CC4-5D6E-409C-BE32-E72D297353CC}">
                <c16:uniqueId val="{00000021-E3B3-4C27-9863-8819F7891B05}"/>
              </c:ext>
            </c:extLst>
          </c:dPt>
          <c:dPt>
            <c:idx val="18"/>
            <c:bubble3D val="0"/>
            <c:spPr>
              <a:ln w="28575">
                <a:solidFill>
                  <a:schemeClr val="accent1"/>
                </a:solidFill>
              </a:ln>
            </c:spPr>
            <c:extLst>
              <c:ext xmlns:c="http://schemas.openxmlformats.org/drawingml/2006/chart" xmlns:c16="http://schemas.microsoft.com/office/drawing/2014/chart" uri="{C3380CC4-5D6E-409C-BE32-E72D297353CC}">
                <c16:uniqueId val="{00000023-E3B3-4C27-9863-8819F7891B05}"/>
              </c:ext>
            </c:extLst>
          </c:dPt>
          <c:cat>
            <c:numRef>
              <c:f>Sheet1!$P$1:$AP$1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Sheet1!$B$2:$AP$2</c:f>
              <c:numCache>
                <c:formatCode>0</c:formatCode>
                <c:ptCount val="19"/>
                <c:pt idx="0">
                  <c:v>100</c:v>
                </c:pt>
                <c:pt idx="1">
                  <c:v>110.70158747507917</c:v>
                </c:pt>
                <c:pt idx="2">
                  <c:v>123.87754307155006</c:v>
                </c:pt>
                <c:pt idx="3">
                  <c:v>136.21641859317771</c:v>
                </c:pt>
                <c:pt idx="4">
                  <c:v>131.31584676156837</c:v>
                </c:pt>
                <c:pt idx="5">
                  <c:v>112.47344722461337</c:v>
                </c:pt>
                <c:pt idx="6">
                  <c:v>108.22167585701523</c:v>
                </c:pt>
                <c:pt idx="7">
                  <c:v>114.94385398019138</c:v>
                </c:pt>
                <c:pt idx="8">
                  <c:v>119.54762530914203</c:v>
                </c:pt>
                <c:pt idx="9">
                  <c:v>123.15993803119517</c:v>
                </c:pt>
                <c:pt idx="10">
                  <c:v>126.0655213528789</c:v>
                </c:pt>
                <c:pt idx="11">
                  <c:v>129.51466324314484</c:v>
                </c:pt>
                <c:pt idx="12">
                  <c:v>133.39163159526328</c:v>
                </c:pt>
                <c:pt idx="13">
                  <c:v>138.68125335592205</c:v>
                </c:pt>
                <c:pt idx="14">
                  <c:v>144.98665947111976</c:v>
                </c:pt>
                <c:pt idx="15">
                  <c:v>152.16665773223846</c:v>
                </c:pt>
                <c:pt idx="16">
                  <c:v>159.83709366378864</c:v>
                </c:pt>
                <c:pt idx="17">
                  <c:v>167.82958882838534</c:v>
                </c:pt>
                <c:pt idx="18">
                  <c:v>176.28551189970128</c:v>
                </c:pt>
              </c:numCache>
            </c:numRef>
          </c:val>
          <c:smooth val="0"/>
          <c:extLst>
            <c:ext xmlns:c="http://schemas.openxmlformats.org/drawingml/2006/chart" xmlns:c16="http://schemas.microsoft.com/office/drawing/2014/chart" uri="{C3380CC4-5D6E-409C-BE32-E72D297353CC}">
              <c16:uniqueId val="{00000017-B3AC-4CA6-815B-442FDC9E87DB}"/>
            </c:ext>
          </c:extLst>
        </c:ser>
        <c:ser>
          <c:idx val="1"/>
          <c:order val="2"/>
          <c:tx>
            <c:strRef>
              <c:f>Sheet1!$A$3</c:f>
              <c:strCache>
                <c:ptCount val="1"/>
                <c:pt idx="0">
                  <c:v>Trenda scenārijs</c:v>
                </c:pt>
              </c:strCache>
            </c:strRef>
          </c:tx>
          <c:spPr>
            <a:ln w="28575">
              <a:solidFill>
                <a:srgbClr val="C00000"/>
              </a:solidFill>
              <a:prstDash val="sysDash"/>
            </a:ln>
          </c:spPr>
          <c:marker>
            <c:symbol val="none"/>
          </c:marker>
          <c:cat>
            <c:numRef>
              <c:f>Sheet1!$P$1:$AP$1</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Sheet1!$P$3:$AP$3</c:f>
              <c:numCache>
                <c:formatCode>General</c:formatCode>
                <c:ptCount val="19"/>
                <c:pt idx="12" formatCode="0">
                  <c:v>133.39163159526328</c:v>
                </c:pt>
                <c:pt idx="13" formatCode="0">
                  <c:v>136.05946422716855</c:v>
                </c:pt>
                <c:pt idx="14" formatCode="0">
                  <c:v>139.05277244016625</c:v>
                </c:pt>
                <c:pt idx="15" formatCode="0">
                  <c:v>142.5290917511704</c:v>
                </c:pt>
                <c:pt idx="16" formatCode="0">
                  <c:v>146.09231904494965</c:v>
                </c:pt>
                <c:pt idx="17" formatCode="0">
                  <c:v>149.74462702107337</c:v>
                </c:pt>
                <c:pt idx="18" formatCode="0">
                  <c:v>153.4882426966002</c:v>
                </c:pt>
              </c:numCache>
            </c:numRef>
          </c:val>
          <c:smooth val="0"/>
          <c:extLst>
            <c:ext xmlns:c="http://schemas.openxmlformats.org/drawingml/2006/chart" xmlns:c16="http://schemas.microsoft.com/office/drawing/2014/chart" uri="{C3380CC4-5D6E-409C-BE32-E72D297353CC}">
              <c16:uniqueId val="{00000018-B3AC-4CA6-815B-442FDC9E87DB}"/>
            </c:ext>
          </c:extLst>
        </c:ser>
        <c:dLbls>
          <c:showLegendKey val="0"/>
          <c:showVal val="0"/>
          <c:showCatName val="0"/>
          <c:showSerName val="0"/>
          <c:showPercent val="0"/>
          <c:showBubbleSize val="0"/>
        </c:dLbls>
        <c:marker val="1"/>
        <c:smooth val="0"/>
        <c:axId val="304293008"/>
        <c:axId val="304294576"/>
      </c:lineChart>
      <c:catAx>
        <c:axId val="304293008"/>
        <c:scaling>
          <c:orientation val="minMax"/>
        </c:scaling>
        <c:delete val="0"/>
        <c:axPos val="b"/>
        <c:numFmt formatCode="General" sourceLinked="1"/>
        <c:majorTickMark val="out"/>
        <c:minorTickMark val="none"/>
        <c:tickLblPos val="low"/>
        <c:spPr>
          <a:ln w="3175">
            <a:noFill/>
          </a:ln>
        </c:spPr>
        <c:txPr>
          <a:bodyPr rot="0" vert="horz"/>
          <a:lstStyle/>
          <a:p>
            <a:pPr>
              <a:defRPr sz="700"/>
            </a:pPr>
            <a:endParaRPr lang="lv-LV"/>
          </a:p>
        </c:txPr>
        <c:crossAx val="304294576"/>
        <c:crosses val="autoZero"/>
        <c:lblAlgn val="ctr"/>
        <c:lblOffset val="100"/>
        <c:tickLblSkip val="1"/>
        <c:tickMarkSkip val="1"/>
        <c:noMultiLvlLbl val="0"/>
      </c:catAx>
      <c:valAx>
        <c:axId val="304294576"/>
        <c:scaling>
          <c:orientation val="minMax"/>
          <c:min val="90"/>
        </c:scaling>
        <c:delete val="0"/>
        <c:axPos val="l"/>
        <c:numFmt formatCode="0" sourceLinked="0"/>
        <c:majorTickMark val="out"/>
        <c:minorTickMark val="none"/>
        <c:tickLblPos val="nextTo"/>
        <c:spPr>
          <a:ln w="3175">
            <a:noFill/>
          </a:ln>
        </c:spPr>
        <c:txPr>
          <a:bodyPr rot="0" vert="horz"/>
          <a:lstStyle/>
          <a:p>
            <a:pPr>
              <a:defRPr sz="700"/>
            </a:pPr>
            <a:endParaRPr lang="lv-LV"/>
          </a:p>
        </c:txPr>
        <c:crossAx val="304293008"/>
        <c:crosses val="autoZero"/>
        <c:crossBetween val="between"/>
      </c:valAx>
      <c:spPr>
        <a:solidFill>
          <a:schemeClr val="bg1"/>
        </a:solidFill>
        <a:ln w="25398">
          <a:noFill/>
        </a:ln>
      </c:spPr>
    </c:plotArea>
    <c:plotVisOnly val="1"/>
    <c:dispBlanksAs val="gap"/>
    <c:showDLblsOverMax val="0"/>
  </c:chart>
  <c:spPr>
    <a:noFill/>
    <a:ln w="6350">
      <a:noFill/>
    </a:ln>
  </c:spPr>
  <c:txPr>
    <a:bodyPr/>
    <a:lstStyle/>
    <a:p>
      <a:pPr>
        <a:defRPr sz="900" b="0" i="0" u="none" strike="noStrike" baseline="0">
          <a:solidFill>
            <a:srgbClr val="000000"/>
          </a:solidFill>
          <a:latin typeface="Arial Narrow" pitchFamily="34" charset="0"/>
          <a:ea typeface="Arial"/>
          <a:cs typeface="Segoe UI Semilight" panose="020B0402040204020203" pitchFamily="34" charset="0"/>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15451409994129"/>
          <c:y val="0.076745970836531077"/>
          <c:w val="0.756800933628334"/>
          <c:h val="0.68943624947879212"/>
        </c:manualLayout>
      </c:layout>
      <c:barChart>
        <c:barDir val="col"/>
        <c:grouping val="clustered"/>
        <c:varyColors val="0"/>
        <c:ser>
          <c:idx val="0"/>
          <c:order val="0"/>
          <c:tx>
            <c:strRef>
              <c:f>Sheet1!$A$2</c:f>
              <c:strCache>
                <c:ptCount val="1"/>
                <c:pt idx="0">
                  <c:v>Investīcijas apstrādes rūpniecībā</c:v>
                </c:pt>
              </c:strCache>
            </c:strRef>
          </c:tx>
          <c:invertIfNegative val="0"/>
          <c:dPt>
            <c:idx val="0"/>
            <c:invertIfNegative val="0"/>
            <c:bubble3D val="0"/>
            <c:spPr>
              <a:solidFill>
                <a:srgbClr val="C00000"/>
              </a:solidFill>
            </c:spPr>
            <c:extLst>
              <c:ext xmlns:c="http://schemas.openxmlformats.org/drawingml/2006/chart" xmlns:c16="http://schemas.microsoft.com/office/drawing/2014/chart" uri="{C3380CC4-5D6E-409C-BE32-E72D297353CC}">
                <c16:uniqueId val="{00000001-4144-4885-A4D5-D231C26EF331}"/>
              </c:ext>
            </c:extLst>
          </c:dPt>
          <c:dPt>
            <c:idx val="1"/>
            <c:invertIfNegative val="0"/>
            <c:bubble3D val="0"/>
            <c:spPr>
              <a:solidFill>
                <a:schemeClr val="accent3">
                  <a:lumMod val="75000"/>
                </a:schemeClr>
              </a:solidFill>
            </c:spPr>
            <c:extLst>
              <c:ext xmlns:c="http://schemas.openxmlformats.org/drawingml/2006/chart" xmlns:c16="http://schemas.microsoft.com/office/drawing/2014/chart" uri="{C3380CC4-5D6E-409C-BE32-E72D297353CC}">
                <c16:uniqueId val="{00000003-4144-4885-A4D5-D231C26EF331}"/>
              </c:ext>
            </c:extLst>
          </c:dPt>
          <c:dPt>
            <c:idx val="2"/>
            <c:invertIfNegative val="0"/>
            <c:bubble3D val="0"/>
            <c:spPr>
              <a:solidFill>
                <a:schemeClr val="accent1">
                  <a:lumMod val="60000"/>
                  <a:lumOff val="40000"/>
                </a:schemeClr>
              </a:solidFill>
            </c:spPr>
            <c:extLst>
              <c:ext xmlns:c="http://schemas.openxmlformats.org/drawingml/2006/chart" xmlns:c16="http://schemas.microsoft.com/office/drawing/2014/chart" uri="{C3380CC4-5D6E-409C-BE32-E72D297353CC}">
                <c16:uniqueId val="{00000005-4144-4885-A4D5-D231C26EF331}"/>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Latvija</c:v>
                </c:pt>
                <c:pt idx="1">
                  <c:v>Lietuva</c:v>
                </c:pt>
                <c:pt idx="2">
                  <c:v>Igaunija</c:v>
                </c:pt>
                <c:pt idx="3">
                  <c:v>ES-15</c:v>
                </c:pt>
              </c:strCache>
            </c:strRef>
          </c:cat>
          <c:val>
            <c:numRef>
              <c:f>Sheet1!$B$2:$E$2</c:f>
              <c:numCache>
                <c:formatCode>General</c:formatCode>
                <c:ptCount val="4"/>
                <c:pt idx="0">
                  <c:v>0.6000000000000002</c:v>
                </c:pt>
                <c:pt idx="1">
                  <c:v>1</c:v>
                </c:pt>
                <c:pt idx="2">
                  <c:v>1.6</c:v>
                </c:pt>
                <c:pt idx="3" formatCode="0.0">
                  <c:v>2.9</c:v>
                </c:pt>
              </c:numCache>
            </c:numRef>
          </c:val>
          <c:extLst>
            <c:ext xmlns:c="http://schemas.openxmlformats.org/drawingml/2006/chart" xmlns:c16="http://schemas.microsoft.com/office/drawing/2014/chart" uri="{C3380CC4-5D6E-409C-BE32-E72D297353CC}">
              <c16:uniqueId val="{00000006-4144-4885-A4D5-D231C26EF331}"/>
            </c:ext>
          </c:extLst>
        </c:ser>
        <c:dLbls>
          <c:showLegendKey val="0"/>
          <c:showVal val="1"/>
          <c:showCatName val="0"/>
          <c:showSerName val="0"/>
          <c:showPercent val="0"/>
          <c:showBubbleSize val="0"/>
        </c:dLbls>
        <c:gapWidth val="50"/>
        <c:axId val="304296536"/>
        <c:axId val="430623656"/>
      </c:barChart>
      <c:catAx>
        <c:axId val="3042965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vert="horz"/>
          <a:lstStyle/>
          <a:p>
            <a:pPr>
              <a:defRPr/>
            </a:pPr>
            <a:endParaRPr lang="lv-LV"/>
          </a:p>
        </c:txPr>
        <c:crossAx val="430623656"/>
        <c:crosses val="autoZero"/>
        <c:auto val="1"/>
        <c:lblAlgn val="ctr"/>
        <c:lblOffset val="100"/>
        <c:noMultiLvlLbl val="0"/>
      </c:catAx>
      <c:valAx>
        <c:axId val="430623656"/>
        <c:scaling>
          <c:orientation val="minMax"/>
        </c:scaling>
        <c:delete val="0"/>
        <c:axPos val="l"/>
        <c:numFmt formatCode="#,##0.0" sourceLinked="0"/>
        <c:majorTickMark val="none"/>
        <c:minorTickMark val="none"/>
        <c:tickLblPos val="nextTo"/>
        <c:spPr>
          <a:noFill/>
          <a:ln w="6350">
            <a:noFill/>
          </a:ln>
          <a:effectLst/>
        </c:spPr>
        <c:txPr>
          <a:bodyPr rot="-60000000" vert="horz"/>
          <a:lstStyle/>
          <a:p>
            <a:pPr>
              <a:defRPr/>
            </a:pPr>
            <a:endParaRPr lang="lv-LV"/>
          </a:p>
        </c:txPr>
        <c:crossAx val="304296536"/>
        <c:crosses val="autoZero"/>
        <c:crossBetween val="between"/>
      </c:valAx>
      <c:spPr>
        <a:noFill/>
        <a:ln>
          <a:noFill/>
        </a:ln>
        <a:effectLst/>
      </c:spPr>
    </c:plotArea>
    <c:plotVisOnly val="1"/>
    <c:dispBlanksAs val="gap"/>
    <c:showDLblsOverMax val="0"/>
  </c:chart>
  <c:spPr>
    <a:noFill/>
    <a:ln w="6350">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2737151123614039"/>
          <c:y val="0.21205357142857142"/>
          <c:w val="0.88131450355061092"/>
          <c:h val="0.64173446600776107"/>
        </c:manualLayout>
      </c:layout>
      <c:barChart>
        <c:barDir val="col"/>
        <c:grouping val="clustered"/>
        <c:varyColors val="0"/>
        <c:ser>
          <c:idx val="0"/>
          <c:order val="0"/>
          <c:tx>
            <c:strRef>
              <c:f>Sheet1!$A$2</c:f>
              <c:strCache>
                <c:ptCount val="1"/>
                <c:pt idx="0">
                  <c:v>Produktivitāte (tūkst.eiro un vienu nodarbināto)</c:v>
                </c:pt>
              </c:strCache>
            </c:strRef>
          </c:tx>
          <c:spPr>
            <a:solidFill>
              <a:schemeClr val="accent1"/>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Narrow" panose="020B0606020202030204" pitchFamily="34" charset="0"/>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Sheet1!$B$1:$F$1</c:f>
              <c:strCache>
                <c:ptCount val="5"/>
                <c:pt idx="0">
                  <c:v>ES-28</c:v>
                </c:pt>
                <c:pt idx="1">
                  <c:v>DE</c:v>
                </c:pt>
                <c:pt idx="2">
                  <c:v>EE</c:v>
                </c:pt>
                <c:pt idx="3">
                  <c:v>LV</c:v>
                </c:pt>
                <c:pt idx="4">
                  <c:v>LT</c:v>
                </c:pt>
              </c:strCache>
            </c:strRef>
          </c:cat>
          <c:val>
            <c:numRef>
              <c:f>Sheet1!$B$2:$F$2</c:f>
              <c:numCache>
                <c:formatCode>#,##0</c:formatCode>
                <c:ptCount val="5"/>
                <c:pt idx="0">
                  <c:v>44</c:v>
                </c:pt>
                <c:pt idx="1">
                  <c:v>39.9</c:v>
                </c:pt>
                <c:pt idx="2">
                  <c:v>23.2</c:v>
                </c:pt>
                <c:pt idx="3">
                  <c:v>13.8</c:v>
                </c:pt>
                <c:pt idx="4">
                  <c:v>14.7</c:v>
                </c:pt>
              </c:numCache>
            </c:numRef>
          </c:val>
          <c:extLst>
            <c:ext xmlns:c="http://schemas.openxmlformats.org/drawingml/2006/chart" xmlns:c16="http://schemas.microsoft.com/office/drawing/2014/chart" uri="{C3380CC4-5D6E-409C-BE32-E72D297353CC}">
              <c16:uniqueId val="{00000000-EC55-447E-88C3-6BFD0185ACBC}"/>
            </c:ext>
          </c:extLst>
        </c:ser>
        <c:ser>
          <c:idx val="1"/>
          <c:order val="1"/>
          <c:tx>
            <c:strRef>
              <c:f>Sheet1!$A$3</c:f>
              <c:strCache>
                <c:ptCount val="1"/>
                <c:pt idx="0">
                  <c:v>Darbaspēka izmaksas (tūkst.eiro un vienu nodarbināto)</c:v>
                </c:pt>
              </c:strCache>
            </c:strRef>
          </c:tx>
          <c:spPr>
            <a:solidFill>
              <a:schemeClr val="accent2"/>
            </a:solidFill>
            <a:ln w="6350">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Narrow" panose="020B0606020202030204" pitchFamily="34" charset="0"/>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Sheet1!$B$1:$F$1</c:f>
              <c:strCache>
                <c:ptCount val="5"/>
                <c:pt idx="0">
                  <c:v>ES-28</c:v>
                </c:pt>
                <c:pt idx="1">
                  <c:v>DE</c:v>
                </c:pt>
                <c:pt idx="2">
                  <c:v>EE</c:v>
                </c:pt>
                <c:pt idx="3">
                  <c:v>LV</c:v>
                </c:pt>
                <c:pt idx="4">
                  <c:v>LT</c:v>
                </c:pt>
              </c:strCache>
            </c:strRef>
          </c:cat>
          <c:val>
            <c:numRef>
              <c:f>Sheet1!$B$3:$F$3</c:f>
              <c:numCache>
                <c:formatCode>#,##0</c:formatCode>
                <c:ptCount val="5"/>
                <c:pt idx="0">
                  <c:v>28.1</c:v>
                </c:pt>
                <c:pt idx="1">
                  <c:v>28.9</c:v>
                </c:pt>
                <c:pt idx="2">
                  <c:v>13.7</c:v>
                </c:pt>
                <c:pt idx="3">
                  <c:v>8</c:v>
                </c:pt>
                <c:pt idx="4">
                  <c:v>8.8</c:v>
                </c:pt>
              </c:numCache>
            </c:numRef>
          </c:val>
          <c:extLst>
            <c:ext xmlns:c="http://schemas.openxmlformats.org/drawingml/2006/chart" xmlns:c16="http://schemas.microsoft.com/office/drawing/2014/chart" uri="{C3380CC4-5D6E-409C-BE32-E72D297353CC}">
              <c16:uniqueId val="{00000001-EC55-447E-88C3-6BFD0185ACBC}"/>
            </c:ext>
          </c:extLst>
        </c:ser>
        <c:dLbls>
          <c:showLegendKey val="0"/>
          <c:showVal val="0"/>
          <c:showCatName val="0"/>
          <c:showSerName val="0"/>
          <c:showPercent val="0"/>
          <c:showBubbleSize val="0"/>
        </c:dLbls>
        <c:gapWidth val="150"/>
        <c:axId val="430621696"/>
        <c:axId val="430621304"/>
      </c:barChart>
      <c:lineChart>
        <c:grouping val="stacked"/>
        <c:varyColors val="0"/>
        <c:ser>
          <c:idx val="2"/>
          <c:order val="2"/>
          <c:tx>
            <c:strRef>
              <c:f>Sheet1!$A$4</c:f>
              <c:strCache>
                <c:ptCount val="1"/>
                <c:pt idx="0">
                  <c:v>Rentabilitāte (procenti)  </c:v>
                </c:pt>
              </c:strCache>
            </c:strRef>
          </c:tx>
          <c:spPr>
            <a:ln w="6350" cap="rnd">
              <a:noFill/>
              <a:round/>
            </a:ln>
            <a:effectLst/>
          </c:spPr>
          <c:marker>
            <c:symbol val="triangle"/>
            <c:size val="22"/>
            <c:spPr>
              <a:solidFill>
                <a:srgbClr val="FFFF00">
                  <a:alpha val="71000"/>
                </a:srgbClr>
              </a:solidFill>
              <a:ln w="3175">
                <a:solidFill>
                  <a:schemeClr val="tx1"/>
                </a:solidFill>
              </a:ln>
              <a:effectLst/>
            </c:spPr>
          </c:marker>
          <c:dLbls>
            <c:dLbl>
              <c:idx val="0"/>
              <c:layout>
                <c:manualLayout>
                  <c:x val="-0.07448690919623073"/>
                  <c:y val="0.036553132815247066"/>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EC55-447E-88C3-6BFD0185ACBC}"/>
                </c:ext>
                <c:ext xmlns:c15="http://schemas.microsoft.com/office/drawing/2012/chart" uri="{CE6537A1-D6FC-4f65-9D91-7224C49458BB}"/>
              </c:extLst>
            </c:dLbl>
            <c:dLbl>
              <c:idx val="1"/>
              <c:layout>
                <c:manualLayout>
                  <c:x val="-0.084602897691680751"/>
                  <c:y val="0.035356819735214984"/>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EC55-447E-88C3-6BFD0185ACBC}"/>
                </c:ext>
                <c:ext xmlns:c15="http://schemas.microsoft.com/office/drawing/2012/chart" uri="{CE6537A1-D6FC-4f65-9D91-7224C49458BB}"/>
              </c:extLst>
            </c:dLbl>
            <c:dLbl>
              <c:idx val="2"/>
              <c:layout>
                <c:manualLayout>
                  <c:x val="-0.088880057657463471"/>
                  <c:y val="0.039776224660326889"/>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EC55-447E-88C3-6BFD0185ACBC}"/>
                </c:ext>
                <c:ext xmlns:c15="http://schemas.microsoft.com/office/drawing/2012/chart" uri="{CE6537A1-D6FC-4f65-9D91-7224C49458BB}"/>
              </c:extLst>
            </c:dLbl>
            <c:dLbl>
              <c:idx val="3"/>
              <c:layout>
                <c:manualLayout>
                  <c:x val="-0.090441726221348"/>
                  <c:y val="0.035356819735214984"/>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EC55-447E-88C3-6BFD0185ACBC}"/>
                </c:ext>
                <c:ext xmlns:c15="http://schemas.microsoft.com/office/drawing/2012/chart" uri="{CE6537A1-D6FC-4f65-9D91-7224C49458BB}"/>
              </c:extLst>
            </c:dLbl>
            <c:dLbl>
              <c:idx val="4"/>
              <c:layout>
                <c:manualLayout>
                  <c:x val="-0.086164566255565359"/>
                  <c:y val="0.040972537740358972"/>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EC55-447E-88C3-6BFD0185ACB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Arial Narrow" panose="020B0606020202030204" pitchFamily="34" charset="0"/>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Sheet1!$B$1:$F$1</c:f>
              <c:strCache>
                <c:ptCount val="5"/>
                <c:pt idx="0">
                  <c:v>ES-28</c:v>
                </c:pt>
                <c:pt idx="1">
                  <c:v>DE</c:v>
                </c:pt>
                <c:pt idx="2">
                  <c:v>EE</c:v>
                </c:pt>
                <c:pt idx="3">
                  <c:v>LV</c:v>
                </c:pt>
                <c:pt idx="4">
                  <c:v>LT</c:v>
                </c:pt>
              </c:strCache>
            </c:strRef>
          </c:cat>
          <c:val>
            <c:numRef>
              <c:f>Sheet1!$B$4:$F$4</c:f>
              <c:numCache>
                <c:formatCode>#\ ##0.0</c:formatCode>
                <c:ptCount val="5"/>
                <c:pt idx="0">
                  <c:v>7.7</c:v>
                </c:pt>
                <c:pt idx="1">
                  <c:v>5.6</c:v>
                </c:pt>
                <c:pt idx="2">
                  <c:v>8.1</c:v>
                </c:pt>
                <c:pt idx="3">
                  <c:v>8.6</c:v>
                </c:pt>
                <c:pt idx="4">
                  <c:v>6.4</c:v>
                </c:pt>
              </c:numCache>
            </c:numRef>
          </c:val>
          <c:smooth val="0"/>
          <c:extLst>
            <c:ext xmlns:c="http://schemas.openxmlformats.org/drawingml/2006/chart" xmlns:c16="http://schemas.microsoft.com/office/drawing/2014/chart" uri="{C3380CC4-5D6E-409C-BE32-E72D297353CC}">
              <c16:uniqueId val="{00000007-EC55-447E-88C3-6BFD0185ACBC}"/>
            </c:ext>
          </c:extLst>
        </c:ser>
        <c:dLbls>
          <c:showLegendKey val="0"/>
          <c:showVal val="0"/>
          <c:showCatName val="0"/>
          <c:showSerName val="0"/>
          <c:showPercent val="0"/>
          <c:showBubbleSize val="0"/>
        </c:dLbls>
        <c:marker val="1"/>
        <c:smooth val="0"/>
        <c:axId val="430620912"/>
        <c:axId val="430624832"/>
      </c:lineChart>
      <c:catAx>
        <c:axId val="430621696"/>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crossAx val="430621304"/>
        <c:crosses val="autoZero"/>
        <c:auto val="1"/>
        <c:lblAlgn val="ctr"/>
        <c:lblOffset val="100"/>
        <c:noMultiLvlLbl val="0"/>
      </c:catAx>
      <c:valAx>
        <c:axId val="430621304"/>
        <c:scaling>
          <c:orientation val="minMax"/>
        </c:scaling>
        <c:delete val="0"/>
        <c:axPos val="l"/>
        <c:numFmt formatCode="#,##0" sourceLinked="1"/>
        <c:majorTickMark val="out"/>
        <c:minorTickMark val="none"/>
        <c:tickLblPos val="nextTo"/>
        <c:spPr>
          <a:noFill/>
          <a:ln w="6350">
            <a:noFill/>
          </a:ln>
          <a:effectLst/>
        </c:spPr>
        <c:txPr>
          <a:bodyPr rot="-6000000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crossAx val="430621696"/>
        <c:crosses val="autoZero"/>
        <c:crossBetween val="between"/>
        <c:majorUnit val="10"/>
      </c:valAx>
      <c:valAx>
        <c:axId val="430624832"/>
        <c:scaling>
          <c:orientation val="minMax"/>
        </c:scaling>
        <c:delete val="0"/>
        <c:axPos val="r"/>
        <c:numFmt formatCode="#\ ##0.0" sourceLinked="1"/>
        <c:majorTickMark val="out"/>
        <c:minorTickMark val="none"/>
        <c:tickLblPos val="nextTo"/>
        <c:spPr>
          <a:noFill/>
          <a:ln w="6350">
            <a:noFill/>
          </a:ln>
          <a:effectLst/>
        </c:spPr>
        <c:txPr>
          <a:bodyPr rot="-6000000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crossAx val="430620912"/>
        <c:crosses val="max"/>
        <c:crossBetween val="between"/>
        <c:majorUnit val="2.5"/>
      </c:valAx>
      <c:catAx>
        <c:axId val="430620912"/>
        <c:scaling>
          <c:orientation val="minMax"/>
        </c:scaling>
        <c:delete val="1"/>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crossAx val="430624832"/>
        <c:crosses val="autoZero"/>
        <c:auto val="1"/>
        <c:lblAlgn val="ctr"/>
        <c:lblOffset val="100"/>
        <c:noMultiLvlLbl val="0"/>
      </c:catAx>
      <c:spPr>
        <a:noFill/>
        <a:ln>
          <a:noFill/>
        </a:ln>
        <a:effectLst/>
      </c:spPr>
    </c:plotArea>
    <c:legend>
      <c:legendPos val="r"/>
      <c:layout>
        <c:manualLayout>
          <c:xMode val="edge"/>
          <c:yMode val="edge"/>
          <c:x val="0.03104982386183763"/>
          <c:y val="0.040709412076124704"/>
          <c:w val="0.78383059648073172"/>
          <c:h val="0.21178376285503198"/>
        </c:manualLayout>
      </c:layout>
      <c:overlay val="0"/>
      <c:spPr>
        <a:noFill/>
        <a:ln>
          <a:noFill/>
        </a:ln>
        <a:effectLst/>
      </c:spPr>
      <c:txPr>
        <a:bodyPr rot="0" spcFirstLastPara="1" vertOverflow="ellipsis" vert="horz" wrap="square" anchor="ctr" anchorCtr="1"/>
        <a:lstStyle/>
        <a:p>
          <a:pPr>
            <a:defRPr sz="550" b="0" i="0" u="none" strike="noStrike" kern="1200" baseline="0">
              <a:solidFill>
                <a:schemeClr val="tx1"/>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sz="550">
          <a:solidFill>
            <a:schemeClr val="tx1"/>
          </a:solidFill>
          <a:latin typeface="Arial Narrow" panose="020B0606020202030204" pitchFamily="34" charset="0"/>
        </a:defRPr>
      </a:pPr>
      <a:endParaRPr lang="lv-L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23660203267545"/>
          <c:y val="0.057971014492753624"/>
          <c:w val="0.66651704880502272"/>
          <c:h val="0.75457361875726536"/>
        </c:manualLayout>
      </c:layout>
      <c:scatterChart>
        <c:scatterStyle val="smoothMarker"/>
        <c:varyColors val="0"/>
        <c:ser>
          <c:idx val="0"/>
          <c:order val="0"/>
          <c:tx>
            <c:strRef>
              <c:f>Sheet1!$C$2</c:f>
              <c:strCache>
                <c:ptCount val="1"/>
                <c:pt idx="0">
                  <c:v>y</c:v>
                </c:pt>
              </c:strCache>
            </c:strRef>
          </c:tx>
          <c:marker>
            <c:symbol val="triangle"/>
            <c:size val="5"/>
            <c:spPr>
              <a:solidFill>
                <a:srgbClr val="0000FF"/>
              </a:solidFill>
              <a:ln w="6350">
                <a:solidFill>
                  <a:sysClr val="windowText" lastClr="000000"/>
                </a:solidFill>
              </a:ln>
            </c:spPr>
          </c:marker>
          <c:dPt>
            <c:idx val="5"/>
            <c:bubble3D val="0"/>
            <c:extLst>
              <c:ext xmlns:c="http://schemas.openxmlformats.org/drawingml/2006/chart" xmlns:c16="http://schemas.microsoft.com/office/drawing/2014/chart" uri="{C3380CC4-5D6E-409C-BE32-E72D297353CC}">
                <c16:uniqueId val="{00000000-1E4F-4C33-B860-6CCFD918B7D4}"/>
              </c:ext>
            </c:extLst>
          </c:dPt>
          <c:dLbls>
            <c:dLbl>
              <c:idx val="0"/>
              <c:layout>
                <c:manualLayout>
                  <c:x val="-0.22962436454935367"/>
                  <c:y val="0.028082211106319"/>
                </c:manualLayout>
              </c:layout>
              <c:tx>
                <c:rich>
                  <a:bodyPr vertOverflow="clip"/>
                  <a:lstStyle/>
                  <a:p>
                    <a:r>
                      <a:rPr lang="en-US"/>
                      <a:t>2005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E4F-4C33-B860-6CCFD918B7D4}"/>
                </c:ext>
                <c:ext xmlns:c15="http://schemas.microsoft.com/office/drawing/2012/chart" uri="{CE6537A1-D6FC-4f65-9D91-7224C49458BB}"/>
              </c:extLst>
            </c:dLbl>
            <c:dLbl>
              <c:idx val="1"/>
              <c:layout>
                <c:manualLayout>
                  <c:x val="-0.19930784425142734"/>
                  <c:y val="-0.14274132400116646"/>
                </c:manualLayout>
              </c:layout>
              <c:tx>
                <c:rich>
                  <a:bodyPr vertOverflow="clip"/>
                  <a:lstStyle/>
                  <a:p>
                    <a:r>
                      <a:rPr lang="en-US"/>
                      <a:t>2007</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1E4F-4C33-B860-6CCFD918B7D4}"/>
                </c:ext>
                <c:ext xmlns:c15="http://schemas.microsoft.com/office/drawing/2012/chart" uri="{CE6537A1-D6FC-4f65-9D91-7224C49458BB}"/>
              </c:extLst>
            </c:dLbl>
            <c:dLbl>
              <c:idx val="2"/>
              <c:layout>
                <c:manualLayout>
                  <c:x val="0.065373271640014066"/>
                  <c:y val="0.04675774502546156"/>
                </c:manualLayout>
              </c:layout>
              <c:tx>
                <c:rich>
                  <a:bodyPr vertOverflow="clip"/>
                  <a:lstStyle/>
                  <a:p>
                    <a:r>
                      <a:rPr lang="en-US"/>
                      <a:t>2010</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1E4F-4C33-B860-6CCFD918B7D4}"/>
                </c:ext>
                <c:ext xmlns:c15="http://schemas.microsoft.com/office/drawing/2012/chart" uri="{CE6537A1-D6FC-4f65-9D91-7224C49458BB}"/>
              </c:extLst>
            </c:dLbl>
            <c:dLbl>
              <c:idx val="3"/>
              <c:layout>
                <c:manualLayout>
                  <c:x val="-0.11024812620071976"/>
                  <c:y val="-0.053561253561253547"/>
                </c:manualLayout>
              </c:layout>
              <c:tx>
                <c:rich>
                  <a:bodyPr vertOverflow="clip"/>
                  <a:lstStyle/>
                  <a:p>
                    <a:r>
                      <a:rPr lang="en-US"/>
                      <a:t>2008</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1E4F-4C33-B860-6CCFD918B7D4}"/>
                </c:ext>
                <c:ext xmlns:c15="http://schemas.microsoft.com/office/drawing/2012/chart" uri="{CE6537A1-D6FC-4f65-9D91-7224C49458BB}"/>
              </c:extLst>
            </c:dLbl>
            <c:dLbl>
              <c:idx val="4"/>
              <c:delete val="1"/>
              <c:extLst>
                <c:ext xmlns:c="http://schemas.openxmlformats.org/drawingml/2006/chart" xmlns:c16="http://schemas.microsoft.com/office/drawing/2014/chart" uri="{C3380CC4-5D6E-409C-BE32-E72D297353CC}">
                  <c16:uniqueId val="{00000005-1E4F-4C33-B860-6CCFD918B7D4}"/>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0-1E4F-4C33-B860-6CCFD918B7D4}"/>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6-1E4F-4C33-B860-6CCFD918B7D4}"/>
                </c:ext>
                <c:ext xmlns:c15="http://schemas.microsoft.com/office/drawing/2012/chart" uri="{CE6537A1-D6FC-4f65-9D91-7224C49458BB}"/>
              </c:extLst>
            </c:dLbl>
            <c:dLbl>
              <c:idx val="7"/>
              <c:delete val="1"/>
              <c:extLst>
                <c:ext xmlns:c="http://schemas.openxmlformats.org/drawingml/2006/chart" xmlns:c16="http://schemas.microsoft.com/office/drawing/2014/chart" uri="{C3380CC4-5D6E-409C-BE32-E72D297353CC}">
                  <c16:uniqueId val="{00000007-1E4F-4C33-B860-6CCFD918B7D4}"/>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8-1E4F-4C33-B860-6CCFD918B7D4}"/>
                </c:ext>
                <c:ext xmlns:c15="http://schemas.microsoft.com/office/drawing/2012/chart" uri="{CE6537A1-D6FC-4f65-9D91-7224C49458BB}"/>
              </c:extLst>
            </c:dLbl>
            <c:dLbl>
              <c:idx val="9"/>
              <c:layout>
                <c:manualLayout>
                  <c:x val="-0.034488730145845171"/>
                  <c:y val="0.04327478295982233"/>
                </c:manualLayout>
              </c:layout>
              <c:tx>
                <c:rich>
                  <a:bodyPr vertOverflow="clip"/>
                  <a:lstStyle/>
                  <a:p>
                    <a:r>
                      <a:rPr lang="en-US"/>
                      <a:t>2014</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1E4F-4C33-B860-6CCFD918B7D4}"/>
                </c:ext>
                <c:ext xmlns:c15="http://schemas.microsoft.com/office/drawing/2012/chart" uri="{CE6537A1-D6FC-4f65-9D91-7224C49458BB}"/>
              </c:extLst>
            </c:dLbl>
            <c:dLbl>
              <c:idx val="10"/>
              <c:layout>
                <c:manualLayout>
                  <c:x val="-0.048682691305879967"/>
                  <c:y val="-0.05288250515989211"/>
                </c:manualLayout>
              </c:layout>
              <c:tx>
                <c:rich>
                  <a:bodyPr vertOverflow="clip"/>
                  <a:lstStyle/>
                  <a:p>
                    <a:r>
                      <a:rPr lang="en-US"/>
                      <a:t>2015</a:t>
                    </a:r>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1E4F-4C33-B860-6CCFD918B7D4}"/>
                </c:ext>
                <c:ext xmlns:c15="http://schemas.microsoft.com/office/drawing/2012/chart" uri="{CE6537A1-D6FC-4f65-9D91-7224C49458BB}"/>
              </c:extLst>
            </c:dLbl>
            <c:dLbl>
              <c:idx val="11"/>
              <c:layout>
                <c:manualLayout>
                  <c:x val="-0.045473776802943768"/>
                  <c:y val="-0.029435967255112244"/>
                </c:manualLayout>
              </c:layout>
              <c:tx>
                <c:rich>
                  <a:bodyPr/>
                  <a:lstStyle/>
                  <a:p>
                    <a:r>
                      <a:rPr lang="lv-LV"/>
                      <a:t>SK</a:t>
                    </a:r>
                    <a:endParaRPr lang="en-US"/>
                  </a:p>
                </c:rich>
              </c:tx>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1E4F-4C33-B860-6CCFD918B7D4}"/>
                </c:ext>
                <c:ext xmlns:c15="http://schemas.microsoft.com/office/drawing/2012/chart" uri="{CE6537A1-D6FC-4f65-9D91-7224C49458BB}"/>
              </c:extLst>
            </c:dLbl>
            <c:dLbl>
              <c:idx val="12"/>
              <c:tx>
                <c:rich>
                  <a:bodyPr/>
                  <a:lstStyle/>
                  <a:p>
                    <a:r>
                      <a:rPr lang="lv-LV"/>
                      <a:t>FI</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1E4F-4C33-B860-6CCFD918B7D4}"/>
                </c:ext>
                <c:ext xmlns:c15="http://schemas.microsoft.com/office/drawing/2012/chart" uri="{CE6537A1-D6FC-4f65-9D91-7224C49458BB}"/>
              </c:extLst>
            </c:dLbl>
            <c:dLbl>
              <c:idx val="13"/>
              <c:tx>
                <c:rich>
                  <a:bodyPr/>
                  <a:lstStyle/>
                  <a:p>
                    <a:r>
                      <a:rPr lang="lv-LV" b="0"/>
                      <a:t>SE</a:t>
                    </a:r>
                    <a:endParaRPr lang="en-US"/>
                  </a:p>
                </c:rich>
              </c:tx>
              <c:dLblPos val="b"/>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1E4F-4C33-B860-6CCFD918B7D4}"/>
                </c:ex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Sheet1!$B$3:$B$13</c:f>
              <c:numCache>
                <c:formatCode>0.0</c:formatCode>
                <c:ptCount val="11"/>
                <c:pt idx="0">
                  <c:v>15.374171139880014</c:v>
                </c:pt>
                <c:pt idx="1">
                  <c:v>16.398018063221276</c:v>
                </c:pt>
                <c:pt idx="2">
                  <c:v>16.753029131219389</c:v>
                </c:pt>
                <c:pt idx="3">
                  <c:v>15.841734203070436</c:v>
                </c:pt>
                <c:pt idx="4">
                  <c:v>15.903379181524876</c:v>
                </c:pt>
                <c:pt idx="5">
                  <c:v>18.32162440027416</c:v>
                </c:pt>
                <c:pt idx="6">
                  <c:v>18.394160583941606</c:v>
                </c:pt>
                <c:pt idx="7">
                  <c:v>18.316831683168317</c:v>
                </c:pt>
                <c:pt idx="8">
                  <c:v>18.091506372199795</c:v>
                </c:pt>
                <c:pt idx="9">
                  <c:v>19.566738876853858</c:v>
                </c:pt>
                <c:pt idx="10">
                  <c:v>20.662223721950397</c:v>
                </c:pt>
              </c:numCache>
            </c:numRef>
          </c:xVal>
          <c:yVal>
            <c:numRef>
              <c:f>Sheet1!$C$3:$C$13</c:f>
              <c:numCache>
                <c:formatCode>0.0</c:formatCode>
                <c:ptCount val="11"/>
                <c:pt idx="0">
                  <c:v>0.35006911416182629</c:v>
                </c:pt>
                <c:pt idx="1">
                  <c:v>0.38337534135993828</c:v>
                </c:pt>
                <c:pt idx="2">
                  <c:v>0.5010771794630785</c:v>
                </c:pt>
                <c:pt idx="3">
                  <c:v>0.63340536254697244</c:v>
                </c:pt>
                <c:pt idx="4">
                  <c:v>0.5641412637229859</c:v>
                </c:pt>
                <c:pt idx="5">
                  <c:v>0.48062074540338945</c:v>
                </c:pt>
                <c:pt idx="6">
                  <c:v>0.48784860362086074</c:v>
                </c:pt>
                <c:pt idx="7">
                  <c:v>0.53697478606846727</c:v>
                </c:pt>
                <c:pt idx="8">
                  <c:v>0.56858328646092071</c:v>
                </c:pt>
                <c:pt idx="9">
                  <c:v>0.57425077019066584</c:v>
                </c:pt>
                <c:pt idx="10">
                  <c:v>0.59332796816226052</c:v>
                </c:pt>
              </c:numCache>
            </c:numRef>
          </c:yVal>
          <c:smooth val="1"/>
          <c:extLst>
            <c:ext xmlns:c="http://schemas.openxmlformats.org/drawingml/2006/chart" xmlns:c16="http://schemas.microsoft.com/office/drawing/2014/chart" uri="{C3380CC4-5D6E-409C-BE32-E72D297353CC}">
              <c16:uniqueId val="{0000000E-1E4F-4C33-B860-6CCFD918B7D4}"/>
            </c:ext>
          </c:extLst>
        </c:ser>
        <c:dLbls>
          <c:showLegendKey val="0"/>
          <c:showVal val="0"/>
          <c:showCatName val="0"/>
          <c:showSerName val="0"/>
          <c:showPercent val="0"/>
          <c:showBubbleSize val="0"/>
        </c:dLbls>
        <c:axId val="430627968"/>
        <c:axId val="430620520"/>
      </c:scatterChart>
      <c:valAx>
        <c:axId val="430627968"/>
        <c:scaling>
          <c:orientation val="minMax"/>
          <c:max val="25"/>
          <c:min val="10"/>
        </c:scaling>
        <c:delete val="0"/>
        <c:axPos val="b"/>
        <c:title>
          <c:tx>
            <c:rich>
              <a:bodyPr vertOverflow="clip"/>
              <a:lstStyle/>
              <a:p>
                <a:pPr>
                  <a:defRPr/>
                </a:pPr>
                <a:r>
                  <a:rPr lang="lv-LV"/>
                  <a:t>Produktivitāte (pievienotā vērtība uz 1 strādājošo, EUR)</a:t>
                </a:r>
              </a:p>
            </c:rich>
          </c:tx>
          <c:layout/>
          <c:overlay val="0"/>
        </c:title>
        <c:numFmt formatCode="0" sourceLinked="0"/>
        <c:majorTickMark val="out"/>
        <c:minorTickMark val="none"/>
        <c:tickLblPos val="nextTo"/>
        <c:spPr>
          <a:ln w="6350">
            <a:solidFill>
              <a:sysClr val="windowText" lastClr="000000"/>
            </a:solidFill>
          </a:ln>
        </c:spPr>
        <c:txPr>
          <a:bodyPr rot="0" vert="horz"/>
          <a:lstStyle/>
          <a:p>
            <a:pPr>
              <a:defRPr/>
            </a:pPr>
            <a:endParaRPr lang="lv-LV"/>
          </a:p>
        </c:txPr>
        <c:crossAx val="430620520"/>
        <c:crosses val="autoZero"/>
        <c:crossBetween val="midCat"/>
        <c:majorUnit val="5"/>
      </c:valAx>
      <c:valAx>
        <c:axId val="430620520"/>
        <c:scaling>
          <c:orientation val="minMax"/>
          <c:min val="0.2"/>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6350">
            <a:solidFill>
              <a:sysClr val="windowText" lastClr="000000"/>
            </a:solidFill>
          </a:ln>
        </c:spPr>
        <c:txPr>
          <a:bodyPr rot="0" vert="horz"/>
          <a:lstStyle/>
          <a:p>
            <a:pPr>
              <a:defRPr/>
            </a:pPr>
            <a:endParaRPr lang="lv-LV"/>
          </a:p>
        </c:txPr>
        <c:crossAx val="43062796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600" b="0" i="0" u="none" strike="noStrike" baseline="0">
          <a:solidFill>
            <a:srgbClr val="000000"/>
          </a:solidFill>
          <a:latin typeface="Arial"/>
          <a:ea typeface="Arial"/>
          <a:cs typeface="Arial"/>
        </a:defRPr>
      </a:pPr>
      <a:endParaRPr lang="lv-LV"/>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17749092105175"/>
          <c:y val="0.057971014492753624"/>
          <c:w val="0.68054117915567458"/>
          <c:h val="0.76381669682594022"/>
        </c:manualLayout>
      </c:layout>
      <c:scatterChart>
        <c:scatterStyle val="lineMarker"/>
        <c:varyColors val="0"/>
        <c:ser>
          <c:idx val="0"/>
          <c:order val="0"/>
          <c:tx>
            <c:strRef>
              <c:f>Sheet1!$C$2</c:f>
              <c:strCache>
                <c:ptCount val="1"/>
                <c:pt idx="0">
                  <c:v>y</c:v>
                </c:pt>
              </c:strCache>
            </c:strRef>
          </c:tx>
          <c:spPr>
            <a:ln w="25400">
              <a:noFill/>
            </a:ln>
          </c:spPr>
          <c:marker>
            <c:symbol val="triangle"/>
            <c:size val="5"/>
            <c:spPr>
              <a:solidFill>
                <a:srgbClr val="0000FF"/>
              </a:solidFill>
              <a:ln w="6350">
                <a:solidFill>
                  <a:sysClr val="windowText" lastClr="000000"/>
                </a:solidFill>
              </a:ln>
            </c:spPr>
          </c:marker>
          <c:dPt>
            <c:idx val="0"/>
            <c:bubble3D val="0"/>
            <c:extLst>
              <c:ext xmlns:c="http://schemas.openxmlformats.org/drawingml/2006/chart" xmlns:c16="http://schemas.microsoft.com/office/drawing/2014/chart" uri="{C3380CC4-5D6E-409C-BE32-E72D297353CC}">
                <c16:uniqueId val="{00000000-3F7D-4F0A-B6C7-E3C71B0BD46F}"/>
              </c:ext>
            </c:extLst>
          </c:dPt>
          <c:dPt>
            <c:idx val="5"/>
            <c:bubble3D val="0"/>
            <c:extLst>
              <c:ext xmlns:c="http://schemas.openxmlformats.org/drawingml/2006/chart" xmlns:c16="http://schemas.microsoft.com/office/drawing/2014/chart" uri="{C3380CC4-5D6E-409C-BE32-E72D297353CC}">
                <c16:uniqueId val="{00000001-3F7D-4F0A-B6C7-E3C71B0BD46F}"/>
              </c:ext>
            </c:extLst>
          </c:dPt>
          <c:dPt>
            <c:idx val="11"/>
            <c:bubble3D val="0"/>
            <c:extLst>
              <c:ext xmlns:c="http://schemas.openxmlformats.org/drawingml/2006/chart" xmlns:c16="http://schemas.microsoft.com/office/drawing/2014/chart" uri="{C3380CC4-5D6E-409C-BE32-E72D297353CC}">
                <c16:uniqueId val="{00000002-3F7D-4F0A-B6C7-E3C71B0BD46F}"/>
              </c:ext>
            </c:extLst>
          </c:dPt>
          <c:dPt>
            <c:idx val="12"/>
            <c:bubble3D val="0"/>
            <c:extLst>
              <c:ext xmlns:c="http://schemas.openxmlformats.org/drawingml/2006/chart" xmlns:c16="http://schemas.microsoft.com/office/drawing/2014/chart" uri="{C3380CC4-5D6E-409C-BE32-E72D297353CC}">
                <c16:uniqueId val="{00000003-3F7D-4F0A-B6C7-E3C71B0BD46F}"/>
              </c:ext>
            </c:extLst>
          </c:dPt>
          <c:dPt>
            <c:idx val="13"/>
            <c:bubble3D val="0"/>
            <c:marker>
              <c:symbol val="triangle"/>
              <c:size val="8"/>
              <c:spPr>
                <a:solidFill>
                  <a:srgbClr val="C00000"/>
                </a:solidFill>
                <a:ln w="6350">
                  <a:solidFill>
                    <a:sysClr val="windowText" lastClr="000000"/>
                  </a:solidFill>
                </a:ln>
              </c:spPr>
            </c:marker>
            <c:extLst>
              <c:ext xmlns:c="http://schemas.openxmlformats.org/drawingml/2006/chart" xmlns:c16="http://schemas.microsoft.com/office/drawing/2014/chart" uri="{C3380CC4-5D6E-409C-BE32-E72D297353CC}">
                <c16:uniqueId val="{00000004-3F7D-4F0A-B6C7-E3C71B0BD46F}"/>
              </c:ext>
            </c:extLst>
          </c:dPt>
          <c:dPt>
            <c:idx val="14"/>
            <c:bubble3D val="0"/>
            <c:extLst>
              <c:ext xmlns:c="http://schemas.openxmlformats.org/drawingml/2006/chart" xmlns:c16="http://schemas.microsoft.com/office/drawing/2014/chart" uri="{C3380CC4-5D6E-409C-BE32-E72D297353CC}">
                <c16:uniqueId val="{00000005-3F7D-4F0A-B6C7-E3C71B0BD46F}"/>
              </c:ext>
            </c:extLst>
          </c:dPt>
          <c:dLbls>
            <c:dLbl>
              <c:idx val="0"/>
              <c:layout>
                <c:manualLayout>
                  <c:x val="-0.053997923156801658"/>
                  <c:y val="0.0761904761904762"/>
                </c:manualLayout>
              </c:layout>
              <c:tx>
                <c:rich>
                  <a:bodyPr vertOverflow="clip"/>
                  <a:lstStyle/>
                  <a:p>
                    <a:r>
                      <a:rPr lang="en-US"/>
                      <a:t>ES-28</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3F7D-4F0A-B6C7-E3C71B0BD46F}"/>
                </c:ext>
                <c:ext xmlns:c15="http://schemas.microsoft.com/office/drawing/2012/chart" uri="{CE6537A1-D6FC-4f65-9D91-7224C49458BB}"/>
              </c:extLst>
            </c:dLbl>
            <c:dLbl>
              <c:idx val="1"/>
              <c:layout>
                <c:manualLayout>
                  <c:x val="-0.053997923156801658"/>
                  <c:y val="-0.095238095238095233"/>
                </c:manualLayout>
              </c:layout>
              <c:tx>
                <c:rich>
                  <a:bodyPr/>
                  <a:lstStyle/>
                  <a:p>
                    <a:r>
                      <a:rPr lang="en-US"/>
                      <a:t>BE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3F7D-4F0A-B6C7-E3C71B0BD46F}"/>
                </c:ext>
                <c:ext xmlns:c15="http://schemas.microsoft.com/office/drawing/2012/chart" uri="{CE6537A1-D6FC-4f65-9D91-7224C49458BB}"/>
              </c:extLst>
            </c:dLbl>
            <c:dLbl>
              <c:idx val="3"/>
              <c:layout>
                <c:manualLayout>
                  <c:x val="-0.046343919286304047"/>
                  <c:y val="-0.030078794107571086"/>
                </c:manualLayout>
              </c:layout>
              <c:tx>
                <c:rich>
                  <a:bodyPr vertOverflow="clip"/>
                  <a:lstStyle/>
                  <a:p>
                    <a:r>
                      <a:rPr lang="en-US"/>
                      <a:t>CZ</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3F7D-4F0A-B6C7-E3C71B0BD46F}"/>
                </c:ext>
                <c:ext xmlns:c15="http://schemas.microsoft.com/office/drawing/2012/chart" uri="{CE6537A1-D6FC-4f65-9D91-7224C49458BB}"/>
              </c:extLst>
            </c:dLbl>
            <c:dLbl>
              <c:idx val="4"/>
              <c:layout>
                <c:manualLayout>
                  <c:x val="-0.0083073727933541015"/>
                  <c:y val="0.0095238095238095247"/>
                </c:manualLayout>
              </c:layout>
              <c:tx>
                <c:rich>
                  <a:bodyPr/>
                  <a:lstStyle/>
                  <a:p>
                    <a:r>
                      <a:rPr lang="en-US"/>
                      <a:t>DK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3F7D-4F0A-B6C7-E3C71B0BD46F}"/>
                </c:ext>
                <c:ext xmlns:c15="http://schemas.microsoft.com/office/drawing/2012/chart" uri="{CE6537A1-D6FC-4f65-9D91-7224C49458BB}"/>
              </c:extLst>
            </c:dLbl>
            <c:dLbl>
              <c:idx val="5"/>
              <c:layout>
                <c:manualLayout>
                  <c:x val="-0.058587241812164785"/>
                  <c:y val="-0.055636031107622337"/>
                </c:manualLayout>
              </c:layout>
              <c:tx>
                <c:rich>
                  <a:bodyPr vertOverflow="clip"/>
                  <a:lstStyle/>
                  <a:p>
                    <a:r>
                      <a:rPr lang="en-US"/>
                      <a:t>DE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3F7D-4F0A-B6C7-E3C71B0BD46F}"/>
                </c:ext>
                <c:ext xmlns:c15="http://schemas.microsoft.com/office/drawing/2012/chart" uri="{CE6537A1-D6FC-4f65-9D91-7224C49458BB}"/>
              </c:extLst>
            </c:dLbl>
            <c:dLbl>
              <c:idx val="6"/>
              <c:layout>
                <c:manualLayout>
                  <c:x val="-0.067112391002275618"/>
                  <c:y val="-0.062487153134635147"/>
                </c:manualLayout>
              </c:layout>
              <c:tx>
                <c:rich>
                  <a:bodyPr vertOverflow="clip"/>
                  <a:lstStyle/>
                  <a:p>
                    <a:r>
                      <a:rPr lang="en-US"/>
                      <a:t>EE</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3F7D-4F0A-B6C7-E3C71B0BD46F}"/>
                </c:ext>
                <c:ext xmlns:c15="http://schemas.microsoft.com/office/drawing/2012/chart" uri="{CE6537A1-D6FC-4f65-9D91-7224C49458BB}"/>
              </c:extLst>
            </c:dLbl>
            <c:dLbl>
              <c:idx val="8"/>
              <c:layout>
                <c:manualLayout>
                  <c:x val="-0.037165622839344568"/>
                  <c:y val="-0.00082219938335046251"/>
                </c:manualLayout>
              </c:layout>
              <c:tx>
                <c:rich>
                  <a:bodyPr vertOverflow="clip"/>
                  <a:lstStyle/>
                  <a:p>
                    <a:r>
                      <a:rPr lang="en-US"/>
                      <a:t>EL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3F7D-4F0A-B6C7-E3C71B0BD46F}"/>
                </c:ext>
                <c:ext xmlns:c15="http://schemas.microsoft.com/office/drawing/2012/chart" uri="{CE6537A1-D6FC-4f65-9D91-7224C49458BB}"/>
              </c:extLst>
            </c:dLbl>
            <c:dLbl>
              <c:idx val="9"/>
              <c:layout>
                <c:manualLayout>
                  <c:x val="-0.12111014895516577"/>
                  <c:y val="-0.20267376649861213"/>
                </c:manualLayout>
              </c:layout>
              <c:tx>
                <c:rich>
                  <a:bodyPr vertOverflow="clip"/>
                  <a:lstStyle/>
                  <a:p>
                    <a:r>
                      <a:rPr lang="en-US"/>
                      <a:t>LU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B-3F7D-4F0A-B6C7-E3C71B0BD46F}"/>
                </c:ext>
                <c:ext xmlns:c15="http://schemas.microsoft.com/office/drawing/2012/chart" uri="{CE6537A1-D6FC-4f65-9D91-7224C49458BB}"/>
              </c:extLst>
            </c:dLbl>
            <c:dLbl>
              <c:idx val="10"/>
              <c:layout>
                <c:manualLayout>
                  <c:x val="0.434830268978526"/>
                  <c:y val="0.051798561151079135"/>
                </c:manualLayout>
              </c:layout>
              <c:tx>
                <c:rich>
                  <a:bodyPr vertOverflow="clip"/>
                  <a:lstStyle/>
                  <a:p>
                    <a:r>
                      <a:rPr lang="en-US"/>
                      <a:t>FR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C-3F7D-4F0A-B6C7-E3C71B0BD46F}"/>
                </c:ext>
                <c:ext xmlns:c15="http://schemas.microsoft.com/office/drawing/2012/chart" uri="{CE6537A1-D6FC-4f65-9D91-7224C49458BB}"/>
              </c:extLst>
            </c:dLbl>
            <c:dLbl>
              <c:idx val="11"/>
              <c:layout>
                <c:manualLayout>
                  <c:x val="-0.41952232606438211"/>
                  <c:y val="0.028571428571428571"/>
                </c:manualLayout>
              </c:layout>
              <c:tx>
                <c:rich>
                  <a:bodyPr vertOverflow="clip"/>
                  <a:lstStyle/>
                  <a:p>
                    <a:r>
                      <a:rPr lang="en-US"/>
                      <a:t>HR</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3F7D-4F0A-B6C7-E3C71B0BD46F}"/>
                </c:ext>
                <c:ext xmlns:c15="http://schemas.microsoft.com/office/drawing/2012/chart" uri="{CE6537A1-D6FC-4f65-9D91-7224C49458BB}"/>
              </c:extLst>
            </c:dLbl>
            <c:dLbl>
              <c:idx val="12"/>
              <c:layout>
                <c:manualLayout>
                  <c:x val="-0.04569055036344756"/>
                  <c:y val="-0.0761904761904762"/>
                </c:manualLayout>
              </c:layout>
              <c:tx>
                <c:rich>
                  <a:bodyPr/>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3F7D-4F0A-B6C7-E3C71B0BD46F}"/>
                </c:ext>
                <c:ext xmlns:c15="http://schemas.microsoft.com/office/drawing/2012/chart" uri="{CE6537A1-D6FC-4f65-9D91-7224C49458BB}"/>
              </c:extLst>
            </c:dLbl>
            <c:dLbl>
              <c:idx val="13"/>
              <c:layout>
                <c:manualLayout>
                  <c:x val="0.065152277960139893"/>
                  <c:y val="0.20918122644741344"/>
                </c:manualLayout>
              </c:layout>
              <c:tx>
                <c:rich>
                  <a:bodyPr vertOverflow="clip"/>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3F7D-4F0A-B6C7-E3C71B0BD46F}"/>
                </c:ext>
                <c:ext xmlns:c15="http://schemas.microsoft.com/office/drawing/2012/chart" uri="{CE6537A1-D6FC-4f65-9D91-7224C49458BB}"/>
              </c:extLst>
            </c:dLbl>
            <c:dLbl>
              <c:idx val="14"/>
              <c:layout>
                <c:manualLayout>
                  <c:x val="-0.17860858824871956"/>
                  <c:y val="-0.13449811579307983"/>
                </c:manualLayout>
              </c:layout>
              <c:tx>
                <c:rich>
                  <a:bodyPr vertOverflow="clip"/>
                  <a:lstStyle/>
                  <a:p>
                    <a:r>
                      <a:rPr lang="en-US"/>
                      <a:t>LV</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3F7D-4F0A-B6C7-E3C71B0BD46F}"/>
                </c:ext>
                <c:ext xmlns:c15="http://schemas.microsoft.com/office/drawing/2012/chart" uri="{CE6537A1-D6FC-4f65-9D91-7224C49458BB}"/>
              </c:extLst>
            </c:dLbl>
            <c:dLbl>
              <c:idx val="15"/>
              <c:layout>
                <c:manualLayout>
                  <c:x val="-0.42367601246105913"/>
                  <c:y val="0.51428571428571423"/>
                </c:manualLayout>
              </c:layout>
              <c:tx>
                <c:rich>
                  <a:bodyPr vertOverflow="clip"/>
                  <a:lstStyle/>
                  <a:p>
                    <a:r>
                      <a:rPr lang="en-US"/>
                      <a:t>LT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D-3F7D-4F0A-B6C7-E3C71B0BD46F}"/>
                </c:ext>
                <c:ext xmlns:c15="http://schemas.microsoft.com/office/drawing/2012/chart" uri="{CE6537A1-D6FC-4f65-9D91-7224C49458BB}"/>
              </c:extLst>
            </c:dLbl>
            <c:dLbl>
              <c:idx val="16"/>
              <c:layout>
                <c:manualLayout>
                  <c:x val="0.16877647327332165"/>
                  <c:y val="-0.36841384035628638"/>
                </c:manualLayout>
              </c:layout>
              <c:tx>
                <c:rich>
                  <a:bodyPr vertOverflow="clip"/>
                  <a:lstStyle/>
                  <a:p>
                    <a:r>
                      <a:rPr lang="en-US"/>
                      <a:t>IT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E-3F7D-4F0A-B6C7-E3C71B0BD46F}"/>
                </c:ext>
                <c:ext xmlns:c15="http://schemas.microsoft.com/office/drawing/2012/chart" uri="{CE6537A1-D6FC-4f65-9D91-7224C49458BB}"/>
              </c:extLst>
            </c:dLbl>
            <c:dLbl>
              <c:idx val="17"/>
              <c:layout>
                <c:manualLayout>
                  <c:x val="-0.62327097220264349"/>
                  <c:y val="0.14436450839328538"/>
                </c:manualLayout>
              </c:layout>
              <c:tx>
                <c:rich>
                  <a:bodyPr/>
                  <a:lstStyle/>
                  <a:p>
                    <a:r>
                      <a:rPr lang="en-US"/>
                      <a:t>HU</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F-3F7D-4F0A-B6C7-E3C71B0BD46F}"/>
                </c:ext>
                <c:ext xmlns:c15="http://schemas.microsoft.com/office/drawing/2012/chart" uri="{CE6537A1-D6FC-4f65-9D91-7224C49458BB}"/>
              </c:extLst>
            </c:dLbl>
            <c:dLbl>
              <c:idx val="18"/>
              <c:layout>
                <c:manualLayout>
                  <c:x val="-0.020985963711057858"/>
                  <c:y val="-0.070503597122302225"/>
                </c:manualLayout>
              </c:layout>
              <c:tx>
                <c:rich>
                  <a:bodyPr vertOverflow="clip"/>
                  <a:lstStyle/>
                  <a:p>
                    <a:r>
                      <a:rPr lang="en-US"/>
                      <a:t>NL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0-3F7D-4F0A-B6C7-E3C71B0BD46F}"/>
                </c:ext>
                <c:ext xmlns:c15="http://schemas.microsoft.com/office/drawing/2012/chart" uri="{CE6537A1-D6FC-4f65-9D91-7224C49458BB}"/>
              </c:extLst>
            </c:dLbl>
            <c:dLbl>
              <c:idx val="19"/>
              <c:layout>
                <c:manualLayout>
                  <c:x val="0.43548341623537468"/>
                  <c:y val="-0.11730044535799938"/>
                </c:manualLayout>
              </c:layout>
              <c:tx>
                <c:rich>
                  <a:bodyPr vertOverflow="clip"/>
                  <a:lstStyle/>
                  <a:p>
                    <a:r>
                      <a:rPr lang="en-US"/>
                      <a:t>AT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1-3F7D-4F0A-B6C7-E3C71B0BD46F}"/>
                </c:ext>
                <c:ext xmlns:c15="http://schemas.microsoft.com/office/drawing/2012/chart" uri="{CE6537A1-D6FC-4f65-9D91-7224C49458BB}"/>
              </c:extLst>
            </c:dLbl>
            <c:dLbl>
              <c:idx val="20"/>
              <c:layout>
                <c:manualLayout>
                  <c:x val="-0.12876427829698853"/>
                  <c:y val="0.22857142857142856"/>
                </c:manualLayout>
              </c:layout>
              <c:tx>
                <c:rich>
                  <a:bodyPr vertOverflow="clip"/>
                  <a:lstStyle/>
                  <a:p>
                    <a:r>
                      <a:rPr lang="en-US"/>
                      <a:t>PL</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2-3F7D-4F0A-B6C7-E3C71B0BD46F}"/>
                </c:ext>
                <c:ext xmlns:c15="http://schemas.microsoft.com/office/drawing/2012/chart" uri="{CE6537A1-D6FC-4f65-9D91-7224C49458BB}"/>
              </c:extLst>
            </c:dLbl>
            <c:dLbl>
              <c:idx val="21"/>
              <c:layout>
                <c:manualLayout>
                  <c:x val="-0.10384215991692627"/>
                  <c:y val="0.12380952380952381"/>
                </c:manualLayout>
              </c:layout>
              <c:tx>
                <c:rich>
                  <a:bodyPr vertOverflow="clip"/>
                  <a:lstStyle/>
                  <a:p>
                    <a:r>
                      <a:rPr lang="en-US"/>
                      <a:t>PT</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3F7D-4F0A-B6C7-E3C71B0BD46F}"/>
                </c:ext>
                <c:ext xmlns:c15="http://schemas.microsoft.com/office/drawing/2012/chart" uri="{CE6537A1-D6FC-4f65-9D91-7224C49458BB}"/>
              </c:extLst>
            </c:dLbl>
            <c:dLbl>
              <c:idx val="22"/>
              <c:delete val="1"/>
              <c:extLst>
                <c:ext xmlns:c="http://schemas.openxmlformats.org/drawingml/2006/chart" xmlns:c16="http://schemas.microsoft.com/office/drawing/2014/chart" uri="{C3380CC4-5D6E-409C-BE32-E72D297353CC}">
                  <c16:uniqueId val="{00000014-3F7D-4F0A-B6C7-E3C71B0BD46F}"/>
                </c:ext>
                <c:ext xmlns:c15="http://schemas.microsoft.com/office/drawing/2012/chart" uri="{CE6537A1-D6FC-4f65-9D91-7224C49458BB}"/>
              </c:extLst>
            </c:dLbl>
            <c:dLbl>
              <c:idx val="23"/>
              <c:layout>
                <c:manualLayout>
                  <c:x val="-0.39394714407502129"/>
                  <c:y val="-0.12079479273723878"/>
                </c:manualLayout>
              </c:layout>
              <c:tx>
                <c:rich>
                  <a:bodyPr vertOverflow="clip"/>
                  <a:lstStyle/>
                  <a:p>
                    <a:r>
                      <a:rPr lang="en-US"/>
                      <a:t>SI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5-3F7D-4F0A-B6C7-E3C71B0BD46F}"/>
                </c:ext>
                <c:ext xmlns:c15="http://schemas.microsoft.com/office/drawing/2012/chart" uri="{CE6537A1-D6FC-4f65-9D91-7224C49458BB}"/>
              </c:extLst>
            </c:dLbl>
            <c:dLbl>
              <c:idx val="24"/>
              <c:layout>
                <c:manualLayout>
                  <c:x val="-0.012461059190031152"/>
                  <c:y val="0.047619047619047616"/>
                </c:manualLayout>
              </c:layout>
              <c:tx>
                <c:rich>
                  <a:bodyPr/>
                  <a:lstStyle/>
                  <a:p>
                    <a:r>
                      <a:rPr lang="en-US"/>
                      <a:t>SK</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6-3F7D-4F0A-B6C7-E3C71B0BD46F}"/>
                </c:ext>
                <c:ext xmlns:c15="http://schemas.microsoft.com/office/drawing/2012/chart" uri="{CE6537A1-D6FC-4f65-9D91-7224C49458BB}"/>
              </c:extLst>
            </c:dLbl>
            <c:dLbl>
              <c:idx val="25"/>
              <c:layout>
                <c:manualLayout>
                  <c:x val="-0.0083073727933541015"/>
                  <c:y val="0.0380952380952381"/>
                </c:manualLayout>
              </c:layout>
              <c:tx>
                <c:rich>
                  <a:bodyPr/>
                  <a:lstStyle/>
                  <a:p>
                    <a:r>
                      <a:rPr lang="en-US"/>
                      <a:t>FI</a:t>
                    </a:r>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7-3F7D-4F0A-B6C7-E3C71B0BD46F}"/>
                </c:ext>
                <c:ext xmlns:c15="http://schemas.microsoft.com/office/drawing/2012/chart" uri="{CE6537A1-D6FC-4f65-9D91-7224C49458BB}"/>
              </c:extLst>
            </c:dLbl>
            <c:dLbl>
              <c:idx val="26"/>
              <c:layout>
                <c:manualLayout>
                  <c:x val="-0.049844236760124609"/>
                  <c:y val="0.0761904761904762"/>
                </c:manualLayout>
              </c:layout>
              <c:tx>
                <c:rich>
                  <a:bodyPr/>
                  <a:lstStyle/>
                  <a:p>
                    <a:r>
                      <a:rPr lang="lv-LV"/>
                      <a:t>SE</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8-3F7D-4F0A-B6C7-E3C71B0BD46F}"/>
                </c:ext>
                <c:ext xmlns:c15="http://schemas.microsoft.com/office/drawing/2012/chart" uri="{CE6537A1-D6FC-4f65-9D91-7224C49458BB}"/>
              </c:extLst>
            </c:dLbl>
            <c:dLbl>
              <c:idx val="27"/>
              <c:layout>
                <c:manualLayout>
                  <c:x val="-0.033229491173416406"/>
                  <c:y val="-0.076190476190476183"/>
                </c:manualLayout>
              </c:layout>
              <c:tx>
                <c:rich>
                  <a:bodyPr/>
                  <a:lstStyle/>
                  <a:p>
                    <a:r>
                      <a:rPr lang="lv-LV"/>
                      <a:t>UK</a:t>
                    </a:r>
                    <a:endParaRPr lang="en-US"/>
                  </a:p>
                </c:rich>
              </c:tx>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9-3F7D-4F0A-B6C7-E3C71B0BD46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Sheet1!$B$3:$B$28</c:f>
              <c:numCache>
                <c:formatCode>0</c:formatCode>
                <c:ptCount val="26"/>
                <c:pt idx="0">
                  <c:v>61.164410112846063</c:v>
                </c:pt>
                <c:pt idx="1">
                  <c:v>107.37908366533865</c:v>
                </c:pt>
                <c:pt idx="2">
                  <c:v>9.3159164655961373</c:v>
                </c:pt>
                <c:pt idx="3">
                  <c:v>28.862838845512762</c:v>
                </c:pt>
                <c:pt idx="4">
                  <c:v>106.08566433566433</c:v>
                </c:pt>
                <c:pt idx="5">
                  <c:v>77.8866214057508</c:v>
                </c:pt>
                <c:pt idx="6">
                  <c:v>22.156912637828668</c:v>
                </c:pt>
                <c:pt idx="7">
                  <c:v>330.4031741337671</c:v>
                </c:pt>
                <c:pt idx="8">
                  <c:v>41.472494303553987</c:v>
                </c:pt>
                <c:pt idx="9">
                  <c:v>80.309559372666172</c:v>
                </c:pt>
                <c:pt idx="10">
                  <c:v>20.255403485154435</c:v>
                </c:pt>
                <c:pt idx="11">
                  <c:v>58.557915057915061</c:v>
                </c:pt>
                <c:pt idx="12">
                  <c:v>25.098870056497173</c:v>
                </c:pt>
                <c:pt idx="13">
                  <c:v>20.662223721950397</c:v>
                </c:pt>
                <c:pt idx="14">
                  <c:v>30.323694858383497</c:v>
                </c:pt>
                <c:pt idx="15">
                  <c:v>73.783950617283949</c:v>
                </c:pt>
                <c:pt idx="16">
                  <c:v>26.167047022266921</c:v>
                </c:pt>
                <c:pt idx="17">
                  <c:v>90.790873533246426</c:v>
                </c:pt>
                <c:pt idx="18">
                  <c:v>87.7964813377884</c:v>
                </c:pt>
                <c:pt idx="19">
                  <c:v>23.716860427355975</c:v>
                </c:pt>
                <c:pt idx="20">
                  <c:v>29.873568368289881</c:v>
                </c:pt>
                <c:pt idx="21">
                  <c:v>35.49601927508904</c:v>
                </c:pt>
                <c:pt idx="22">
                  <c:v>35.735015387123724</c:v>
                </c:pt>
                <c:pt idx="23">
                  <c:v>80.3183023872679</c:v>
                </c:pt>
                <c:pt idx="24">
                  <c:v>104.43103448275862</c:v>
                </c:pt>
                <c:pt idx="25">
                  <c:v>65.8125618469546</c:v>
                </c:pt>
              </c:numCache>
            </c:numRef>
          </c:xVal>
          <c:yVal>
            <c:numRef>
              <c:f>Sheet1!$C$3:$C$28</c:f>
              <c:numCache>
                <c:formatCode>0.0</c:formatCode>
                <c:ptCount val="26"/>
                <c:pt idx="0">
                  <c:v>0.643636511891201</c:v>
                </c:pt>
                <c:pt idx="1">
                  <c:v>0.60103337658573575</c:v>
                </c:pt>
                <c:pt idx="2">
                  <c:v>0.60798066088973546</c:v>
                </c:pt>
                <c:pt idx="3">
                  <c:v>0.51738311811149029</c:v>
                </c:pt>
                <c:pt idx="4">
                  <c:v>0.61001624394661813</c:v>
                </c:pt>
                <c:pt idx="5">
                  <c:v>0.6783066480595451</c:v>
                </c:pt>
                <c:pt idx="6">
                  <c:v>0.72224294324607108</c:v>
                </c:pt>
                <c:pt idx="7">
                  <c:v>0.17497932833656618</c:v>
                </c:pt>
                <c:pt idx="8">
                  <c:v>0.50908792425338534</c:v>
                </c:pt>
                <c:pt idx="9">
                  <c:v>0.6603153219932969</c:v>
                </c:pt>
                <c:pt idx="10">
                  <c:v>0.70279275110054018</c:v>
                </c:pt>
                <c:pt idx="11">
                  <c:v>0.69438912584464241</c:v>
                </c:pt>
                <c:pt idx="12">
                  <c:v>0.80717364151694426</c:v>
                </c:pt>
                <c:pt idx="13">
                  <c:v>0.59332796816226052</c:v>
                </c:pt>
                <c:pt idx="14">
                  <c:v>0.47088651201582327</c:v>
                </c:pt>
                <c:pt idx="15">
                  <c:v>0.75782910148079985</c:v>
                </c:pt>
                <c:pt idx="16">
                  <c:v>0.48405623120948915</c:v>
                </c:pt>
                <c:pt idx="17">
                  <c:v>0.60358793069687255</c:v>
                </c:pt>
                <c:pt idx="18">
                  <c:v>0.57956400123227847</c:v>
                </c:pt>
                <c:pt idx="19">
                  <c:v>0.475838568900762</c:v>
                </c:pt>
                <c:pt idx="20">
                  <c:v>0.582964326250451</c:v>
                </c:pt>
                <c:pt idx="21">
                  <c:v>0.71128994441480653</c:v>
                </c:pt>
                <c:pt idx="22">
                  <c:v>0.44872851221758536</c:v>
                </c:pt>
                <c:pt idx="23">
                  <c:v>0.6596335780736432</c:v>
                </c:pt>
                <c:pt idx="24">
                  <c:v>0.50931182431925381</c:v>
                </c:pt>
                <c:pt idx="25">
                  <c:v>0.99043215250160488</c:v>
                </c:pt>
              </c:numCache>
            </c:numRef>
          </c:yVal>
          <c:smooth val="0"/>
          <c:extLst>
            <c:ext xmlns:c="http://schemas.openxmlformats.org/drawingml/2006/chart" xmlns:c16="http://schemas.microsoft.com/office/drawing/2014/chart" uri="{C3380CC4-5D6E-409C-BE32-E72D297353CC}">
              <c16:uniqueId val="{0000001A-3F7D-4F0A-B6C7-E3C71B0BD46F}"/>
            </c:ext>
          </c:extLst>
        </c:ser>
        <c:dLbls>
          <c:showLegendKey val="0"/>
          <c:showVal val="0"/>
          <c:showCatName val="0"/>
          <c:showSerName val="0"/>
          <c:showPercent val="0"/>
          <c:showBubbleSize val="0"/>
        </c:dLbls>
        <c:axId val="430622088"/>
        <c:axId val="430622480"/>
      </c:scatterChart>
      <c:valAx>
        <c:axId val="430622088"/>
        <c:scaling>
          <c:orientation val="minMax"/>
          <c:max val="100"/>
          <c:min val="10"/>
        </c:scaling>
        <c:delete val="0"/>
        <c:axPos val="b"/>
        <c:title>
          <c:tx>
            <c:rich>
              <a:bodyPr vertOverflow="clip"/>
              <a:lstStyle/>
              <a:p>
                <a:pPr>
                  <a:defRPr/>
                </a:pPr>
                <a:r>
                  <a:rPr lang="lv-LV"/>
                  <a:t>Produktivitāte (pievienotā vērtība uz 1 strādājošo, EUR)</a:t>
                </a:r>
              </a:p>
            </c:rich>
          </c:tx>
          <c:layout>
            <c:manualLayout>
              <c:xMode val="edge"/>
              <c:yMode val="edge"/>
              <c:x val="0.17802659578038679"/>
              <c:y val="0.89277149708804382"/>
            </c:manualLayout>
          </c:layout>
          <c:overlay val="0"/>
        </c:title>
        <c:numFmt formatCode="0" sourceLinked="0"/>
        <c:majorTickMark val="out"/>
        <c:minorTickMark val="none"/>
        <c:tickLblPos val="nextTo"/>
        <c:spPr>
          <a:ln w="6350">
            <a:solidFill>
              <a:sysClr val="windowText" lastClr="000000"/>
            </a:solidFill>
          </a:ln>
        </c:spPr>
        <c:txPr>
          <a:bodyPr rot="0" vert="horz"/>
          <a:lstStyle/>
          <a:p>
            <a:pPr>
              <a:defRPr/>
            </a:pPr>
            <a:endParaRPr lang="lv-LV"/>
          </a:p>
        </c:txPr>
        <c:crossAx val="430622480"/>
        <c:crosses val="autoZero"/>
        <c:crossBetween val="midCat"/>
        <c:majorUnit val="20"/>
      </c:valAx>
      <c:valAx>
        <c:axId val="430622480"/>
        <c:scaling>
          <c:orientation val="minMax"/>
          <c:max val="0.8"/>
          <c:min val="0.30000000000000004"/>
        </c:scaling>
        <c:delete val="0"/>
        <c:axPos val="l"/>
        <c:title>
          <c:tx>
            <c:rich>
              <a:bodyPr vertOverflow="clip"/>
              <a:lstStyle/>
              <a:p>
                <a:pPr>
                  <a:defRPr/>
                </a:pPr>
                <a:r>
                  <a:rPr lang="lv-LV"/>
                  <a:t>Darbaspēka izmaksas uz 1 produkcijas vienību, EUR.</a:t>
                </a:r>
              </a:p>
            </c:rich>
          </c:tx>
          <c:layout/>
          <c:overlay val="0"/>
        </c:title>
        <c:numFmt formatCode="0.0" sourceLinked="0"/>
        <c:majorTickMark val="out"/>
        <c:minorTickMark val="none"/>
        <c:tickLblPos val="nextTo"/>
        <c:spPr>
          <a:ln w="6350">
            <a:solidFill>
              <a:sysClr val="windowText" lastClr="000000"/>
            </a:solidFill>
          </a:ln>
        </c:spPr>
        <c:txPr>
          <a:bodyPr rot="0" vert="horz"/>
          <a:lstStyle/>
          <a:p>
            <a:pPr>
              <a:defRPr/>
            </a:pPr>
            <a:endParaRPr lang="lv-LV"/>
          </a:p>
        </c:txPr>
        <c:crossAx val="430622088"/>
        <c:crosses val="autoZero"/>
        <c:crossBetween val="midCat"/>
        <c:majorUnit val="0.1"/>
      </c:valAx>
      <c:spPr>
        <a:solidFill>
          <a:sysClr val="window" lastClr="FFFFFF"/>
        </a:solidFill>
        <a:ln w="6350">
          <a:noFill/>
        </a:ln>
      </c:spPr>
    </c:plotArea>
    <c:plotVisOnly val="1"/>
    <c:dispBlanksAs val="zero"/>
    <c:showDLblsOverMax val="0"/>
  </c:chart>
  <c:spPr>
    <a:noFill/>
    <a:ln w="9525" cap="sq">
      <a:noFill/>
    </a:ln>
  </c:spPr>
  <c:txPr>
    <a:bodyPr/>
    <a:lstStyle/>
    <a:p>
      <a:pPr>
        <a:spcBef>
          <a:spcPts val="600"/>
        </a:spcBef>
        <a:spcAft>
          <a:spcPts val="1200"/>
        </a:spcAft>
        <a:defRPr sz="550" b="0" i="0" u="none" strike="noStrike" baseline="0">
          <a:solidFill>
            <a:srgbClr val="000000"/>
          </a:solidFill>
          <a:latin typeface="Arial"/>
          <a:ea typeface="Arial"/>
          <a:cs typeface="Arial"/>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Sheet1!$A$2</c:f>
              <c:strCache>
                <c:ptCount val="1"/>
                <c:pt idx="0">
                  <c:v>Faktiskais finansējums</c:v>
                </c:pt>
              </c:strCache>
            </c:strRef>
          </c:tx>
          <c:marker>
            <c:symbol val="none"/>
          </c:marker>
          <c:dLbls>
            <c:dLbl>
              <c:idx val="2"/>
              <c:layout>
                <c:manualLayout>
                  <c:x val="-0.082647496281606392"/>
                  <c:y val="0.042380047321670888"/>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4734-4706-9748-2495DB9DA9B5}"/>
                </c:ext>
                <c:ext xmlns:c15="http://schemas.microsoft.com/office/drawing/2012/chart" uri="{CE6537A1-D6FC-4f65-9D91-7224C49458BB}"/>
              </c:extLst>
            </c:dLbl>
            <c:dLbl>
              <c:idx val="9"/>
              <c:layout>
                <c:manualLayout>
                  <c:x val="-0.07421913733267238"/>
                  <c:y val="0.030064776385710406"/>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69F2-4C7B-9B95-D367278BC87E}"/>
                </c:ext>
                <c:ext xmlns:c15="http://schemas.microsoft.com/office/drawing/2012/chart" uri="{CE6537A1-D6FC-4f65-9D91-7224C49458BB}"/>
              </c:extLst>
            </c:dLbl>
            <c:numFmt formatCode="#,##0.0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Sheet1!$B$2:$O$2</c:f>
              <c:numCache>
                <c:formatCode>General</c:formatCode>
                <c:ptCount val="14"/>
                <c:pt idx="0">
                  <c:v>0.59</c:v>
                </c:pt>
                <c:pt idx="1">
                  <c:v>0.62</c:v>
                </c:pt>
                <c:pt idx="2">
                  <c:v>0.46</c:v>
                </c:pt>
                <c:pt idx="3">
                  <c:v>0.6</c:v>
                </c:pt>
                <c:pt idx="4">
                  <c:v>0.7</c:v>
                </c:pt>
                <c:pt idx="5">
                  <c:v>0.66</c:v>
                </c:pt>
                <c:pt idx="6">
                  <c:v>0.6</c:v>
                </c:pt>
                <c:pt idx="7">
                  <c:v>0.68</c:v>
                </c:pt>
                <c:pt idx="8">
                  <c:v>0.62</c:v>
                </c:pt>
                <c:pt idx="9">
                  <c:v>0.44</c:v>
                </c:pt>
              </c:numCache>
            </c:numRef>
          </c:val>
          <c:smooth val="0"/>
          <c:extLst>
            <c:ext xmlns:c="http://schemas.openxmlformats.org/drawingml/2006/chart" xmlns:c16="http://schemas.microsoft.com/office/drawing/2014/chart" uri="{C3380CC4-5D6E-409C-BE32-E72D297353CC}">
              <c16:uniqueId val="{00000000-4734-4706-9748-2495DB9DA9B5}"/>
            </c:ext>
          </c:extLst>
        </c:ser>
        <c:ser>
          <c:idx val="0"/>
          <c:order val="1"/>
          <c:tx>
            <c:strRef>
              <c:f>Sheet1!$A$3</c:f>
              <c:strCache>
                <c:ptCount val="1"/>
                <c:pt idx="0">
                  <c:v>Mērķis</c:v>
                </c:pt>
              </c:strCache>
            </c:strRef>
          </c:tx>
          <c:spPr>
            <a:ln w="19050">
              <a:solidFill>
                <a:schemeClr val="phClr">
                  <a:shade val="95000"/>
                  <a:satMod val="105000"/>
                </a:schemeClr>
              </a:solidFill>
              <a:prstDash val="sysDash"/>
            </a:ln>
          </c:spPr>
          <c:marker>
            <c:symbol val="none"/>
          </c:marker>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Sheet1!$B$3:$O$3</c:f>
              <c:numCache>
                <c:formatCode>General</c:formatCode>
                <c:ptCount val="14"/>
                <c:pt idx="5">
                  <c:v>0.66</c:v>
                </c:pt>
                <c:pt idx="6">
                  <c:v>0.7</c:v>
                </c:pt>
                <c:pt idx="7">
                  <c:v>0.8</c:v>
                </c:pt>
                <c:pt idx="8">
                  <c:v>1</c:v>
                </c:pt>
                <c:pt idx="9">
                  <c:v>1.1</c:v>
                </c:pt>
                <c:pt idx="10">
                  <c:v>1.2</c:v>
                </c:pt>
                <c:pt idx="11">
                  <c:v>1.3</c:v>
                </c:pt>
                <c:pt idx="12">
                  <c:v>1.4</c:v>
                </c:pt>
                <c:pt idx="13">
                  <c:v>1.5</c:v>
                </c:pt>
              </c:numCache>
            </c:numRef>
          </c:val>
          <c:smooth val="0"/>
          <c:extLst>
            <c:ext xmlns:c="http://schemas.openxmlformats.org/drawingml/2006/chart" xmlns:c16="http://schemas.microsoft.com/office/drawing/2014/chart" uri="{C3380CC4-5D6E-409C-BE32-E72D297353CC}">
              <c16:uniqueId val="{00000002-4734-4706-9748-2495DB9DA9B5}"/>
            </c:ext>
          </c:extLst>
        </c:ser>
        <c:dLbls>
          <c:showLegendKey val="0"/>
          <c:showVal val="0"/>
          <c:showCatName val="0"/>
          <c:showSerName val="0"/>
          <c:showPercent val="0"/>
          <c:showBubbleSize val="0"/>
        </c:dLbls>
        <c:smooth val="0"/>
        <c:axId val="430625616"/>
        <c:axId val="430626792"/>
      </c:lineChart>
      <c:catAx>
        <c:axId val="43062561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430626792"/>
        <c:crosses val="autoZero"/>
        <c:lblAlgn val="ctr"/>
        <c:lblOffset val="0"/>
        <c:tickLblSkip val="1"/>
        <c:noMultiLvlLbl val="1"/>
      </c:catAx>
      <c:valAx>
        <c:axId val="430626792"/>
        <c:scaling>
          <c:orientation val="minMax"/>
          <c:min val="0"/>
        </c:scaling>
        <c:delete val="0"/>
        <c:axPos val="l"/>
        <c:numFmt formatCode="0.0" sourceLinked="0"/>
        <c:majorTickMark val="out"/>
        <c:minorTickMark val="none"/>
        <c:tickLblPos val="nextTo"/>
        <c:spPr>
          <a:ln w="3175">
            <a:noFill/>
          </a:ln>
        </c:spPr>
        <c:txPr>
          <a:bodyPr rot="0" vert="horz"/>
          <a:lstStyle/>
          <a:p>
            <a:pPr>
              <a:defRPr/>
            </a:pPr>
            <a:endParaRPr lang="lv-LV"/>
          </a:p>
        </c:txPr>
        <c:crossAx val="430625616"/>
        <c:crosses val="autoZero"/>
        <c:crossBetween val="between"/>
      </c:valAx>
      <c:spPr>
        <a:noFill/>
        <a:ln w="24631">
          <a:noFill/>
        </a:ln>
      </c:spPr>
    </c:plotArea>
    <c:legend>
      <c:legendPos val="l"/>
      <c:layout>
        <c:manualLayout>
          <c:xMode val="edge"/>
          <c:yMode val="edge"/>
          <c:x val="0.11368070634624711"/>
          <c:y val="0.0017642907551164433"/>
          <c:w val="0.71875555945478964"/>
          <c:h val="0.1557232480731722"/>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Sheet1!$A$2</c:f>
              <c:strCache>
                <c:ptCount val="1"/>
                <c:pt idx="0">
                  <c:v>Fakts</c:v>
                </c:pt>
              </c:strCache>
            </c:strRef>
          </c:tx>
          <c:marker>
            <c:symbol val="none"/>
          </c:marker>
          <c:dLbls>
            <c:dLbl>
              <c:idx val="2"/>
              <c:layout>
                <c:manualLayout>
                  <c:x val="-0.084447661312530953"/>
                  <c:y val="0.0697425524702849"/>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2AA8-4135-8019-D22A748B79D3}"/>
                </c:ext>
                <c:ext xmlns:c15="http://schemas.microsoft.com/office/drawing/2012/chart" uri="{CE6537A1-D6FC-4f65-9D91-7224C49458BB}"/>
              </c:extLst>
            </c:dLbl>
            <c:dLbl>
              <c:idx val="3"/>
              <c:layout>
                <c:manualLayout>
                  <c:x val="-0.0776230269266481"/>
                  <c:y val="0.041513900388421808"/>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2AA8-4135-8019-D22A748B79D3}"/>
                </c:ext>
                <c:ext xmlns:c15="http://schemas.microsoft.com/office/drawing/2012/chart" uri="{CE6537A1-D6FC-4f65-9D91-7224C49458BB}"/>
              </c:extLst>
            </c:dLbl>
            <c:dLbl>
              <c:idx val="4"/>
              <c:layout>
                <c:manualLayout>
                  <c:x val="-0.076075518415351345"/>
                  <c:y val="0.062685389449819121"/>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8-2AA8-4135-8019-D22A748B79D3}"/>
                </c:ext>
                <c:ext xmlns:c15="http://schemas.microsoft.com/office/drawing/2012/chart" uri="{CE6537A1-D6FC-4f65-9D91-7224C49458BB}"/>
              </c:extLst>
            </c:dLbl>
            <c:dLbl>
              <c:idx val="5"/>
              <c:layout>
                <c:manualLayout>
                  <c:x val="-0.0768027255645969"/>
                  <c:y val="0.048571063408887581"/>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2AA8-4135-8019-D22A748B79D3}"/>
                </c:ext>
                <c:ext xmlns:c15="http://schemas.microsoft.com/office/drawing/2012/chart" uri="{CE6537A1-D6FC-4f65-9D91-7224C49458BB}"/>
              </c:extLst>
            </c:dLbl>
            <c:dLbl>
              <c:idx val="6"/>
              <c:layout>
                <c:manualLayout>
                  <c:x val="-0.0766638153517719"/>
                  <c:y val="0.062685389449819121"/>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9-2AA8-4135-8019-D22A748B79D3}"/>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Sheet1!$B$2:$O$2</c:f>
              <c:numCache>
                <c:formatCode>General</c:formatCode>
                <c:ptCount val="14"/>
                <c:pt idx="0">
                  <c:v>62.5</c:v>
                </c:pt>
                <c:pt idx="1">
                  <c:v>67</c:v>
                </c:pt>
                <c:pt idx="2">
                  <c:v>38.1</c:v>
                </c:pt>
                <c:pt idx="3">
                  <c:v>28.9</c:v>
                </c:pt>
                <c:pt idx="4">
                  <c:v>31.9</c:v>
                </c:pt>
                <c:pt idx="5">
                  <c:v>34.7</c:v>
                </c:pt>
                <c:pt idx="6">
                  <c:v>33.4</c:v>
                </c:pt>
                <c:pt idx="7">
                  <c:v>41.7</c:v>
                </c:pt>
                <c:pt idx="8">
                  <c:v>49.8</c:v>
                </c:pt>
                <c:pt idx="9" formatCode="0.0">
                  <c:v>52.7</c:v>
                </c:pt>
              </c:numCache>
            </c:numRef>
          </c:val>
          <c:smooth val="0"/>
          <c:extLst>
            <c:ext xmlns:c="http://schemas.openxmlformats.org/drawingml/2006/chart" xmlns:c16="http://schemas.microsoft.com/office/drawing/2014/chart" uri="{C3380CC4-5D6E-409C-BE32-E72D297353CC}">
              <c16:uniqueId val="{00000000-2AA8-4135-8019-D22A748B79D3}"/>
            </c:ext>
          </c:extLst>
        </c:ser>
        <c:ser>
          <c:idx val="0"/>
          <c:order val="1"/>
          <c:tx>
            <c:strRef>
              <c:f>Sheet1!$A$3</c:f>
              <c:strCache>
                <c:ptCount val="1"/>
                <c:pt idx="0">
                  <c:v>Mērķis</c:v>
                </c:pt>
              </c:strCache>
            </c:strRef>
          </c:tx>
          <c:spPr>
            <a:ln w="19050">
              <a:solidFill>
                <a:schemeClr val="phClr">
                  <a:shade val="95000"/>
                  <a:satMod val="105000"/>
                </a:schemeClr>
              </a:solidFill>
              <a:prstDash val="sysDash"/>
            </a:ln>
          </c:spPr>
          <c:marker>
            <c:symbol val="none"/>
          </c:marker>
          <c:dLbls>
            <c:dLbl>
              <c:idx val="6"/>
              <c:delete val="1"/>
              <c:extLst>
                <c:ext xmlns:c="http://schemas.openxmlformats.org/drawingml/2006/chart" xmlns:c16="http://schemas.microsoft.com/office/drawing/2014/chart" uri="{C3380CC4-5D6E-409C-BE32-E72D297353CC}">
                  <c16:uniqueId val="{00000004-2AA8-4135-8019-D22A748B79D3}"/>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Sheet1!$B$3:$O$3</c:f>
              <c:numCache>
                <c:formatCode>General</c:formatCode>
                <c:ptCount val="14"/>
                <c:pt idx="6" formatCode="0">
                  <c:v>35.6</c:v>
                </c:pt>
                <c:pt idx="7" formatCode="0">
                  <c:v>49.8</c:v>
                </c:pt>
                <c:pt idx="8" formatCode="0">
                  <c:v>75.4</c:v>
                </c:pt>
                <c:pt idx="9" formatCode="0">
                  <c:v>120.9</c:v>
                </c:pt>
                <c:pt idx="10" formatCode="0">
                  <c:v>156.5</c:v>
                </c:pt>
                <c:pt idx="11" formatCode="0">
                  <c:v>177.9</c:v>
                </c:pt>
                <c:pt idx="12" formatCode="0">
                  <c:v>199.2</c:v>
                </c:pt>
                <c:pt idx="13" formatCode="0">
                  <c:v>226.1</c:v>
                </c:pt>
              </c:numCache>
            </c:numRef>
          </c:val>
          <c:smooth val="0"/>
          <c:extLst>
            <c:ext xmlns:c="http://schemas.openxmlformats.org/drawingml/2006/chart" xmlns:c16="http://schemas.microsoft.com/office/drawing/2014/chart" uri="{C3380CC4-5D6E-409C-BE32-E72D297353CC}">
              <c16:uniqueId val="{00000002-2AA8-4135-8019-D22A748B79D3}"/>
            </c:ext>
          </c:extLst>
        </c:ser>
        <c:dLbls>
          <c:showLegendKey val="0"/>
          <c:showVal val="0"/>
          <c:showCatName val="0"/>
          <c:showSerName val="0"/>
          <c:showPercent val="0"/>
          <c:showBubbleSize val="0"/>
        </c:dLbls>
        <c:smooth val="0"/>
        <c:axId val="430624048"/>
        <c:axId val="430627576"/>
      </c:lineChart>
      <c:catAx>
        <c:axId val="430624048"/>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430627576"/>
        <c:crosses val="autoZero"/>
        <c:lblAlgn val="ctr"/>
        <c:lblOffset val="0"/>
        <c:tickLblSkip val="1"/>
        <c:noMultiLvlLbl val="1"/>
      </c:catAx>
      <c:valAx>
        <c:axId val="430627576"/>
        <c:scaling>
          <c:orientation val="minMax"/>
        </c:scaling>
        <c:delete val="0"/>
        <c:axPos val="l"/>
        <c:numFmt formatCode="0" sourceLinked="0"/>
        <c:majorTickMark val="out"/>
        <c:minorTickMark val="none"/>
        <c:tickLblPos val="nextTo"/>
        <c:spPr>
          <a:ln w="3175">
            <a:noFill/>
          </a:ln>
        </c:spPr>
        <c:txPr>
          <a:bodyPr rot="0" vert="horz"/>
          <a:lstStyle/>
          <a:p>
            <a:pPr>
              <a:defRPr/>
            </a:pPr>
            <a:endParaRPr lang="lv-LV"/>
          </a:p>
        </c:txPr>
        <c:crossAx val="430624048"/>
        <c:crosses val="autoZero"/>
        <c:crossBetween val="between"/>
      </c:valAx>
      <c:spPr>
        <a:noFill/>
        <a:ln w="24631">
          <a:noFill/>
        </a:ln>
      </c:spPr>
    </c:plotArea>
    <c:legend>
      <c:legendPos val="l"/>
      <c:layout>
        <c:manualLayout>
          <c:xMode val="edge"/>
          <c:yMode val="edge"/>
          <c:x val="0.11368090944727557"/>
          <c:y val="0.065278527432054867"/>
          <c:w val="0.45877423397339934"/>
          <c:h val="0.16983757411410375"/>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Sheet1!$A$2</c:f>
              <c:strCache>
                <c:ptCount val="1"/>
                <c:pt idx="0">
                  <c:v>Fakts</c:v>
                </c:pt>
              </c:strCache>
            </c:strRef>
          </c:tx>
          <c:marker>
            <c:symbol val="none"/>
          </c:marker>
          <c:dLbls>
            <c:dLbl>
              <c:idx val="2"/>
              <c:layout>
                <c:manualLayout>
                  <c:x val="-0.084447661312530953"/>
                  <c:y val="0.0697425524702849"/>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CB52-4F59-A485-683420E570B6}"/>
                </c:ext>
                <c:ext xmlns:c15="http://schemas.microsoft.com/office/drawing/2012/chart" uri="{CE6537A1-D6FC-4f65-9D91-7224C49458BB}"/>
              </c:extLst>
            </c:dLbl>
            <c:dLbl>
              <c:idx val="3"/>
              <c:layout>
                <c:manualLayout>
                  <c:x val="-0.0776230269266481"/>
                  <c:y val="0.041513900388421808"/>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CB52-4F59-A485-683420E570B6}"/>
                </c:ext>
                <c:ext xmlns:c15="http://schemas.microsoft.com/office/drawing/2012/chart" uri="{CE6537A1-D6FC-4f65-9D91-7224C49458BB}"/>
              </c:extLst>
            </c:dLbl>
            <c:dLbl>
              <c:idx val="4"/>
              <c:layout>
                <c:manualLayout>
                  <c:x val="-0.076075518415351345"/>
                  <c:y val="0.062685389449819121"/>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CB52-4F59-A485-683420E570B6}"/>
                </c:ext>
                <c:ext xmlns:c15="http://schemas.microsoft.com/office/drawing/2012/chart" uri="{CE6537A1-D6FC-4f65-9D91-7224C49458BB}"/>
              </c:extLst>
            </c:dLbl>
            <c:dLbl>
              <c:idx val="5"/>
              <c:layout>
                <c:manualLayout>
                  <c:x val="-0.0768027255645969"/>
                  <c:y val="0.048571063408887581"/>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CB52-4F59-A485-683420E570B6}"/>
                </c:ext>
                <c:ext xmlns:c15="http://schemas.microsoft.com/office/drawing/2012/chart" uri="{CE6537A1-D6FC-4f65-9D91-7224C49458BB}"/>
              </c:extLst>
            </c:dLbl>
            <c:dLbl>
              <c:idx val="6"/>
              <c:layout>
                <c:manualLayout>
                  <c:x val="-0.0766638153517719"/>
                  <c:y val="0.062685389449819121"/>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CB52-4F59-A485-683420E570B6}"/>
                </c:ext>
                <c:ext xmlns:c15="http://schemas.microsoft.com/office/drawing/2012/chart" uri="{CE6537A1-D6FC-4f65-9D91-7224C49458BB}"/>
              </c:extLst>
            </c:dLbl>
            <c:dLbl>
              <c:idx val="9"/>
              <c:layout>
                <c:manualLayout>
                  <c:x val="-0.07725162488393697"/>
                  <c:y val="0.055628226429353354"/>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AD30-470F-BEC6-B444CB2BBCDA}"/>
                </c:ex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Sheet1!$B$2:$O$2</c:f>
              <c:numCache>
                <c:formatCode>General</c:formatCode>
                <c:ptCount val="14"/>
                <c:pt idx="0">
                  <c:v>45.5</c:v>
                </c:pt>
                <c:pt idx="1">
                  <c:v>38.3</c:v>
                </c:pt>
                <c:pt idx="2">
                  <c:v>31.5</c:v>
                </c:pt>
                <c:pt idx="3">
                  <c:v>42.5</c:v>
                </c:pt>
                <c:pt idx="4">
                  <c:v>35.1</c:v>
                </c:pt>
                <c:pt idx="5">
                  <c:v>34.6</c:v>
                </c:pt>
                <c:pt idx="6">
                  <c:v>30.4</c:v>
                </c:pt>
                <c:pt idx="7">
                  <c:v>45.3</c:v>
                </c:pt>
                <c:pt idx="8">
                  <c:v>30.5</c:v>
                </c:pt>
                <c:pt idx="9" formatCode="0.0">
                  <c:v>23.8</c:v>
                </c:pt>
              </c:numCache>
            </c:numRef>
          </c:val>
          <c:smooth val="0"/>
          <c:extLst>
            <c:ext xmlns:c="http://schemas.openxmlformats.org/drawingml/2006/chart" xmlns:c16="http://schemas.microsoft.com/office/drawing/2014/chart" uri="{C3380CC4-5D6E-409C-BE32-E72D297353CC}">
              <c16:uniqueId val="{00000005-CB52-4F59-A485-683420E570B6}"/>
            </c:ext>
          </c:extLst>
        </c:ser>
        <c:ser>
          <c:idx val="0"/>
          <c:order val="1"/>
          <c:tx>
            <c:strRef>
              <c:f>Sheet1!$A$3</c:f>
              <c:strCache>
                <c:ptCount val="1"/>
                <c:pt idx="0">
                  <c:v>Mērķis</c:v>
                </c:pt>
              </c:strCache>
            </c:strRef>
          </c:tx>
          <c:spPr>
            <a:ln w="19050">
              <a:solidFill>
                <a:schemeClr val="phClr">
                  <a:shade val="95000"/>
                  <a:satMod val="105000"/>
                </a:schemeClr>
              </a:solidFill>
              <a:prstDash val="sysDash"/>
            </a:ln>
          </c:spPr>
          <c:marker>
            <c:symbol val="none"/>
          </c:marker>
          <c:dLbls>
            <c:dLbl>
              <c:idx val="6"/>
              <c:delete val="1"/>
              <c:extLst>
                <c:ext xmlns:c="http://schemas.openxmlformats.org/drawingml/2006/chart" xmlns:c16="http://schemas.microsoft.com/office/drawing/2014/chart" uri="{C3380CC4-5D6E-409C-BE32-E72D297353CC}">
                  <c16:uniqueId val="{00000006-CB52-4F59-A485-683420E570B6}"/>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Sheet1!$B$3:$O$3</c:f>
              <c:numCache>
                <c:formatCode>General</c:formatCode>
                <c:ptCount val="14"/>
                <c:pt idx="6" formatCode="0">
                  <c:v>39.8</c:v>
                </c:pt>
                <c:pt idx="7" formatCode="0">
                  <c:v>70</c:v>
                </c:pt>
                <c:pt idx="8" formatCode="0">
                  <c:v>96.3</c:v>
                </c:pt>
                <c:pt idx="9" formatCode="0">
                  <c:v>111</c:v>
                </c:pt>
                <c:pt idx="10" formatCode="0">
                  <c:v>128.1</c:v>
                </c:pt>
                <c:pt idx="11" formatCode="0">
                  <c:v>149.4</c:v>
                </c:pt>
                <c:pt idx="12" formatCode="0">
                  <c:v>176.4</c:v>
                </c:pt>
                <c:pt idx="13" formatCode="0">
                  <c:v>195.3</c:v>
                </c:pt>
              </c:numCache>
            </c:numRef>
          </c:val>
          <c:smooth val="0"/>
          <c:extLst>
            <c:ext xmlns:c="http://schemas.openxmlformats.org/drawingml/2006/chart" xmlns:c16="http://schemas.microsoft.com/office/drawing/2014/chart" uri="{C3380CC4-5D6E-409C-BE32-E72D297353CC}">
              <c16:uniqueId val="{00000007-CB52-4F59-A485-683420E570B6}"/>
            </c:ext>
          </c:extLst>
        </c:ser>
        <c:dLbls>
          <c:showLegendKey val="0"/>
          <c:showVal val="0"/>
          <c:showCatName val="0"/>
          <c:showSerName val="0"/>
          <c:showPercent val="0"/>
          <c:showBubbleSize val="0"/>
        </c:dLbls>
        <c:smooth val="0"/>
        <c:axId val="433459016"/>
        <c:axId val="433463720"/>
      </c:lineChart>
      <c:catAx>
        <c:axId val="433459016"/>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433463720"/>
        <c:crosses val="autoZero"/>
        <c:lblAlgn val="ctr"/>
        <c:lblOffset val="0"/>
        <c:tickLblSkip val="1"/>
        <c:noMultiLvlLbl val="1"/>
      </c:catAx>
      <c:valAx>
        <c:axId val="433463720"/>
        <c:scaling>
          <c:orientation val="minMax"/>
        </c:scaling>
        <c:delete val="0"/>
        <c:axPos val="l"/>
        <c:numFmt formatCode="0" sourceLinked="0"/>
        <c:majorTickMark val="out"/>
        <c:minorTickMark val="none"/>
        <c:tickLblPos val="nextTo"/>
        <c:spPr>
          <a:ln w="3175">
            <a:noFill/>
          </a:ln>
        </c:spPr>
        <c:txPr>
          <a:bodyPr rot="0" vert="horz"/>
          <a:lstStyle/>
          <a:p>
            <a:pPr>
              <a:defRPr/>
            </a:pPr>
            <a:endParaRPr lang="lv-LV"/>
          </a:p>
        </c:txPr>
        <c:crossAx val="433459016"/>
        <c:crosses val="autoZero"/>
        <c:crossBetween val="between"/>
      </c:valAx>
      <c:spPr>
        <a:noFill/>
        <a:ln w="24631">
          <a:noFill/>
        </a:ln>
      </c:spPr>
    </c:plotArea>
    <c:legend>
      <c:legendPos val="l"/>
      <c:layout>
        <c:manualLayout>
          <c:xMode val="edge"/>
          <c:yMode val="edge"/>
          <c:x val="0.11368090944727557"/>
          <c:y val="0.065278527432054867"/>
          <c:w val="0.45877423397339934"/>
          <c:h val="0.16983757411410375"/>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Sheet1!$A$2</c:f>
              <c:strCache>
                <c:ptCount val="1"/>
                <c:pt idx="0">
                  <c:v>Fakts</c:v>
                </c:pt>
              </c:strCache>
            </c:strRef>
          </c:tx>
          <c:marker>
            <c:symbol val="none"/>
          </c:marker>
          <c:dLbls>
            <c:dLbl>
              <c:idx val="9"/>
              <c:layout>
                <c:manualLayout>
                  <c:x val="-0.017579696688331786"/>
                  <c:y val="-0.027399574347490262"/>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0AC0-4E79-A5CE-23C71CF8FFD0}"/>
                </c:ext>
                <c:ext xmlns:c15="http://schemas.microsoft.com/office/drawing/2012/chart" uri="{CE6537A1-D6FC-4f65-9D91-7224C49458BB}"/>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Sheet1!$B$2:$O$2</c:f>
              <c:numCache>
                <c:formatCode>General</c:formatCode>
                <c:ptCount val="14"/>
                <c:pt idx="0">
                  <c:v>15.9</c:v>
                </c:pt>
                <c:pt idx="1">
                  <c:v>32.7</c:v>
                </c:pt>
                <c:pt idx="2">
                  <c:v>13.1</c:v>
                </c:pt>
                <c:pt idx="3">
                  <c:v>36.6</c:v>
                </c:pt>
                <c:pt idx="4">
                  <c:v>72.1</c:v>
                </c:pt>
                <c:pt idx="5">
                  <c:v>73.3</c:v>
                </c:pt>
                <c:pt idx="6">
                  <c:v>72</c:v>
                </c:pt>
                <c:pt idx="7">
                  <c:v>72</c:v>
                </c:pt>
                <c:pt idx="8">
                  <c:v>68.5</c:v>
                </c:pt>
                <c:pt idx="9" formatCode="0">
                  <c:v>30.7</c:v>
                </c:pt>
              </c:numCache>
            </c:numRef>
          </c:val>
          <c:smooth val="0"/>
          <c:extLst>
            <c:ext xmlns:c="http://schemas.openxmlformats.org/drawingml/2006/chart" xmlns:c16="http://schemas.microsoft.com/office/drawing/2014/chart" uri="{C3380CC4-5D6E-409C-BE32-E72D297353CC}">
              <c16:uniqueId val="{00000005-8574-41BA-9E1D-B1202B691649}"/>
            </c:ext>
          </c:extLst>
        </c:ser>
        <c:ser>
          <c:idx val="0"/>
          <c:order val="1"/>
          <c:tx>
            <c:strRef>
              <c:f>Sheet1!$A$3</c:f>
              <c:strCache>
                <c:ptCount val="1"/>
                <c:pt idx="0">
                  <c:v>Mērķis</c:v>
                </c:pt>
              </c:strCache>
            </c:strRef>
          </c:tx>
          <c:spPr>
            <a:ln w="19050">
              <a:solidFill>
                <a:schemeClr val="phClr">
                  <a:shade val="95000"/>
                  <a:satMod val="105000"/>
                </a:schemeClr>
              </a:solidFill>
              <a:prstDash val="sysDash"/>
            </a:ln>
          </c:spPr>
          <c:marker>
            <c:symbol val="none"/>
          </c:marker>
          <c:dLbls>
            <c:dLbl>
              <c:idx val="6"/>
              <c:delete val="1"/>
              <c:extLst>
                <c:ext xmlns:c="http://schemas.openxmlformats.org/drawingml/2006/chart" xmlns:c16="http://schemas.microsoft.com/office/drawing/2014/chart" uri="{C3380CC4-5D6E-409C-BE32-E72D297353CC}">
                  <c16:uniqueId val="{00000006-8574-41BA-9E1D-B1202B691649}"/>
                </c:ex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Sheet1!$B$3:$O$3</c:f>
              <c:numCache>
                <c:formatCode>General</c:formatCode>
                <c:ptCount val="14"/>
                <c:pt idx="6" formatCode="0">
                  <c:v>71</c:v>
                </c:pt>
                <c:pt idx="7" formatCode="0">
                  <c:v>64</c:v>
                </c:pt>
                <c:pt idx="8" formatCode="0">
                  <c:v>61.2</c:v>
                </c:pt>
                <c:pt idx="9" formatCode="0">
                  <c:v>56.9</c:v>
                </c:pt>
                <c:pt idx="10" formatCode="0">
                  <c:v>54.1</c:v>
                </c:pt>
                <c:pt idx="11" formatCode="0">
                  <c:v>49.8</c:v>
                </c:pt>
                <c:pt idx="12" formatCode="0">
                  <c:v>47</c:v>
                </c:pt>
                <c:pt idx="13" formatCode="0">
                  <c:v>35.6</c:v>
                </c:pt>
              </c:numCache>
            </c:numRef>
          </c:val>
          <c:smooth val="0"/>
          <c:extLst>
            <c:ext xmlns:c="http://schemas.openxmlformats.org/drawingml/2006/chart" xmlns:c16="http://schemas.microsoft.com/office/drawing/2014/chart" uri="{C3380CC4-5D6E-409C-BE32-E72D297353CC}">
              <c16:uniqueId val="{00000007-8574-41BA-9E1D-B1202B691649}"/>
            </c:ext>
          </c:extLst>
        </c:ser>
        <c:dLbls>
          <c:showLegendKey val="0"/>
          <c:showVal val="0"/>
          <c:showCatName val="0"/>
          <c:showSerName val="0"/>
          <c:showPercent val="0"/>
          <c:showBubbleSize val="0"/>
        </c:dLbls>
        <c:smooth val="0"/>
        <c:axId val="433461368"/>
        <c:axId val="433461760"/>
      </c:lineChart>
      <c:catAx>
        <c:axId val="433461368"/>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433461760"/>
        <c:crosses val="autoZero"/>
        <c:lblAlgn val="ctr"/>
        <c:lblOffset val="0"/>
        <c:tickLblSkip val="1"/>
        <c:noMultiLvlLbl val="1"/>
      </c:catAx>
      <c:valAx>
        <c:axId val="433461760"/>
        <c:scaling>
          <c:orientation val="minMax"/>
        </c:scaling>
        <c:delete val="0"/>
        <c:axPos val="l"/>
        <c:numFmt formatCode="0" sourceLinked="0"/>
        <c:majorTickMark val="out"/>
        <c:minorTickMark val="none"/>
        <c:tickLblPos val="nextTo"/>
        <c:spPr>
          <a:ln w="3175">
            <a:noFill/>
          </a:ln>
        </c:spPr>
        <c:txPr>
          <a:bodyPr rot="0" vert="horz"/>
          <a:lstStyle/>
          <a:p>
            <a:pPr>
              <a:defRPr/>
            </a:pPr>
            <a:endParaRPr lang="lv-LV"/>
          </a:p>
        </c:txPr>
        <c:crossAx val="433461368"/>
        <c:crosses val="autoZero"/>
        <c:crossBetween val="between"/>
      </c:valAx>
      <c:spPr>
        <a:noFill/>
        <a:ln w="24631">
          <a:noFill/>
        </a:ln>
      </c:spPr>
    </c:plotArea>
    <c:legend>
      <c:legendPos val="l"/>
      <c:layout>
        <c:manualLayout>
          <c:xMode val="edge"/>
          <c:yMode val="edge"/>
          <c:x val="0.46651264692192035"/>
          <c:y val="0.55222300635144672"/>
          <c:w val="0.45877423397339934"/>
          <c:h val="0.16983757411410375"/>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00" b="0" i="0" u="none" strike="noStrike" kern="1200" spc="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r>
              <a:rPr lang="lv-LV" sz="1000" b="1"/>
              <a:t>10.attēls. Izdevumi zinātniskajam darbam (P &amp; A) </a:t>
            </a:r>
            <a:r>
              <a:rPr lang="lv-LV" sz="1000"/>
              <a:t>% no IKP </a:t>
            </a:r>
            <a:r>
              <a:rPr lang="lv-LV" sz="1000" b="1"/>
              <a:t>2015.gadā</a:t>
            </a:r>
          </a:p>
        </c:rich>
      </c:tx>
      <c:layout/>
      <c:overlay val="0"/>
      <c:spPr>
        <a:noFill/>
        <a:ln>
          <a:noFill/>
        </a:ln>
        <a:effectLst/>
      </c:spPr>
    </c:title>
    <c:autoTitleDeleted val="0"/>
    <c:plotArea>
      <c:layout>
        <c:manualLayout>
          <c:layoutTarget val="inner"/>
          <c:xMode val="edge"/>
          <c:yMode val="edge"/>
          <c:x val="0.050673633862289853"/>
          <c:y val="0.13369049132484706"/>
          <c:w val="0.939089069415979"/>
          <c:h val="0.62468480369668189"/>
        </c:manualLayout>
      </c:layout>
      <c:barChart>
        <c:barDir val="col"/>
        <c:grouping val="clustered"/>
        <c:varyColors val="0"/>
        <c:ser>
          <c:idx val="0"/>
          <c:order val="0"/>
          <c:spPr>
            <a:solidFill>
              <a:schemeClr val="accent6"/>
            </a:solidFill>
            <a:ln>
              <a:noFill/>
            </a:ln>
            <a:effectLst/>
          </c:spPr>
          <c:invertIfNegative val="0"/>
          <c:dPt>
            <c:idx val="8"/>
            <c:invertIfNegative val="0"/>
            <c:bubble3D val="0"/>
            <c:spPr>
              <a:solidFill>
                <a:srgbClr val="7030A0"/>
              </a:solidFill>
              <a:ln>
                <a:noFill/>
              </a:ln>
              <a:effectLst/>
            </c:spPr>
            <c:extLst>
              <c:ext xmlns:c="http://schemas.openxmlformats.org/drawingml/2006/chart" xmlns:c16="http://schemas.microsoft.com/office/drawing/2014/chart" uri="{C3380CC4-5D6E-409C-BE32-E72D297353CC}">
                <c16:uniqueId val="{00000001-A5EF-4EEF-8630-D92CFAEB0E29}"/>
              </c:ext>
            </c:extLst>
          </c:dPt>
          <c:dPt>
            <c:idx val="26"/>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3-A5EF-4EEF-8630-D92CFAEB0E29}"/>
              </c:ext>
            </c:extLst>
          </c:dPt>
          <c:dLbls>
            <c:dLbl>
              <c:idx val="8"/>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A5EF-4EEF-8630-D92CFAEB0E29}"/>
                </c:ext>
                <c:ext xmlns:c15="http://schemas.microsoft.com/office/drawing/2012/chart" uri="{CE6537A1-D6FC-4f65-9D91-7224C49458BB}"/>
              </c:extLst>
            </c:dLbl>
            <c:dLbl>
              <c:idx val="13"/>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A5EF-4EEF-8630-D92CFAEB0E29}"/>
                </c:ext>
                <c:ext xmlns:c15="http://schemas.microsoft.com/office/drawing/2012/chart" uri="{CE6537A1-D6FC-4f65-9D91-7224C49458BB}"/>
              </c:extLst>
            </c:dLbl>
            <c:dLbl>
              <c:idx val="20"/>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A5EF-4EEF-8630-D92CFAEB0E29}"/>
                </c:ext>
                <c:ext xmlns:c15="http://schemas.microsoft.com/office/drawing/2012/chart" uri="{CE6537A1-D6FC-4f65-9D91-7224C49458BB}"/>
              </c:extLst>
            </c:dLbl>
            <c:dLbl>
              <c:idx val="26"/>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A5EF-4EEF-8630-D92CFAEB0E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'Rādītāju atsegums'!$V$3:$V$31</c:f>
              <c:strCache>
                <c:ptCount val="29"/>
                <c:pt idx="0">
                  <c:v>Zviedrija</c:v>
                </c:pt>
                <c:pt idx="1">
                  <c:v>Austrija</c:v>
                </c:pt>
                <c:pt idx="2">
                  <c:v>Dānija</c:v>
                </c:pt>
                <c:pt idx="3">
                  <c:v>Somija</c:v>
                </c:pt>
                <c:pt idx="4">
                  <c:v>Vācija</c:v>
                </c:pt>
                <c:pt idx="5">
                  <c:v>Beļģija</c:v>
                </c:pt>
                <c:pt idx="6">
                  <c:v>Francija</c:v>
                </c:pt>
                <c:pt idx="7">
                  <c:v>Slovēnija</c:v>
                </c:pt>
                <c:pt idx="8">
                  <c:v>Vidēji ES</c:v>
                </c:pt>
                <c:pt idx="9">
                  <c:v>Nīderlande</c:v>
                </c:pt>
                <c:pt idx="10">
                  <c:v>Čehija</c:v>
                </c:pt>
                <c:pt idx="11">
                  <c:v>Lielbritānija</c:v>
                </c:pt>
                <c:pt idx="12">
                  <c:v>Īrija</c:v>
                </c:pt>
                <c:pt idx="13">
                  <c:v>Igaunija</c:v>
                </c:pt>
                <c:pt idx="14">
                  <c:v>Ungārija</c:v>
                </c:pt>
                <c:pt idx="15">
                  <c:v>Itālija</c:v>
                </c:pt>
                <c:pt idx="16">
                  <c:v>Luksemburga</c:v>
                </c:pt>
                <c:pt idx="17">
                  <c:v>Portugāle</c:v>
                </c:pt>
                <c:pt idx="18">
                  <c:v>Spānija</c:v>
                </c:pt>
                <c:pt idx="19">
                  <c:v>Slovākija</c:v>
                </c:pt>
                <c:pt idx="20">
                  <c:v>Lietuva</c:v>
                </c:pt>
                <c:pt idx="21">
                  <c:v>Polija</c:v>
                </c:pt>
                <c:pt idx="22">
                  <c:v>Grieķija</c:v>
                </c:pt>
                <c:pt idx="23">
                  <c:v>Bulgārija</c:v>
                </c:pt>
                <c:pt idx="24">
                  <c:v>Horvātija</c:v>
                </c:pt>
                <c:pt idx="25">
                  <c:v>Malta</c:v>
                </c:pt>
                <c:pt idx="26">
                  <c:v>Latvija</c:v>
                </c:pt>
                <c:pt idx="27">
                  <c:v>Rumānija</c:v>
                </c:pt>
                <c:pt idx="28">
                  <c:v>Kipra</c:v>
                </c:pt>
              </c:strCache>
            </c:strRef>
          </c:cat>
          <c:val>
            <c:numRef>
              <c:f>'Rādītāju atsegums'!$X$3:$X$31</c:f>
              <c:numCache>
                <c:formatCode>0.00%</c:formatCode>
                <c:ptCount val="29"/>
                <c:pt idx="0">
                  <c:v>0.0326</c:v>
                </c:pt>
                <c:pt idx="1">
                  <c:v>0.030699999999999998</c:v>
                </c:pt>
                <c:pt idx="2">
                  <c:v>0.030299999999999997</c:v>
                </c:pt>
                <c:pt idx="3">
                  <c:v>0.028999999999999998</c:v>
                </c:pt>
                <c:pt idx="4">
                  <c:v>0.0287</c:v>
                </c:pt>
                <c:pt idx="5">
                  <c:v>0.0245</c:v>
                </c:pt>
                <c:pt idx="6">
                  <c:v>0.0223</c:v>
                </c:pt>
                <c:pt idx="7">
                  <c:v>0.022099999999999998</c:v>
                </c:pt>
                <c:pt idx="8">
                  <c:v>0.0203</c:v>
                </c:pt>
                <c:pt idx="9">
                  <c:v>0.020099999999999996</c:v>
                </c:pt>
                <c:pt idx="10">
                  <c:v>0.0195</c:v>
                </c:pt>
                <c:pt idx="11">
                  <c:v>0.017</c:v>
                </c:pt>
                <c:pt idx="12">
                  <c:v>0.0151</c:v>
                </c:pt>
                <c:pt idx="13">
                  <c:v>0.015</c:v>
                </c:pt>
                <c:pt idx="14">
                  <c:v>0.0138</c:v>
                </c:pt>
                <c:pt idx="15">
                  <c:v>0.013300000000000001</c:v>
                </c:pt>
                <c:pt idx="16">
                  <c:v>0.0131</c:v>
                </c:pt>
                <c:pt idx="17">
                  <c:v>0.0128</c:v>
                </c:pt>
                <c:pt idx="18">
                  <c:v>0.012199999999999999</c:v>
                </c:pt>
                <c:pt idx="19">
                  <c:v>0.0118</c:v>
                </c:pt>
                <c:pt idx="20">
                  <c:v>0.0104</c:v>
                </c:pt>
                <c:pt idx="21">
                  <c:v>0.01</c:v>
                </c:pt>
                <c:pt idx="22">
                  <c:v>0.0096</c:v>
                </c:pt>
                <c:pt idx="23">
                  <c:v>0.0096</c:v>
                </c:pt>
                <c:pt idx="24">
                  <c:v>0.0085</c:v>
                </c:pt>
                <c:pt idx="25">
                  <c:v>0.0077</c:v>
                </c:pt>
                <c:pt idx="26">
                  <c:v>0.0063</c:v>
                </c:pt>
                <c:pt idx="27">
                  <c:v>0.0049</c:v>
                </c:pt>
                <c:pt idx="28">
                  <c:v>0.0046</c:v>
                </c:pt>
              </c:numCache>
            </c:numRef>
          </c:val>
          <c:extLst>
            <c:ext xmlns:c="http://schemas.openxmlformats.org/drawingml/2006/chart" xmlns:c16="http://schemas.microsoft.com/office/drawing/2014/chart" uri="{C3380CC4-5D6E-409C-BE32-E72D297353CC}">
              <c16:uniqueId val="{00000006-A5EF-4EEF-8630-D92CFAEB0E29}"/>
            </c:ext>
          </c:extLst>
        </c:ser>
        <c:dLbls>
          <c:showLegendKey val="0"/>
          <c:showVal val="0"/>
          <c:showCatName val="0"/>
          <c:showSerName val="0"/>
          <c:showPercent val="0"/>
          <c:showBubbleSize val="0"/>
        </c:dLbls>
        <c:gapWidth val="24"/>
        <c:overlap val="-27"/>
        <c:axId val="433462936"/>
        <c:axId val="433466464"/>
      </c:barChart>
      <c:catAx>
        <c:axId val="4334629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endParaRPr lang="lv-LV"/>
          </a:p>
        </c:txPr>
        <c:crossAx val="433466464"/>
        <c:crosses val="autoZero"/>
        <c:auto val="1"/>
        <c:lblAlgn val="ctr"/>
        <c:lblOffset val="100"/>
        <c:noMultiLvlLbl val="0"/>
      </c:catAx>
      <c:valAx>
        <c:axId val="433466464"/>
        <c:scaling>
          <c:orientation val="minMax"/>
        </c:scaling>
        <c:delete val="0"/>
        <c:axPos val="l"/>
        <c:numFmt formatCode="0.0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endParaRPr lang="lv-LV"/>
          </a:p>
        </c:txPr>
        <c:crossAx val="43346293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600" b="0" i="0" u="none" strike="noStrike" kern="1200" cap="none" spc="50" normalizeH="0" baseline="0">
                <a:solidFill>
                  <a:sysClr val="windowText" lastClr="000000"/>
                </a:solidFill>
                <a:latin typeface="Candara" panose="020E0502030303020204" pitchFamily="34" charset="0"/>
                <a:ea typeface="+mj-ea"/>
                <a:cs typeface="+mj-cs"/>
              </a:defRPr>
            </a:pPr>
            <a:r>
              <a:rPr lang="lv-LV" sz="1000" b="1">
                <a:latin typeface="Candara" panose="020E0502030303020204" pitchFamily="34" charset="0"/>
              </a:rPr>
              <a:t>11.attēls. Inovatīvo uzņēmumu īpatsvars </a:t>
            </a:r>
            <a:r>
              <a:rPr lang="lv-LV" sz="1000" b="0">
                <a:latin typeface="Candara" panose="020E0502030303020204" pitchFamily="34" charset="0"/>
              </a:rPr>
              <a:t>(%)</a:t>
            </a:r>
            <a:r>
              <a:rPr lang="lv-LV" sz="1000" b="1">
                <a:latin typeface="Candara" panose="020E0502030303020204" pitchFamily="34" charset="0"/>
              </a:rPr>
              <a:t> un mērķis līdz 2020.gadam</a:t>
            </a:r>
          </a:p>
        </c:rich>
      </c:tx>
      <c:layout>
        <c:manualLayout>
          <c:xMode val="edge"/>
          <c:yMode val="edge"/>
          <c:x val="0.12506282075565298"/>
          <c:y val="0.041681139284473777"/>
        </c:manualLayout>
      </c:layout>
      <c:overlay val="0"/>
      <c:spPr>
        <a:noFill/>
        <a:ln>
          <a:noFill/>
        </a:ln>
        <a:effectLst/>
      </c:spPr>
    </c:title>
    <c:autoTitleDeleted val="0"/>
    <c:plotArea>
      <c:layout>
        <c:manualLayout>
          <c:layoutTarget val="inner"/>
          <c:xMode val="edge"/>
          <c:yMode val="edge"/>
          <c:x val="0.055829349833686238"/>
          <c:y val="0.22721854974797132"/>
          <c:w val="0.8988479338633395"/>
          <c:h val="0.60031342903950136"/>
        </c:manualLayout>
      </c:layout>
      <c:barChart>
        <c:barDir val="col"/>
        <c:grouping val="clustered"/>
        <c:varyColors val="0"/>
        <c:ser>
          <c:idx val="0"/>
          <c:order val="0"/>
          <c:tx>
            <c:strRef>
              <c:f>Sheet1!$A$4:$B$4</c:f>
              <c:strCache>
                <c:ptCount val="2"/>
                <c:pt idx="0">
                  <c:v>Izdevumi aizsardzībai</c:v>
                </c:pt>
              </c:strCache>
            </c:strRef>
          </c:tx>
          <c:spPr>
            <a:solidFill>
              <a:schemeClr val="accent6">
                <a:alpha val="70000"/>
              </a:schemeClr>
            </a:solidFill>
            <a:ln>
              <a:noFill/>
            </a:ln>
            <a:effectLst/>
          </c:spPr>
          <c:invertIfNegative val="0"/>
          <c:dPt>
            <c:idx val="0"/>
            <c:invertIfNegative val="0"/>
            <c:bubble3D val="0"/>
            <c:extLst>
              <c:ext xmlns:c="http://schemas.openxmlformats.org/drawingml/2006/chart" xmlns:c16="http://schemas.microsoft.com/office/drawing/2014/chart" uri="{C3380CC4-5D6E-409C-BE32-E72D297353CC}">
                <c16:uniqueId val="{00000001-DF1E-499A-8285-6C63A7426F2C}"/>
              </c:ext>
            </c:extLst>
          </c:dPt>
          <c:dPt>
            <c:idx val="1"/>
            <c:invertIfNegative val="0"/>
            <c:bubble3D val="0"/>
            <c:extLst>
              <c:ext xmlns:c="http://schemas.openxmlformats.org/drawingml/2006/chart" xmlns:c16="http://schemas.microsoft.com/office/drawing/2014/chart" uri="{C3380CC4-5D6E-409C-BE32-E72D297353CC}">
                <c16:uniqueId val="{00000003-DF1E-499A-8285-6C63A7426F2C}"/>
              </c:ext>
            </c:extLst>
          </c:dPt>
          <c:dPt>
            <c:idx val="2"/>
            <c:invertIfNegative val="0"/>
            <c:bubble3D val="0"/>
            <c:extLst>
              <c:ext xmlns:c="http://schemas.openxmlformats.org/drawingml/2006/chart" xmlns:c16="http://schemas.microsoft.com/office/drawing/2014/chart" uri="{C3380CC4-5D6E-409C-BE32-E72D297353CC}">
                <c16:uniqueId val="{00000005-DF1E-499A-8285-6C63A7426F2C}"/>
              </c:ext>
            </c:extLst>
          </c:dPt>
          <c:dPt>
            <c:idx val="3"/>
            <c:invertIfNegative val="0"/>
            <c:bubble3D val="0"/>
            <c:extLst>
              <c:ext xmlns:c="http://schemas.openxmlformats.org/drawingml/2006/chart" xmlns:c16="http://schemas.microsoft.com/office/drawing/2014/chart" uri="{C3380CC4-5D6E-409C-BE32-E72D297353CC}">
                <c16:uniqueId val="{00000007-DF1E-499A-8285-6C63A7426F2C}"/>
              </c:ext>
            </c:extLst>
          </c:dPt>
          <c:dPt>
            <c:idx val="5"/>
            <c:invertIfNegative val="0"/>
            <c:bubble3D val="0"/>
            <c:extLst>
              <c:ext xmlns:c="http://schemas.openxmlformats.org/drawingml/2006/chart" xmlns:c16="http://schemas.microsoft.com/office/drawing/2014/chart" uri="{C3380CC4-5D6E-409C-BE32-E72D297353CC}">
                <c16:uniqueId val="{00000004-7877-42F8-8822-E4522699D7E7}"/>
              </c:ext>
            </c:extLst>
          </c:dPt>
          <c:dPt>
            <c:idx val="8"/>
            <c:invertIfNegative val="0"/>
            <c:bubble3D val="0"/>
            <c:extLst>
              <c:ext xmlns:c="http://schemas.openxmlformats.org/drawingml/2006/chart" xmlns:c16="http://schemas.microsoft.com/office/drawing/2014/chart" uri="{C3380CC4-5D6E-409C-BE32-E72D297353CC}">
                <c16:uniqueId val="{0000000B-DF1E-499A-8285-6C63A7426F2C}"/>
              </c:ext>
            </c:extLst>
          </c:dPt>
          <c:dPt>
            <c:idx val="9"/>
            <c:invertIfNegative val="0"/>
            <c:bubble3D val="0"/>
            <c:extLst>
              <c:ext xmlns:c="http://schemas.openxmlformats.org/drawingml/2006/chart" xmlns:c16="http://schemas.microsoft.com/office/drawing/2014/chart" uri="{C3380CC4-5D6E-409C-BE32-E72D297353CC}">
                <c16:uniqueId val="{0000000C-DF1E-499A-8285-6C63A7426F2C}"/>
              </c:ext>
            </c:extLst>
          </c:dPt>
          <c:dPt>
            <c:idx val="10"/>
            <c:invertIfNegative val="0"/>
            <c:bubble3D val="0"/>
            <c:extLst>
              <c:ext xmlns:c="http://schemas.openxmlformats.org/drawingml/2006/chart" xmlns:c16="http://schemas.microsoft.com/office/drawing/2014/chart" uri="{C3380CC4-5D6E-409C-BE32-E72D297353CC}">
                <c16:uniqueId val="{0000000D-DF1E-499A-8285-6C63A7426F2C}"/>
              </c:ext>
            </c:extLst>
          </c:dPt>
          <c:dPt>
            <c:idx val="12"/>
            <c:invertIfNegative val="0"/>
            <c:bubble3D val="0"/>
            <c:extLst>
              <c:ext xmlns:c="http://schemas.openxmlformats.org/drawingml/2006/chart" xmlns:c16="http://schemas.microsoft.com/office/drawing/2014/chart" uri="{C3380CC4-5D6E-409C-BE32-E72D297353CC}">
                <c16:uniqueId val="{0000000F-DF1E-499A-8285-6C63A7426F2C}"/>
              </c:ext>
            </c:extLst>
          </c:dPt>
          <c:dPt>
            <c:idx val="16"/>
            <c:invertIfNegative val="0"/>
            <c:bubble3D val="0"/>
            <c:extLst>
              <c:ext xmlns:c="http://schemas.openxmlformats.org/drawingml/2006/chart" xmlns:c16="http://schemas.microsoft.com/office/drawing/2014/chart" uri="{C3380CC4-5D6E-409C-BE32-E72D297353CC}">
                <c16:uniqueId val="{00000011-DF1E-499A-8285-6C63A7426F2C}"/>
              </c:ext>
            </c:extLst>
          </c:dPt>
          <c:dLbls>
            <c:dLbl>
              <c:idx val="0"/>
              <c:layout>
                <c:manualLayout>
                  <c:x val="0"/>
                  <c:y val="0.010716209970106574"/>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DF1E-499A-8285-6C63A7426F2C}"/>
                </c:ext>
                <c:ext xmlns:c15="http://schemas.microsoft.com/office/drawing/2012/chart" uri="{CE6537A1-D6FC-4f65-9D91-7224C49458BB}"/>
              </c:extLst>
            </c:dLbl>
            <c:dLbl>
              <c:idx val="1"/>
              <c:layout>
                <c:manualLayout>
                  <c:x val="0"/>
                  <c:y val="0.013789783744902612"/>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DF1E-499A-8285-6C63A7426F2C}"/>
                </c:ext>
                <c:ext xmlns:c15="http://schemas.microsoft.com/office/drawing/2012/chart" uri="{CE6537A1-D6FC-4f65-9D91-7224C49458BB}"/>
              </c:extLst>
            </c:dLbl>
            <c:dLbl>
              <c:idx val="2"/>
              <c:layout>
                <c:manualLayout>
                  <c:x val="-0.0045819014891180258"/>
                  <c:y val="0.0068429271974903795"/>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DF1E-499A-8285-6C63A7426F2C}"/>
                </c:ext>
                <c:ext xmlns:c15="http://schemas.microsoft.com/office/drawing/2012/chart" uri="{CE6537A1-D6FC-4f65-9D91-7224C49458BB}"/>
              </c:extLst>
            </c:dLbl>
            <c:dLbl>
              <c:idx val="3"/>
              <c:layout>
                <c:manualLayout>
                  <c:x val="0"/>
                  <c:y val="-0.00010392934992197992"/>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7-DF1E-499A-8285-6C63A7426F2C}"/>
                </c:ext>
                <c:ext xmlns:c15="http://schemas.microsoft.com/office/drawing/2012/chart" uri="{CE6537A1-D6FC-4f65-9D91-7224C49458BB}"/>
              </c:extLst>
            </c:dLbl>
            <c:dLbl>
              <c:idx val="4"/>
              <c:layout>
                <c:manualLayout>
                  <c:x val="0.0045819014891179842"/>
                  <c:y val="0.020736640292314909"/>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13-DF1E-499A-8285-6C63A7426F2C}"/>
                </c:ext>
                <c:ext xmlns:c15="http://schemas.microsoft.com/office/drawing/2012/chart" uri="{CE6537A1-D6FC-4f65-9D91-7224C49458BB}"/>
              </c:extLst>
            </c:dLbl>
            <c:dLbl>
              <c:idx val="5"/>
              <c:layout>
                <c:manualLayout>
                  <c:x val="0"/>
                  <c:y val="0.027683496839727283"/>
                </c:manualLayout>
              </c:layout>
              <c:dLblPos val="outEnd"/>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7877-42F8-8822-E4522699D7E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5875" cap="rnd">
                <a:solidFill>
                  <a:schemeClr val="accent6"/>
                </a:solidFill>
              </a:ln>
              <a:effectLst/>
            </c:spPr>
            <c:trendlineType val="linear"/>
            <c:dispRSqr val="0"/>
            <c:dispEq val="0"/>
          </c:trendline>
          <c:cat>
            <c:numRef>
              <c:f>Sheet1!$C$3:$H$3</c:f>
              <c:numCache>
                <c:formatCode>General</c:formatCode>
                <c:ptCount val="6"/>
                <c:pt idx="0">
                  <c:v>2006</c:v>
                </c:pt>
                <c:pt idx="1">
                  <c:v>2008</c:v>
                </c:pt>
                <c:pt idx="2">
                  <c:v>2010</c:v>
                </c:pt>
                <c:pt idx="3">
                  <c:v>2012</c:v>
                </c:pt>
                <c:pt idx="4">
                  <c:v>2014</c:v>
                </c:pt>
                <c:pt idx="5">
                  <c:v>2020</c:v>
                </c:pt>
              </c:numCache>
            </c:numRef>
          </c:cat>
          <c:val>
            <c:numRef>
              <c:f>Sheet1!$C$4:$H$4</c:f>
              <c:numCache>
                <c:formatCode>#,##0.0</c:formatCode>
                <c:ptCount val="6"/>
                <c:pt idx="0">
                  <c:v>24.5</c:v>
                </c:pt>
                <c:pt idx="1">
                  <c:v>25.4</c:v>
                </c:pt>
                <c:pt idx="2">
                  <c:v>29.5</c:v>
                </c:pt>
                <c:pt idx="3">
                  <c:v>30.4</c:v>
                </c:pt>
                <c:pt idx="4">
                  <c:v>25.5</c:v>
                </c:pt>
                <c:pt idx="5">
                  <c:v>40</c:v>
                </c:pt>
              </c:numCache>
            </c:numRef>
          </c:val>
          <c:extLst>
            <c:ext xmlns:c="http://schemas.openxmlformats.org/drawingml/2006/chart" xmlns:c16="http://schemas.microsoft.com/office/drawing/2014/chart" uri="{C3380CC4-5D6E-409C-BE32-E72D297353CC}">
              <c16:uniqueId val="{00000012-DF1E-499A-8285-6C63A7426F2C}"/>
            </c:ext>
          </c:extLst>
        </c:ser>
        <c:dLbls>
          <c:dLblPos val="inEnd"/>
          <c:showLegendKey val="0"/>
          <c:showVal val="1"/>
          <c:showCatName val="0"/>
          <c:showSerName val="0"/>
          <c:showPercent val="0"/>
          <c:showBubbleSize val="0"/>
        </c:dLbls>
        <c:gapWidth val="80"/>
        <c:overlap val="25"/>
        <c:axId val="433460584"/>
        <c:axId val="433465680"/>
      </c:barChart>
      <c:catAx>
        <c:axId val="433460584"/>
        <c:scaling>
          <c:orientation val="minMax"/>
        </c:scaling>
        <c:delete val="0"/>
        <c:axPos val="b"/>
        <c:numFmt formatCode="General" sourceLinked="1"/>
        <c:majorTickMark val="none"/>
        <c:minorTickMark val="none"/>
        <c:tickLblPos val="nextTo"/>
        <c:spPr>
          <a:noFill/>
          <a:ln w="15875">
            <a:solidFill>
              <a:schemeClr val="tx1">
                <a:lumMod val="25000"/>
                <a:lumOff val="75000"/>
              </a:schemeClr>
            </a:solidFill>
            <a:round/>
          </a:ln>
          <a:effectLst/>
        </c:spPr>
        <c:txPr>
          <a:bodyPr rot="-5400000" spcFirstLastPara="1" vertOverflow="ellipsis" wrap="square" anchor="ctr" anchorCtr="1"/>
          <a:lstStyle/>
          <a:p>
            <a:pPr>
              <a:defRPr sz="900" b="0" i="0" u="none" strike="noStrike" kern="1200" cap="none" spc="20" normalizeH="0" baseline="0">
                <a:solidFill>
                  <a:sysClr val="windowText" lastClr="000000"/>
                </a:solidFill>
                <a:latin typeface="Arial Narrow" panose="020B0606020202030204" pitchFamily="34" charset="0"/>
                <a:ea typeface="+mn-ea"/>
                <a:cs typeface="+mn-cs"/>
              </a:defRPr>
            </a:pPr>
            <a:endParaRPr lang="lv-LV"/>
          </a:p>
        </c:txPr>
        <c:crossAx val="433465680"/>
        <c:crosses val="autoZero"/>
        <c:auto val="1"/>
        <c:lblAlgn val="ctr"/>
        <c:lblOffset val="100"/>
        <c:noMultiLvlLbl val="0"/>
      </c:catAx>
      <c:valAx>
        <c:axId val="433465680"/>
        <c:scaling>
          <c:orientation val="minMax"/>
          <c:min val="20"/>
        </c:scaling>
        <c:delete val="0"/>
        <c:axPos val="l"/>
        <c:numFmt formatCode="0" sourceLinked="0"/>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Narrow" panose="020B0606020202030204" pitchFamily="34" charset="0"/>
                <a:ea typeface="+mn-ea"/>
                <a:cs typeface="+mn-cs"/>
              </a:defRPr>
            </a:pPr>
            <a:endParaRPr lang="lv-LV"/>
          </a:p>
        </c:txPr>
        <c:crossAx val="433460584"/>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solidFill>
            <a:sysClr val="windowText" lastClr="000000"/>
          </a:solidFill>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733458177278445"/>
          <c:y val="0.016657106229361503"/>
          <c:w val="0.67110133003037675"/>
          <c:h val="0.65073052419423716"/>
        </c:manualLayout>
      </c:layout>
      <c:barChart>
        <c:barDir val="bar"/>
        <c:grouping val="percentStacked"/>
        <c:varyColors val="0"/>
        <c:ser>
          <c:idx val="0"/>
          <c:order val="0"/>
          <c:tx>
            <c:strRef>
              <c:f>Sheet1!$B$1</c:f>
              <c:strCache>
                <c:ptCount val="1"/>
                <c:pt idx="0">
                  <c:v>Zemo tehnoloģiju nozares</c:v>
                </c:pt>
              </c:strCache>
            </c:strRef>
          </c:tx>
          <c:spPr>
            <a:solidFill>
              <a:srgbClr val="4BACC6">
                <a:lumMod val="75000"/>
              </a:srgbClr>
            </a:solidFill>
            <a:ln w="3175">
              <a:solidFill>
                <a:sysClr val="windowText" lastClr="000000"/>
              </a:solidFill>
            </a:ln>
          </c:spPr>
          <c:invertIfNegative val="0"/>
          <c:dLbls>
            <c:spPr>
              <a:noFill/>
              <a:ln w="25350">
                <a:noFill/>
              </a:ln>
            </c:spPr>
            <c:txPr>
              <a:bodyPr wrap="square" lIns="38100" tIns="19050" rIns="38100" bIns="19050" anchor="ctr">
                <a:spAutoFit/>
              </a:bodyPr>
              <a:lstStyle/>
              <a:p>
                <a:pPr>
                  <a:defRPr sz="500">
                    <a:solidFill>
                      <a:schemeClr val="bg1"/>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3"/>
                <c:pt idx="0">
                  <c:v>Latvija</c:v>
                </c:pt>
                <c:pt idx="1">
                  <c:v>Vācija</c:v>
                </c:pt>
                <c:pt idx="2">
                  <c:v>Zviedrija, Somija, Dānija</c:v>
                </c:pt>
              </c:strCache>
            </c:strRef>
          </c:cat>
          <c:val>
            <c:numRef>
              <c:f>Sheet1!$B$2:$B$6</c:f>
              <c:numCache>
                <c:formatCode>0%</c:formatCode>
                <c:ptCount val="3"/>
                <c:pt idx="0">
                  <c:v>0.57110033188664777</c:v>
                </c:pt>
                <c:pt idx="1">
                  <c:v>0.16</c:v>
                </c:pt>
                <c:pt idx="2">
                  <c:v>0.26</c:v>
                </c:pt>
              </c:numCache>
            </c:numRef>
          </c:val>
          <c:extLst>
            <c:ext xmlns:c="http://schemas.openxmlformats.org/drawingml/2006/chart" xmlns:c16="http://schemas.microsoft.com/office/drawing/2014/chart" uri="{C3380CC4-5D6E-409C-BE32-E72D297353CC}">
              <c16:uniqueId val="{00000000-FC14-47C5-874C-D2BC60F1412E}"/>
            </c:ext>
          </c:extLst>
        </c:ser>
        <c:ser>
          <c:idx val="1"/>
          <c:order val="1"/>
          <c:tx>
            <c:strRef>
              <c:f>Sheet1!$C$1</c:f>
              <c:strCache>
                <c:ptCount val="1"/>
                <c:pt idx="0">
                  <c:v>Vidēji zemo tehnoloģiju nozares</c:v>
                </c:pt>
              </c:strCache>
            </c:strRef>
          </c:tx>
          <c:spPr>
            <a:solidFill>
              <a:srgbClr val="4F81BD">
                <a:lumMod val="75000"/>
              </a:srgbClr>
            </a:solidFill>
            <a:ln w="3175">
              <a:solidFill>
                <a:sysClr val="windowText" lastClr="000000"/>
              </a:solidFill>
            </a:ln>
          </c:spPr>
          <c:invertIfNegative val="0"/>
          <c:dLbls>
            <c:spPr>
              <a:noFill/>
              <a:ln w="25350">
                <a:noFill/>
              </a:ln>
            </c:spPr>
            <c:txPr>
              <a:bodyPr wrap="square" lIns="38100" tIns="19050" rIns="38100" bIns="19050" anchor="ctr">
                <a:spAutoFit/>
              </a:bodyPr>
              <a:lstStyle/>
              <a:p>
                <a:pPr>
                  <a:defRPr sz="500">
                    <a:solidFill>
                      <a:schemeClr val="bg1"/>
                    </a:solidFil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3"/>
                <c:pt idx="0">
                  <c:v>Latvija</c:v>
                </c:pt>
                <c:pt idx="1">
                  <c:v>Vācija</c:v>
                </c:pt>
                <c:pt idx="2">
                  <c:v>Zviedrija, Somija, Dānija</c:v>
                </c:pt>
              </c:strCache>
            </c:strRef>
          </c:cat>
          <c:val>
            <c:numRef>
              <c:f>Sheet1!$C$2:$C$6</c:f>
              <c:numCache>
                <c:formatCode>0%</c:formatCode>
                <c:ptCount val="3"/>
                <c:pt idx="0">
                  <c:v>0.23487362777635939</c:v>
                </c:pt>
                <c:pt idx="1">
                  <c:v>0.25</c:v>
                </c:pt>
                <c:pt idx="2">
                  <c:v>0.26</c:v>
                </c:pt>
              </c:numCache>
            </c:numRef>
          </c:val>
          <c:extLst>
            <c:ext xmlns:c="http://schemas.openxmlformats.org/drawingml/2006/chart" xmlns:c16="http://schemas.microsoft.com/office/drawing/2014/chart" uri="{C3380CC4-5D6E-409C-BE32-E72D297353CC}">
              <c16:uniqueId val="{00000001-FC14-47C5-874C-D2BC60F1412E}"/>
            </c:ext>
          </c:extLst>
        </c:ser>
        <c:ser>
          <c:idx val="2"/>
          <c:order val="2"/>
          <c:tx>
            <c:strRef>
              <c:f>Sheet1!$D$1</c:f>
              <c:strCache>
                <c:ptCount val="1"/>
                <c:pt idx="0">
                  <c:v>Vidēji augsto tehnoloģiju nozares</c:v>
                </c:pt>
              </c:strCache>
            </c:strRef>
          </c:tx>
          <c:spPr>
            <a:solidFill>
              <a:srgbClr val="F79646">
                <a:lumMod val="60000"/>
                <a:lumOff val="40000"/>
              </a:srgbClr>
            </a:solidFill>
            <a:ln w="3175">
              <a:solidFill>
                <a:sysClr val="windowText" lastClr="000000"/>
              </a:solidFill>
            </a:ln>
          </c:spPr>
          <c:invertIfNegative val="0"/>
          <c:dLbls>
            <c:spPr>
              <a:noFill/>
              <a:ln w="25350">
                <a:noFill/>
              </a:ln>
            </c:spPr>
            <c:txPr>
              <a:bodyPr wrap="square" lIns="38100" tIns="19050" rIns="38100" bIns="19050" anchor="ctr">
                <a:spAutoFit/>
              </a:bodyPr>
              <a:lstStyle/>
              <a:p>
                <a:pPr>
                  <a:defRPr sz="5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3"/>
                <c:pt idx="0">
                  <c:v>Latvija</c:v>
                </c:pt>
                <c:pt idx="1">
                  <c:v>Vācija</c:v>
                </c:pt>
                <c:pt idx="2">
                  <c:v>Zviedrija, Somija, Dānija</c:v>
                </c:pt>
              </c:strCache>
            </c:strRef>
          </c:cat>
          <c:val>
            <c:numRef>
              <c:f>Sheet1!$D$2:$D$6</c:f>
              <c:numCache>
                <c:formatCode>0%</c:formatCode>
                <c:ptCount val="3"/>
                <c:pt idx="0">
                  <c:v>0.12274700025529746</c:v>
                </c:pt>
                <c:pt idx="1">
                  <c:v>0.5</c:v>
                </c:pt>
                <c:pt idx="2">
                  <c:v>0.35000000000000009</c:v>
                </c:pt>
              </c:numCache>
            </c:numRef>
          </c:val>
          <c:extLst>
            <c:ext xmlns:c="http://schemas.openxmlformats.org/drawingml/2006/chart" xmlns:c16="http://schemas.microsoft.com/office/drawing/2014/chart" uri="{C3380CC4-5D6E-409C-BE32-E72D297353CC}">
              <c16:uniqueId val="{00000002-FC14-47C5-874C-D2BC60F1412E}"/>
            </c:ext>
          </c:extLst>
        </c:ser>
        <c:ser>
          <c:idx val="3"/>
          <c:order val="3"/>
          <c:tx>
            <c:strRef>
              <c:f>Sheet1!$E$1</c:f>
              <c:strCache>
                <c:ptCount val="1"/>
                <c:pt idx="0">
                  <c:v>Augsto tehnoloģiju nozares</c:v>
                </c:pt>
              </c:strCache>
            </c:strRef>
          </c:tx>
          <c:spPr>
            <a:solidFill>
              <a:srgbClr val="F79646">
                <a:lumMod val="75000"/>
              </a:srgbClr>
            </a:solidFill>
            <a:ln w="3175">
              <a:solidFill>
                <a:sysClr val="windowText" lastClr="000000"/>
              </a:solidFill>
            </a:ln>
          </c:spPr>
          <c:invertIfNegative val="0"/>
          <c:dLbls>
            <c:spPr>
              <a:noFill/>
              <a:ln w="25350">
                <a:noFill/>
              </a:ln>
            </c:spPr>
            <c:txPr>
              <a:bodyPr wrap="square" lIns="38100" tIns="19050" rIns="38100" bIns="19050" anchor="ctr">
                <a:spAutoFit/>
              </a:bodyPr>
              <a:lstStyle/>
              <a:p>
                <a:pPr>
                  <a:defRPr sz="5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3"/>
                <c:pt idx="0">
                  <c:v>Latvija</c:v>
                </c:pt>
                <c:pt idx="1">
                  <c:v>Vācija</c:v>
                </c:pt>
                <c:pt idx="2">
                  <c:v>Zviedrija, Somija, Dānija</c:v>
                </c:pt>
              </c:strCache>
            </c:strRef>
          </c:cat>
          <c:val>
            <c:numRef>
              <c:f>Sheet1!$E$2:$E$6</c:f>
              <c:numCache>
                <c:formatCode>0%</c:formatCode>
                <c:ptCount val="3"/>
                <c:pt idx="0">
                  <c:v>0.071279040081695139</c:v>
                </c:pt>
                <c:pt idx="1">
                  <c:v>0.1</c:v>
                </c:pt>
                <c:pt idx="2">
                  <c:v>0.14</c:v>
                </c:pt>
              </c:numCache>
            </c:numRef>
          </c:val>
          <c:extLst>
            <c:ext xmlns:c="http://schemas.openxmlformats.org/drawingml/2006/chart" xmlns:c16="http://schemas.microsoft.com/office/drawing/2014/chart" uri="{C3380CC4-5D6E-409C-BE32-E72D297353CC}">
              <c16:uniqueId val="{00000003-FC14-47C5-874C-D2BC60F1412E}"/>
            </c:ext>
          </c:extLst>
        </c:ser>
        <c:dLbls>
          <c:showLegendKey val="0"/>
          <c:showVal val="0"/>
          <c:showCatName val="0"/>
          <c:showSerName val="0"/>
          <c:showPercent val="0"/>
          <c:showBubbleSize val="0"/>
        </c:dLbls>
        <c:gapWidth val="20"/>
        <c:overlap val="100"/>
        <c:axId val="304295360"/>
        <c:axId val="430250200"/>
      </c:barChart>
      <c:catAx>
        <c:axId val="304295360"/>
        <c:scaling>
          <c:orientation val="minMax"/>
        </c:scaling>
        <c:delete val="0"/>
        <c:axPos val="l"/>
        <c:numFmt formatCode="General" sourceLinked="0"/>
        <c:majorTickMark val="out"/>
        <c:minorTickMark val="none"/>
        <c:tickLblPos val="nextTo"/>
        <c:txPr>
          <a:bodyPr/>
          <a:lstStyle/>
          <a:p>
            <a:pPr>
              <a:defRPr sz="600"/>
            </a:pPr>
            <a:endParaRPr lang="lv-LV"/>
          </a:p>
        </c:txPr>
        <c:crossAx val="430250200"/>
        <c:crosses val="autoZero"/>
        <c:auto val="1"/>
        <c:lblAlgn val="ctr"/>
        <c:lblOffset val="100"/>
        <c:noMultiLvlLbl val="0"/>
      </c:catAx>
      <c:valAx>
        <c:axId val="430250200"/>
        <c:scaling>
          <c:orientation val="minMax"/>
        </c:scaling>
        <c:delete val="0"/>
        <c:axPos val="b"/>
        <c:numFmt formatCode="0%" sourceLinked="1"/>
        <c:majorTickMark val="out"/>
        <c:minorTickMark val="none"/>
        <c:tickLblPos val="nextTo"/>
        <c:txPr>
          <a:bodyPr/>
          <a:lstStyle/>
          <a:p>
            <a:pPr>
              <a:defRPr sz="500"/>
            </a:pPr>
            <a:endParaRPr lang="lv-LV"/>
          </a:p>
        </c:txPr>
        <c:crossAx val="304295360"/>
        <c:crosses val="autoZero"/>
        <c:crossBetween val="between"/>
      </c:valAx>
      <c:spPr>
        <a:noFill/>
        <a:ln w="25350">
          <a:noFill/>
        </a:ln>
      </c:spPr>
    </c:plotArea>
    <c:legend>
      <c:legendPos val="b"/>
      <c:layout>
        <c:manualLayout>
          <c:xMode val="edge"/>
          <c:yMode val="edge"/>
          <c:x val="0.012601458707318597"/>
          <c:y val="0.76767725075580306"/>
          <c:w val="0.98652334515644691"/>
          <c:h val="0.21652962577074825"/>
        </c:manualLayout>
      </c:layout>
      <c:overlay val="0"/>
      <c:txPr>
        <a:bodyPr/>
        <a:lstStyle/>
        <a:p>
          <a:pPr>
            <a:defRPr sz="500"/>
          </a:pPr>
          <a:endParaRPr lang="lv-LV"/>
        </a:p>
      </c:txPr>
    </c:legend>
    <c:plotVisOnly val="1"/>
    <c:dispBlanksAs val="gap"/>
    <c:showDLblsOverMax val="0"/>
  </c:chart>
  <c:spPr>
    <a:noFill/>
    <a:ln w="6350">
      <a:noFill/>
    </a:ln>
  </c:spPr>
  <c:txPr>
    <a:bodyPr/>
    <a:lstStyle/>
    <a:p>
      <a:pPr>
        <a:defRPr sz="700">
          <a:latin typeface="Arial Narrow" pitchFamily="34" charset="0"/>
        </a:defRPr>
      </a:pPr>
      <a:endParaRPr lang="lv-LV"/>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b="1">
                <a:solidFill>
                  <a:sysClr val="windowText" lastClr="000000"/>
                </a:solidFill>
                <a:latin typeface="Candara" panose="020E0502030303020204" pitchFamily="34" charset="0"/>
              </a:rPr>
              <a:t>12.attēls. Inovatīvo uzņēmumu skaits, %</a:t>
            </a:r>
            <a:r>
              <a:rPr lang="lv-LV" sz="1000" b="1" baseline="0">
                <a:solidFill>
                  <a:sysClr val="windowText" lastClr="000000"/>
                </a:solidFill>
                <a:latin typeface="Candara" panose="020E0502030303020204" pitchFamily="34" charset="0"/>
              </a:rPr>
              <a:t> no kopējā uzņ. skaita (2014)</a:t>
            </a:r>
            <a:endParaRPr lang="lv-LV" sz="1000" b="1">
              <a:solidFill>
                <a:sysClr val="windowText" lastClr="000000"/>
              </a:solidFill>
              <a:latin typeface="Candara" panose="020E0502030303020204" pitchFamily="34" charset="0"/>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8"/>
            <c:invertIfNegative val="0"/>
            <c:bubble3D val="0"/>
            <c:spPr>
              <a:solidFill>
                <a:srgbClr val="FFC000"/>
              </a:solidFill>
              <a:ln>
                <a:noFill/>
              </a:ln>
              <a:effectLst/>
            </c:spPr>
            <c:extLst>
              <c:ext xmlns:c="http://schemas.openxmlformats.org/drawingml/2006/chart" xmlns:c16="http://schemas.microsoft.com/office/drawing/2014/chart" uri="{C3380CC4-5D6E-409C-BE32-E72D297353CC}">
                <c16:uniqueId val="{00000003-87E5-4C4D-9A65-DEAE9BB53491}"/>
              </c:ext>
            </c:extLst>
          </c:dPt>
          <c:dPt>
            <c:idx val="31"/>
            <c:invertIfNegative val="0"/>
            <c:bubble3D val="0"/>
            <c:spPr>
              <a:solidFill>
                <a:srgbClr val="FF0000"/>
              </a:solidFill>
              <a:ln>
                <a:noFill/>
              </a:ln>
              <a:effectLst/>
            </c:spPr>
            <c:extLst>
              <c:ext xmlns:c="http://schemas.openxmlformats.org/drawingml/2006/chart" xmlns:c16="http://schemas.microsoft.com/office/drawing/2014/chart" uri="{C3380CC4-5D6E-409C-BE32-E72D297353CC}">
                <c16:uniqueId val="{00000001-87E5-4C4D-9A65-DEAE9BB53491}"/>
              </c:ext>
            </c:extLst>
          </c:dPt>
          <c:dLbls>
            <c:dLbl>
              <c:idx val="18"/>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3-87E5-4C4D-9A65-DEAE9BB53491}"/>
                </c:ext>
                <c:ext xmlns:c15="http://schemas.microsoft.com/office/drawing/2012/chart" uri="{CE6537A1-D6FC-4f65-9D91-7224C49458BB}"/>
              </c:extLst>
            </c:dLbl>
            <c:dLbl>
              <c:idx val="31"/>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87E5-4C4D-9A65-DEAE9BB534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ndara" panose="020E0502030303020204" pitchFamily="34" charset="0"/>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Tabelle1!$A$2:$A$35</c:f>
              <c:strCache>
                <c:ptCount val="34"/>
                <c:pt idx="0">
                  <c:v>Switzerland</c:v>
                </c:pt>
                <c:pt idx="1">
                  <c:v>Germany </c:v>
                </c:pt>
                <c:pt idx="2">
                  <c:v>Luxembourg</c:v>
                </c:pt>
                <c:pt idx="3">
                  <c:v>Belgium</c:v>
                </c:pt>
                <c:pt idx="4">
                  <c:v>Ireland</c:v>
                </c:pt>
                <c:pt idx="5">
                  <c:v>United Kingdom</c:v>
                </c:pt>
                <c:pt idx="6">
                  <c:v>Austria</c:v>
                </c:pt>
                <c:pt idx="7">
                  <c:v>Iceland</c:v>
                </c:pt>
                <c:pt idx="8">
                  <c:v>Norway</c:v>
                </c:pt>
                <c:pt idx="9">
                  <c:v>France</c:v>
                </c:pt>
                <c:pt idx="10">
                  <c:v>European Union (15 countries)</c:v>
                </c:pt>
                <c:pt idx="11">
                  <c:v>Netherlands</c:v>
                </c:pt>
                <c:pt idx="12">
                  <c:v>Finland</c:v>
                </c:pt>
                <c:pt idx="13">
                  <c:v>Sweden</c:v>
                </c:pt>
                <c:pt idx="14">
                  <c:v>Portugal</c:v>
                </c:pt>
                <c:pt idx="15">
                  <c:v>Turkey</c:v>
                </c:pt>
                <c:pt idx="16">
                  <c:v>Greece</c:v>
                </c:pt>
                <c:pt idx="17">
                  <c:v>Denmark</c:v>
                </c:pt>
                <c:pt idx="18">
                  <c:v>European Union (28 countries)</c:v>
                </c:pt>
                <c:pt idx="19">
                  <c:v>Italy</c:v>
                </c:pt>
                <c:pt idx="20">
                  <c:v>Slovenia</c:v>
                </c:pt>
                <c:pt idx="21">
                  <c:v>Lithuania</c:v>
                </c:pt>
                <c:pt idx="22">
                  <c:v>Czech Republic</c:v>
                </c:pt>
                <c:pt idx="23">
                  <c:v>Cyprus</c:v>
                </c:pt>
                <c:pt idx="24">
                  <c:v>Malta</c:v>
                </c:pt>
                <c:pt idx="25">
                  <c:v>Croatia</c:v>
                </c:pt>
                <c:pt idx="26">
                  <c:v>Spain</c:v>
                </c:pt>
                <c:pt idx="27">
                  <c:v>Slovakia</c:v>
                </c:pt>
                <c:pt idx="28">
                  <c:v>Estonia</c:v>
                </c:pt>
                <c:pt idx="29">
                  <c:v>Bulgaria</c:v>
                </c:pt>
                <c:pt idx="30">
                  <c:v>Hungary</c:v>
                </c:pt>
                <c:pt idx="31">
                  <c:v>Latvia</c:v>
                </c:pt>
                <c:pt idx="32">
                  <c:v>Poland</c:v>
                </c:pt>
                <c:pt idx="33">
                  <c:v>Romania</c:v>
                </c:pt>
              </c:strCache>
            </c:strRef>
          </c:cat>
          <c:val>
            <c:numRef>
              <c:f>Tabelle1!$B$2:$B$35</c:f>
              <c:numCache>
                <c:formatCode>0.0</c:formatCode>
                <c:ptCount val="34"/>
                <c:pt idx="0">
                  <c:v>75.3</c:v>
                </c:pt>
                <c:pt idx="1">
                  <c:v>67</c:v>
                </c:pt>
                <c:pt idx="2">
                  <c:v>65.1</c:v>
                </c:pt>
                <c:pt idx="3">
                  <c:v>64.2</c:v>
                </c:pt>
                <c:pt idx="4">
                  <c:v>61</c:v>
                </c:pt>
                <c:pt idx="5">
                  <c:v>60.2</c:v>
                </c:pt>
                <c:pt idx="6">
                  <c:v>59.5</c:v>
                </c:pt>
                <c:pt idx="7">
                  <c:v>59.2</c:v>
                </c:pt>
                <c:pt idx="8">
                  <c:v>57.6</c:v>
                </c:pt>
                <c:pt idx="9">
                  <c:v>56.4</c:v>
                </c:pt>
                <c:pt idx="10">
                  <c:v>55.7</c:v>
                </c:pt>
                <c:pt idx="11">
                  <c:v>55.3</c:v>
                </c:pt>
                <c:pt idx="12">
                  <c:v>55.3</c:v>
                </c:pt>
                <c:pt idx="13">
                  <c:v>54.2</c:v>
                </c:pt>
                <c:pt idx="14">
                  <c:v>54</c:v>
                </c:pt>
                <c:pt idx="15">
                  <c:v>51.3</c:v>
                </c:pt>
                <c:pt idx="16">
                  <c:v>51</c:v>
                </c:pt>
                <c:pt idx="17">
                  <c:v>49.5</c:v>
                </c:pt>
                <c:pt idx="18">
                  <c:v>49.1</c:v>
                </c:pt>
                <c:pt idx="19">
                  <c:v>48.7</c:v>
                </c:pt>
                <c:pt idx="20">
                  <c:v>45.9</c:v>
                </c:pt>
                <c:pt idx="21">
                  <c:v>43.3</c:v>
                </c:pt>
                <c:pt idx="22">
                  <c:v>42</c:v>
                </c:pt>
                <c:pt idx="23">
                  <c:v>41.8</c:v>
                </c:pt>
                <c:pt idx="24">
                  <c:v>41.2</c:v>
                </c:pt>
                <c:pt idx="25">
                  <c:v>39.7</c:v>
                </c:pt>
                <c:pt idx="26">
                  <c:v>36.4</c:v>
                </c:pt>
                <c:pt idx="27">
                  <c:v>31.8</c:v>
                </c:pt>
                <c:pt idx="28">
                  <c:v>26.5</c:v>
                </c:pt>
                <c:pt idx="29">
                  <c:v>26.1</c:v>
                </c:pt>
                <c:pt idx="30">
                  <c:v>25.6</c:v>
                </c:pt>
                <c:pt idx="31">
                  <c:v>25.5</c:v>
                </c:pt>
                <c:pt idx="32">
                  <c:v>21</c:v>
                </c:pt>
                <c:pt idx="33">
                  <c:v>12.8</c:v>
                </c:pt>
              </c:numCache>
            </c:numRef>
          </c:val>
          <c:extLst>
            <c:ext xmlns:c="http://schemas.openxmlformats.org/drawingml/2006/chart" xmlns:c16="http://schemas.microsoft.com/office/drawing/2014/chart" uri="{C3380CC4-5D6E-409C-BE32-E72D297353CC}">
              <c16:uniqueId val="{00000002-87E5-4C4D-9A65-DEAE9BB53491}"/>
            </c:ext>
          </c:extLst>
        </c:ser>
        <c:dLbls>
          <c:showLegendKey val="0"/>
          <c:showVal val="0"/>
          <c:showCatName val="0"/>
          <c:showSerName val="0"/>
          <c:showPercent val="0"/>
          <c:showBubbleSize val="0"/>
        </c:dLbls>
        <c:gapWidth val="219"/>
        <c:overlap val="-27"/>
        <c:axId val="433460192"/>
        <c:axId val="433464112"/>
      </c:barChart>
      <c:catAx>
        <c:axId val="4334601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27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lv-LV"/>
          </a:p>
        </c:txPr>
        <c:crossAx val="433464112"/>
        <c:crosses val="autoZero"/>
        <c:auto val="1"/>
        <c:lblAlgn val="ctr"/>
        <c:lblOffset val="100"/>
        <c:noMultiLvlLbl val="0"/>
      </c:catAx>
      <c:valAx>
        <c:axId val="433464112"/>
        <c:scaling>
          <c:orientation val="minMax"/>
        </c:scaling>
        <c:delete val="0"/>
        <c:axPos val="l"/>
        <c:numFmt formatCode="0.0" sourceLinked="1"/>
        <c:majorTickMark val="none"/>
        <c:minorTickMark val="none"/>
        <c:tickLblPos val="nextTo"/>
        <c:spPr>
          <a:noFill/>
          <a:ln w="6350">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lv-LV"/>
          </a:p>
        </c:txPr>
        <c:crossAx val="433460192"/>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a:pPr>
      <a:endParaRPr lang="lv-L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45623070701068"/>
          <c:y val="0.17775660011447056"/>
          <c:w val="0.87977970914013126"/>
          <c:h val="0.70161968884324244"/>
        </c:manualLayout>
      </c:layout>
      <c:lineChart>
        <c:grouping val="standard"/>
        <c:varyColors val="0"/>
        <c:ser>
          <c:idx val="1"/>
          <c:order val="0"/>
          <c:tx>
            <c:strRef>
              <c:f>Sheet1!$A$2</c:f>
              <c:strCache>
                <c:ptCount val="1"/>
                <c:pt idx="0">
                  <c:v>Latvija</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6.7</c:v>
                </c:pt>
                <c:pt idx="1">
                  <c:v>6.4</c:v>
                </c:pt>
                <c:pt idx="2">
                  <c:v>8</c:v>
                </c:pt>
                <c:pt idx="3">
                  <c:v>9.7</c:v>
                </c:pt>
                <c:pt idx="4">
                  <c:v>9.8</c:v>
                </c:pt>
              </c:numCache>
            </c:numRef>
          </c:val>
          <c:smooth val="0"/>
          <c:extLst>
            <c:ext xmlns:c="http://schemas.openxmlformats.org/drawingml/2006/chart" xmlns:c16="http://schemas.microsoft.com/office/drawing/2014/chart" uri="{C3380CC4-5D6E-409C-BE32-E72D297353CC}">
              <c16:uniqueId val="{00000000-CB15-46B6-A44D-5CA2CFE1A558}"/>
            </c:ext>
          </c:extLst>
        </c:ser>
        <c:ser>
          <c:idx val="0"/>
          <c:order val="1"/>
          <c:tx>
            <c:strRef>
              <c:f>Sheet1!$A$3</c:f>
              <c:strCache>
                <c:ptCount val="1"/>
                <c:pt idx="0">
                  <c:v>Lietuva</c:v>
                </c:pt>
              </c:strCache>
            </c:strRef>
          </c:tx>
          <c:spPr>
            <a:ln w="19050">
              <a:solidFill>
                <a:srgbClr val="70AD47">
                  <a:lumMod val="75000"/>
                </a:srgbClr>
              </a:solidFill>
              <a:prstDash val="sysDash"/>
            </a:ln>
          </c:spPr>
          <c:marker>
            <c:symbol val="none"/>
          </c:marker>
          <c:cat>
            <c:numRef>
              <c:f>Sheet1!$B$1:$F$1</c:f>
              <c:numCache>
                <c:formatCode>General</c:formatCode>
                <c:ptCount val="5"/>
                <c:pt idx="0">
                  <c:v>2011</c:v>
                </c:pt>
                <c:pt idx="1">
                  <c:v>2012</c:v>
                </c:pt>
                <c:pt idx="2">
                  <c:v>2013</c:v>
                </c:pt>
                <c:pt idx="3">
                  <c:v>2014</c:v>
                </c:pt>
                <c:pt idx="4">
                  <c:v>2015</c:v>
                </c:pt>
              </c:numCache>
            </c:numRef>
          </c:cat>
          <c:val>
            <c:numRef>
              <c:f>Sheet1!$B$3:$F$3</c:f>
              <c:numCache>
                <c:formatCode>0</c:formatCode>
                <c:ptCount val="5"/>
                <c:pt idx="0">
                  <c:v>5.6</c:v>
                </c:pt>
                <c:pt idx="1">
                  <c:v>5.8</c:v>
                </c:pt>
                <c:pt idx="2">
                  <c:v>5.8</c:v>
                </c:pt>
                <c:pt idx="3">
                  <c:v>6.6</c:v>
                </c:pt>
                <c:pt idx="4">
                  <c:v>7.5</c:v>
                </c:pt>
              </c:numCache>
            </c:numRef>
          </c:val>
          <c:smooth val="0"/>
          <c:extLst>
            <c:ext xmlns:c="http://schemas.openxmlformats.org/drawingml/2006/chart" xmlns:c16="http://schemas.microsoft.com/office/drawing/2014/chart" uri="{C3380CC4-5D6E-409C-BE32-E72D297353CC}">
              <c16:uniqueId val="{00000001-CB15-46B6-A44D-5CA2CFE1A558}"/>
            </c:ext>
          </c:extLst>
        </c:ser>
        <c:ser>
          <c:idx val="2"/>
          <c:order val="2"/>
          <c:tx>
            <c:strRef>
              <c:f>Sheet1!$A$4</c:f>
              <c:strCache>
                <c:ptCount val="1"/>
                <c:pt idx="0">
                  <c:v>Igaunija</c:v>
                </c:pt>
              </c:strCache>
            </c:strRef>
          </c:tx>
          <c:spPr>
            <a:ln w="15875">
              <a:solidFill>
                <a:srgbClr val="4472C4">
                  <a:lumMod val="75000"/>
                </a:srgbClr>
              </a:solidFill>
              <a:prstDash val="sysDash"/>
            </a:ln>
          </c:spPr>
          <c:marker>
            <c:symbol val="none"/>
          </c:marker>
          <c:cat>
            <c:numRef>
              <c:f>Sheet1!$B$1:$F$1</c:f>
              <c:numCache>
                <c:formatCode>General</c:formatCode>
                <c:ptCount val="5"/>
                <c:pt idx="0">
                  <c:v>2011</c:v>
                </c:pt>
                <c:pt idx="1">
                  <c:v>2012</c:v>
                </c:pt>
                <c:pt idx="2">
                  <c:v>2013</c:v>
                </c:pt>
                <c:pt idx="3">
                  <c:v>2014</c:v>
                </c:pt>
                <c:pt idx="4">
                  <c:v>2015</c:v>
                </c:pt>
              </c:numCache>
            </c:numRef>
          </c:cat>
          <c:val>
            <c:numRef>
              <c:f>Sheet1!$B$4:$F$4</c:f>
              <c:numCache>
                <c:formatCode>0</c:formatCode>
                <c:ptCount val="5"/>
                <c:pt idx="0">
                  <c:v>14.8</c:v>
                </c:pt>
                <c:pt idx="1">
                  <c:v>14.1</c:v>
                </c:pt>
                <c:pt idx="2">
                  <c:v>15</c:v>
                </c:pt>
                <c:pt idx="3">
                  <c:v>16.3</c:v>
                </c:pt>
                <c:pt idx="4">
                  <c:v>15.4</c:v>
                </c:pt>
              </c:numCache>
            </c:numRef>
          </c:val>
          <c:smooth val="0"/>
          <c:extLst>
            <c:ext xmlns:c="http://schemas.openxmlformats.org/drawingml/2006/chart" xmlns:c16="http://schemas.microsoft.com/office/drawing/2014/chart" uri="{C3380CC4-5D6E-409C-BE32-E72D297353CC}">
              <c16:uniqueId val="{00000002-CB15-46B6-A44D-5CA2CFE1A558}"/>
            </c:ext>
          </c:extLst>
        </c:ser>
        <c:ser>
          <c:idx val="3"/>
          <c:order val="3"/>
          <c:tx>
            <c:strRef>
              <c:f>Sheet1!$A$5</c:f>
              <c:strCache>
                <c:ptCount val="1"/>
                <c:pt idx="0">
                  <c:v>ES-28</c:v>
                </c:pt>
              </c:strCache>
            </c:strRef>
          </c:tx>
          <c:spPr>
            <a:ln w="19050">
              <a:solidFill>
                <a:sysClr val="windowText" lastClr="000000"/>
              </a:solidFill>
            </a:ln>
          </c:spPr>
          <c:marker>
            <c:symbol val="none"/>
          </c:marker>
          <c:cat>
            <c:numRef>
              <c:f>Sheet1!$B$1:$F$1</c:f>
              <c:numCache>
                <c:formatCode>General</c:formatCode>
                <c:ptCount val="5"/>
                <c:pt idx="0">
                  <c:v>2011</c:v>
                </c:pt>
                <c:pt idx="1">
                  <c:v>2012</c:v>
                </c:pt>
                <c:pt idx="2">
                  <c:v>2013</c:v>
                </c:pt>
                <c:pt idx="3">
                  <c:v>2014</c:v>
                </c:pt>
                <c:pt idx="4">
                  <c:v>2015</c:v>
                </c:pt>
              </c:numCache>
            </c:numRef>
          </c:cat>
          <c:val>
            <c:numRef>
              <c:f>Sheet1!$B$5:$F$5</c:f>
              <c:numCache>
                <c:formatCode>0</c:formatCode>
                <c:ptCount val="5"/>
                <c:pt idx="0">
                  <c:v>15.4</c:v>
                </c:pt>
                <c:pt idx="1">
                  <c:v>15.7</c:v>
                </c:pt>
                <c:pt idx="2">
                  <c:v>15.3</c:v>
                </c:pt>
                <c:pt idx="3">
                  <c:v>15.7</c:v>
                </c:pt>
                <c:pt idx="4">
                  <c:v>17</c:v>
                </c:pt>
              </c:numCache>
            </c:numRef>
          </c:val>
          <c:smooth val="0"/>
          <c:extLst>
            <c:ext xmlns:c="http://schemas.openxmlformats.org/drawingml/2006/chart" xmlns:c16="http://schemas.microsoft.com/office/drawing/2014/chart" uri="{C3380CC4-5D6E-409C-BE32-E72D297353CC}">
              <c16:uniqueId val="{00000003-CB15-46B6-A44D-5CA2CFE1A558}"/>
            </c:ext>
          </c:extLst>
        </c:ser>
        <c:dLbls>
          <c:showLegendKey val="0"/>
          <c:showVal val="0"/>
          <c:showCatName val="0"/>
          <c:showSerName val="0"/>
          <c:showPercent val="0"/>
          <c:showBubbleSize val="0"/>
        </c:dLbls>
        <c:smooth val="0"/>
        <c:axId val="433459800"/>
        <c:axId val="433465288"/>
      </c:lineChart>
      <c:catAx>
        <c:axId val="433459800"/>
        <c:scaling>
          <c:orientation val="minMax"/>
        </c:scaling>
        <c:delete val="0"/>
        <c:axPos val="b"/>
        <c:numFmt formatCode="General" sourceLinked="1"/>
        <c:majorTickMark val="out"/>
        <c:minorTickMark val="none"/>
        <c:tickLblPos val="low"/>
        <c:spPr>
          <a:ln w="3175">
            <a:noFill/>
          </a:ln>
        </c:spPr>
        <c:txPr>
          <a:bodyPr rot="-5400000" vert="horz"/>
          <a:lstStyle/>
          <a:p>
            <a:pPr>
              <a:defRPr/>
            </a:pPr>
            <a:endParaRPr lang="lv-LV"/>
          </a:p>
        </c:txPr>
        <c:crossAx val="433465288"/>
        <c:crosses val="autoZero"/>
        <c:lblAlgn val="ctr"/>
        <c:lblOffset val="0"/>
        <c:tickLblSkip val="1"/>
        <c:noMultiLvlLbl val="1"/>
      </c:catAx>
      <c:valAx>
        <c:axId val="433465288"/>
        <c:scaling>
          <c:orientation val="minMax"/>
        </c:scaling>
        <c:delete val="0"/>
        <c:axPos val="l"/>
        <c:numFmt formatCode="0" sourceLinked="0"/>
        <c:majorTickMark val="out"/>
        <c:minorTickMark val="none"/>
        <c:tickLblPos val="nextTo"/>
        <c:spPr>
          <a:ln w="3175">
            <a:noFill/>
          </a:ln>
        </c:spPr>
        <c:txPr>
          <a:bodyPr rot="0" vert="horz"/>
          <a:lstStyle/>
          <a:p>
            <a:pPr>
              <a:defRPr/>
            </a:pPr>
            <a:endParaRPr lang="lv-LV"/>
          </a:p>
        </c:txPr>
        <c:crossAx val="433459800"/>
        <c:crosses val="autoZero"/>
        <c:crossBetween val="between"/>
      </c:valAx>
      <c:spPr>
        <a:noFill/>
        <a:ln w="24631">
          <a:noFill/>
        </a:ln>
      </c:spPr>
    </c:plotArea>
    <c:legend>
      <c:legendPos val="l"/>
      <c:layout>
        <c:manualLayout>
          <c:xMode val="edge"/>
          <c:yMode val="edge"/>
          <c:x val="0.13844084252699609"/>
          <c:y val="0.029992942836979536"/>
          <c:w val="0.78520581863200234"/>
          <c:h val="0.14160892203224068"/>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80" b="0"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14.attēls. Zinātnisko darbinieku skaits (PLE izteiksmē) salīdzinājumā ar ZTAI pamatnostādnēs paredzēto</a:t>
            </a:r>
          </a:p>
        </c:rich>
      </c:tx>
      <c:layout>
        <c:manualLayout>
          <c:xMode val="edge"/>
          <c:yMode val="edge"/>
          <c:x val="0.12894095755803608"/>
          <c:y val="0.027972115730431655"/>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Narrow" panose="020B0606020202030204" pitchFamily="34" charset="0"/>
              <a:ea typeface="+mn-ea"/>
              <a:cs typeface="+mn-cs"/>
            </a:defRPr>
          </a:pPr>
          <a:endParaRPr lang="lv-LV"/>
        </a:p>
      </c:txPr>
    </c:title>
    <c:autoTitleDeleted val="0"/>
    <c:plotArea>
      <c:layout/>
      <c:lineChart>
        <c:grouping val="standard"/>
        <c:varyColors val="0"/>
        <c:ser>
          <c:idx val="1"/>
          <c:order val="0"/>
          <c:tx>
            <c:v>Reālais</c:v>
          </c:tx>
          <c:spPr>
            <a:ln w="28575" cap="rnd">
              <a:solidFill>
                <a:schemeClr val="tx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ndara" panose="020E050203030302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Dati!$A$59:$A$72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Dati!$B$59:$B$72</c:f>
              <c:numCache>
                <c:formatCode>General</c:formatCode>
                <c:ptCount val="14"/>
                <c:pt idx="0">
                  <c:v>6378</c:v>
                </c:pt>
                <c:pt idx="1">
                  <c:v>6533</c:v>
                </c:pt>
                <c:pt idx="2">
                  <c:v>5485</c:v>
                </c:pt>
                <c:pt idx="3">
                  <c:v>5563</c:v>
                </c:pt>
                <c:pt idx="4">
                  <c:v>5432</c:v>
                </c:pt>
                <c:pt idx="5">
                  <c:v>5593</c:v>
                </c:pt>
                <c:pt idx="6">
                  <c:v>5396</c:v>
                </c:pt>
                <c:pt idx="7">
                  <c:v>5739</c:v>
                </c:pt>
                <c:pt idx="8">
                  <c:v>5570</c:v>
                </c:pt>
                <c:pt idx="9">
                  <c:v>5120</c:v>
                </c:pt>
              </c:numCache>
            </c:numRef>
          </c:val>
          <c:smooth val="0"/>
          <c:extLst>
            <c:ext xmlns:c="http://schemas.openxmlformats.org/drawingml/2006/chart" xmlns:c16="http://schemas.microsoft.com/office/drawing/2014/chart" uri="{C3380CC4-5D6E-409C-BE32-E72D297353CC}">
              <c16:uniqueId val="{00000000-CF3F-486A-A742-013306F6036C}"/>
            </c:ext>
          </c:extLst>
        </c:ser>
        <c:ser>
          <c:idx val="0"/>
          <c:order val="1"/>
          <c:tx>
            <c:v>Plānotais ZTAI pamatnostādnēs</c:v>
          </c:tx>
          <c:spPr>
            <a:ln w="28575" cap="rnd">
              <a:solidFill>
                <a:srgbClr val="FF0000"/>
              </a:solidFill>
              <a:prstDash val="sysDot"/>
              <a:round/>
            </a:ln>
            <a:effectLst/>
          </c:spPr>
          <c:marker>
            <c:symbol val="circle"/>
            <c:size val="5"/>
            <c:spPr>
              <a:solidFill>
                <a:srgbClr val="FF0000"/>
              </a:solidFill>
              <a:ln w="9525">
                <a:solidFill>
                  <a:srgbClr val="FF0000"/>
                </a:solidFill>
                <a:prstDash val="sysDot"/>
              </a:ln>
              <a:effectLst/>
            </c:spPr>
          </c:marker>
          <c:cat>
            <c:numRef>
              <c:f>Dati!$A$59:$A$72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Dati!$C$59:$C$72</c:f>
              <c:numCache>
                <c:formatCode>General</c:formatCode>
                <c:ptCount val="14"/>
                <c:pt idx="5" formatCode="0">
                  <c:v>5593</c:v>
                </c:pt>
                <c:pt idx="6" formatCode="0">
                  <c:v>5646.5</c:v>
                </c:pt>
                <c:pt idx="7" formatCode="0">
                  <c:v>5700</c:v>
                </c:pt>
                <c:pt idx="8" formatCode="0">
                  <c:v>5900</c:v>
                </c:pt>
                <c:pt idx="9" formatCode="0">
                  <c:v>6100</c:v>
                </c:pt>
                <c:pt idx="10" formatCode="0">
                  <c:v>6300</c:v>
                </c:pt>
                <c:pt idx="11" formatCode="0">
                  <c:v>6533.333333333333</c:v>
                </c:pt>
                <c:pt idx="12" formatCode="0">
                  <c:v>6766.6666666666661</c:v>
                </c:pt>
                <c:pt idx="13" formatCode="0">
                  <c:v>7000</c:v>
                </c:pt>
              </c:numCache>
            </c:numRef>
          </c:val>
          <c:smooth val="0"/>
          <c:extLst>
            <c:ext xmlns:c="http://schemas.openxmlformats.org/drawingml/2006/chart" xmlns:c16="http://schemas.microsoft.com/office/drawing/2014/chart" uri="{C3380CC4-5D6E-409C-BE32-E72D297353CC}">
              <c16:uniqueId val="{00000001-CF3F-486A-A742-013306F6036C}"/>
            </c:ext>
          </c:extLst>
        </c:ser>
        <c:ser>
          <c:idx val="2"/>
          <c:order val="2"/>
          <c:tx>
            <c:v>Prognozētais pie esošā finansējuma</c:v>
          </c:tx>
          <c:spPr>
            <a:ln w="28575" cap="rnd">
              <a:solidFill>
                <a:schemeClr val="tx1"/>
              </a:solidFill>
              <a:prstDash val="sysDot"/>
              <a:round/>
            </a:ln>
            <a:effectLst/>
          </c:spPr>
          <c:marker>
            <c:symbol val="circle"/>
            <c:size val="5"/>
            <c:spPr>
              <a:solidFill>
                <a:schemeClr val="tx1"/>
              </a:solidFill>
              <a:ln w="9525">
                <a:solidFill>
                  <a:schemeClr val="tx1"/>
                </a:solidFill>
                <a:prstDash val="sysDot"/>
              </a:ln>
              <a:effectLst/>
            </c:spPr>
          </c:marker>
          <c:cat>
            <c:numRef>
              <c:f>Dati!$A$59:$A$72</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Dati!$E$59:$E$72</c:f>
              <c:numCache>
                <c:formatCode>General</c:formatCode>
                <c:ptCount val="14"/>
                <c:pt idx="9">
                  <c:v>5120</c:v>
                </c:pt>
                <c:pt idx="10">
                  <c:v>5002</c:v>
                </c:pt>
                <c:pt idx="11">
                  <c:v>4884</c:v>
                </c:pt>
                <c:pt idx="12">
                  <c:v>4766</c:v>
                </c:pt>
                <c:pt idx="13">
                  <c:v>4648</c:v>
                </c:pt>
              </c:numCache>
            </c:numRef>
          </c:val>
          <c:smooth val="0"/>
          <c:extLst>
            <c:ext xmlns:c="http://schemas.openxmlformats.org/drawingml/2006/chart" xmlns:c16="http://schemas.microsoft.com/office/drawing/2014/chart" uri="{C3380CC4-5D6E-409C-BE32-E72D297353CC}">
              <c16:uniqueId val="{00000002-CF3F-486A-A742-013306F6036C}"/>
            </c:ext>
          </c:extLst>
        </c:ser>
        <c:dLbls>
          <c:showLegendKey val="0"/>
          <c:showVal val="0"/>
          <c:showCatName val="0"/>
          <c:showSerName val="0"/>
          <c:showPercent val="0"/>
          <c:showBubbleSize val="0"/>
        </c:dLbls>
        <c:marker val="1"/>
        <c:smooth val="0"/>
        <c:axId val="433463328"/>
        <c:axId val="430622872"/>
      </c:lineChart>
      <c:catAx>
        <c:axId val="433463328"/>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27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crossAx val="430622872"/>
        <c:crosses val="autoZero"/>
        <c:auto val="1"/>
        <c:lblAlgn val="ctr"/>
        <c:lblOffset val="100"/>
        <c:noMultiLvlLbl val="0"/>
      </c:catAx>
      <c:valAx>
        <c:axId val="430622872"/>
        <c:scaling>
          <c:orientation val="minMax"/>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crossAx val="433463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sz="900">
          <a:solidFill>
            <a:sysClr val="windowText" lastClr="000000"/>
          </a:solidFill>
          <a:latin typeface="Arial Narrow" panose="020B0606020202030204" pitchFamily="34" charset="0"/>
        </a:defRPr>
      </a:pPr>
      <a:endParaRPr lang="lv-LV"/>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000" b="0" i="0" u="none" strike="noStrike" kern="1200" spc="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r>
              <a:rPr lang="lv-LV" sz="1000" b="1"/>
              <a:t>15.attēls. P&amp;A izdevumi uz 1 zinātnisko darbinieku 2015.gadā </a:t>
            </a:r>
            <a:r>
              <a:rPr lang="lv-LV" sz="1000"/>
              <a:t>(tūkst. eiro) </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5"/>
            <c:invertIfNegative val="0"/>
            <c:bubble3D val="0"/>
            <c:extLst>
              <c:ext xmlns:c="http://schemas.openxmlformats.org/drawingml/2006/chart" xmlns:c16="http://schemas.microsoft.com/office/drawing/2014/chart" uri="{C3380CC4-5D6E-409C-BE32-E72D297353CC}">
                <c16:uniqueId val="{00000001-5F5B-45F4-98BC-27C054FD4B59}"/>
              </c:ext>
            </c:extLst>
          </c:dPt>
          <c:dPt>
            <c:idx val="10"/>
            <c:invertIfNegative val="0"/>
            <c:bubble3D val="0"/>
            <c:spPr>
              <a:solidFill>
                <a:schemeClr val="accent3"/>
              </a:solidFill>
              <a:ln>
                <a:noFill/>
              </a:ln>
              <a:effectLst/>
            </c:spPr>
            <c:extLst>
              <c:ext xmlns:c="http://schemas.openxmlformats.org/drawingml/2006/chart" xmlns:c16="http://schemas.microsoft.com/office/drawing/2014/chart" uri="{C3380CC4-5D6E-409C-BE32-E72D297353CC}">
                <c16:uniqueId val="{00000003-5F5B-45F4-98BC-27C054FD4B59}"/>
              </c:ext>
            </c:extLst>
          </c:dPt>
          <c:dPt>
            <c:idx val="11"/>
            <c:invertIfNegative val="0"/>
            <c:bubble3D val="0"/>
            <c:extLst>
              <c:ext xmlns:c="http://schemas.openxmlformats.org/drawingml/2006/chart" xmlns:c16="http://schemas.microsoft.com/office/drawing/2014/chart" uri="{C3380CC4-5D6E-409C-BE32-E72D297353CC}">
                <c16:uniqueId val="{00000005-5F5B-45F4-98BC-27C054FD4B59}"/>
              </c:ext>
            </c:extLst>
          </c:dPt>
          <c:dPt>
            <c:idx val="13"/>
            <c:invertIfNegative val="0"/>
            <c:bubble3D val="0"/>
            <c:extLst>
              <c:ext xmlns:c="http://schemas.openxmlformats.org/drawingml/2006/chart" xmlns:c16="http://schemas.microsoft.com/office/drawing/2014/chart" uri="{C3380CC4-5D6E-409C-BE32-E72D297353CC}">
                <c16:uniqueId val="{00000007-5F5B-45F4-98BC-27C054FD4B59}"/>
              </c:ext>
            </c:extLst>
          </c:dPt>
          <c:dPt>
            <c:idx val="24"/>
            <c:invertIfNegative val="0"/>
            <c:bubble3D val="0"/>
            <c:extLst>
              <c:ext xmlns:c="http://schemas.openxmlformats.org/drawingml/2006/chart" xmlns:c16="http://schemas.microsoft.com/office/drawing/2014/chart" uri="{C3380CC4-5D6E-409C-BE32-E72D297353CC}">
                <c16:uniqueId val="{00000009-5F5B-45F4-98BC-27C054FD4B59}"/>
              </c:ext>
            </c:extLst>
          </c:dPt>
          <c:dPt>
            <c:idx val="25"/>
            <c:invertIfNegative val="0"/>
            <c:bubble3D val="0"/>
            <c:extLst>
              <c:ext xmlns:c="http://schemas.openxmlformats.org/drawingml/2006/chart" xmlns:c16="http://schemas.microsoft.com/office/drawing/2014/chart" uri="{C3380CC4-5D6E-409C-BE32-E72D297353CC}">
                <c16:uniqueId val="{0000000B-5F5B-45F4-98BC-27C054FD4B59}"/>
              </c:ext>
            </c:extLst>
          </c:dPt>
          <c:dPt>
            <c:idx val="26"/>
            <c:invertIfNegative val="0"/>
            <c:bubble3D val="0"/>
            <c:spPr>
              <a:solidFill>
                <a:srgbClr val="FF0000"/>
              </a:solidFill>
              <a:ln>
                <a:noFill/>
              </a:ln>
              <a:effectLst/>
            </c:spPr>
            <c:extLst>
              <c:ext xmlns:c="http://schemas.openxmlformats.org/drawingml/2006/chart" xmlns:c16="http://schemas.microsoft.com/office/drawing/2014/chart" uri="{C3380CC4-5D6E-409C-BE32-E72D297353CC}">
                <c16:uniqueId val="{0000000D-5F5B-45F4-98BC-27C054FD4B59}"/>
              </c:ext>
            </c:extLst>
          </c:dPt>
          <c:dLbls>
            <c:numFmt formatCode="#,##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'R &amp; D izdevumi uz 1 zinātnieku'!$A$3:$A$31</c:f>
              <c:strCache>
                <c:ptCount val="29"/>
                <c:pt idx="0">
                  <c:v>Zviedrija</c:v>
                </c:pt>
                <c:pt idx="1">
                  <c:v>Austrija</c:v>
                </c:pt>
                <c:pt idx="2">
                  <c:v>Vācija</c:v>
                </c:pt>
                <c:pt idx="3">
                  <c:v>Dānija</c:v>
                </c:pt>
                <c:pt idx="4">
                  <c:v>Beļģija</c:v>
                </c:pt>
                <c:pt idx="5">
                  <c:v>Somija</c:v>
                </c:pt>
                <c:pt idx="6">
                  <c:v>Luksemburga</c:v>
                </c:pt>
                <c:pt idx="7">
                  <c:v>Francija</c:v>
                </c:pt>
                <c:pt idx="8">
                  <c:v>Nīderlande</c:v>
                </c:pt>
                <c:pt idx="9">
                  <c:v>Lielbritānija</c:v>
                </c:pt>
                <c:pt idx="10">
                  <c:v>vidēji ES</c:v>
                </c:pt>
                <c:pt idx="11">
                  <c:v>Īrija</c:v>
                </c:pt>
                <c:pt idx="12">
                  <c:v>Itālija</c:v>
                </c:pt>
                <c:pt idx="13">
                  <c:v>Spānija</c:v>
                </c:pt>
                <c:pt idx="14">
                  <c:v>Kipra</c:v>
                </c:pt>
                <c:pt idx="15">
                  <c:v>Slovēnija</c:v>
                </c:pt>
                <c:pt idx="16">
                  <c:v>Igaunija</c:v>
                </c:pt>
                <c:pt idx="17">
                  <c:v>Slovākija</c:v>
                </c:pt>
                <c:pt idx="18">
                  <c:v>Čehija</c:v>
                </c:pt>
                <c:pt idx="19">
                  <c:v>Malta</c:v>
                </c:pt>
                <c:pt idx="20">
                  <c:v>Portugāle</c:v>
                </c:pt>
                <c:pt idx="21">
                  <c:v>Ungārija</c:v>
                </c:pt>
                <c:pt idx="22">
                  <c:v>Lietuva</c:v>
                </c:pt>
                <c:pt idx="23">
                  <c:v>Horvātija</c:v>
                </c:pt>
                <c:pt idx="24">
                  <c:v>Polija</c:v>
                </c:pt>
                <c:pt idx="25">
                  <c:v>Grieķija</c:v>
                </c:pt>
                <c:pt idx="26">
                  <c:v>Latvija</c:v>
                </c:pt>
                <c:pt idx="27">
                  <c:v>Rumānija</c:v>
                </c:pt>
                <c:pt idx="28">
                  <c:v>Bulgārija</c:v>
                </c:pt>
              </c:strCache>
            </c:strRef>
          </c:cat>
          <c:val>
            <c:numRef>
              <c:f>'R &amp; D izdevumi uz 1 zinātnieku'!$AJ$3:$AJ$31</c:f>
              <c:numCache>
                <c:formatCode>#\ ##0.000</c:formatCode>
                <c:ptCount val="29"/>
                <c:pt idx="0">
                  <c:v>172.51383647054649</c:v>
                </c:pt>
                <c:pt idx="1">
                  <c:v>150.67024438096888</c:v>
                </c:pt>
                <c:pt idx="2">
                  <c:v>142.06015576628539</c:v>
                </c:pt>
                <c:pt idx="3">
                  <c:v>134.17076461769113</c:v>
                </c:pt>
                <c:pt idx="4">
                  <c:v>129.3588821534984</c:v>
                </c:pt>
                <c:pt idx="5">
                  <c:v>120.53328568308615</c:v>
                </c:pt>
                <c:pt idx="6">
                  <c:v>119.98390845699983</c:v>
                </c:pt>
                <c:pt idx="7">
                  <c:v>116.30420592813269</c:v>
                </c:pt>
                <c:pt idx="8">
                  <c:v>106.21303388998419</c:v>
                </c:pt>
                <c:pt idx="9">
                  <c:v>105.34021625878071</c:v>
                </c:pt>
                <c:pt idx="10">
                  <c:v>104.88849640959252</c:v>
                </c:pt>
                <c:pt idx="11">
                  <c:v>99.218856133677491</c:v>
                </c:pt>
                <c:pt idx="12">
                  <c:v>88.224389457564286</c:v>
                </c:pt>
                <c:pt idx="13">
                  <c:v>65.575094839345638</c:v>
                </c:pt>
                <c:pt idx="14">
                  <c:v>64.578313253012055</c:v>
                </c:pt>
                <c:pt idx="15">
                  <c:v>59.969560632688925</c:v>
                </c:pt>
                <c:pt idx="16">
                  <c:v>55.4110541727672</c:v>
                </c:pt>
                <c:pt idx="17">
                  <c:v>52.712864532999831</c:v>
                </c:pt>
                <c:pt idx="18">
                  <c:v>48.925127572140347</c:v>
                </c:pt>
                <c:pt idx="19">
                  <c:v>48.600287562904384</c:v>
                </c:pt>
                <c:pt idx="20">
                  <c:v>47.220244234498125</c:v>
                </c:pt>
                <c:pt idx="21">
                  <c:v>41.005644964311884</c:v>
                </c:pt>
                <c:pt idx="22">
                  <c:v>36.776394564287756</c:v>
                </c:pt>
                <c:pt idx="23">
                  <c:v>35.209769844997652</c:v>
                </c:pt>
                <c:pt idx="24">
                  <c:v>34.994835707394586</c:v>
                </c:pt>
                <c:pt idx="25">
                  <c:v>33.335643015521065</c:v>
                </c:pt>
                <c:pt idx="26">
                  <c:v>27.342908438061045</c:v>
                </c:pt>
                <c:pt idx="27">
                  <c:v>24.96383773259711</c:v>
                </c:pt>
                <c:pt idx="28">
                  <c:v>19.320993711252843</c:v>
                </c:pt>
              </c:numCache>
            </c:numRef>
          </c:val>
          <c:extLst>
            <c:ext xmlns:c="http://schemas.openxmlformats.org/drawingml/2006/chart" xmlns:c16="http://schemas.microsoft.com/office/drawing/2014/chart" uri="{C3380CC4-5D6E-409C-BE32-E72D297353CC}">
              <c16:uniqueId val="{0000000E-5F5B-45F4-98BC-27C054FD4B59}"/>
            </c:ext>
          </c:extLst>
        </c:ser>
        <c:dLbls>
          <c:showLegendKey val="0"/>
          <c:showVal val="0"/>
          <c:showCatName val="0"/>
          <c:showSerName val="0"/>
          <c:showPercent val="0"/>
          <c:showBubbleSize val="0"/>
        </c:dLbls>
        <c:gapWidth val="59"/>
        <c:overlap val="-27"/>
        <c:axId val="434247096"/>
        <c:axId val="434247488"/>
      </c:barChart>
      <c:catAx>
        <c:axId val="434247096"/>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endParaRPr lang="lv-LV"/>
          </a:p>
        </c:txPr>
        <c:crossAx val="434247488"/>
        <c:crosses val="autoZero"/>
        <c:auto val="1"/>
        <c:lblAlgn val="ctr"/>
        <c:lblOffset val="100"/>
        <c:noMultiLvlLbl val="0"/>
      </c:catAx>
      <c:valAx>
        <c:axId val="434247488"/>
        <c:scaling>
          <c:orientation val="minMax"/>
        </c:scaling>
        <c:delete val="0"/>
        <c:axPos val="l"/>
        <c:numFmt formatCode="#,##0" sourceLinked="0"/>
        <c:majorTickMark val="none"/>
        <c:minorTickMark val="none"/>
        <c:tickLblPos val="nextTo"/>
        <c:spPr>
          <a:noFill/>
          <a:ln w="9525">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endParaRPr lang="lv-LV"/>
          </a:p>
        </c:txPr>
        <c:crossAx val="434247096"/>
        <c:crosses val="autoZero"/>
        <c:crossBetween val="between"/>
        <c:majorUnit val="50"/>
      </c:valAx>
      <c:spPr>
        <a:noFill/>
        <a:ln>
          <a:noFill/>
        </a:ln>
        <a:effectLst/>
      </c:spPr>
    </c:plotArea>
    <c:plotVisOnly val="1"/>
    <c:dispBlanksAs val="gap"/>
    <c:showDLblsOverMax val="0"/>
  </c:chart>
  <c:spPr>
    <a:solidFill>
      <a:schemeClr val="bg1"/>
    </a:solidFill>
    <a:ln w="9525">
      <a:noFill/>
      <a:round/>
    </a:ln>
    <a:effectLst/>
  </c:spPr>
  <c:txPr>
    <a:bodyPr/>
    <a:lstStyle/>
    <a:p>
      <a:pPr>
        <a:defRPr sz="70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400" b="0" i="0" u="none" strike="noStrike" kern="1200" spc="0" baseline="0">
                <a:solidFill>
                  <a:sysClr val="windowText" lastClr="000000"/>
                </a:solidFill>
                <a:latin typeface="Candara" panose="020E0502030303020204" pitchFamily="34" charset="0"/>
                <a:ea typeface="+mn-ea"/>
                <a:cs typeface="+mn-cs"/>
              </a:defRPr>
            </a:pPr>
            <a:r>
              <a:rPr lang="lv-LV" sz="1000" b="1">
                <a:latin typeface="Candara" panose="020E0502030303020204" pitchFamily="34" charset="0"/>
              </a:rPr>
              <a:t>16.attēls. Doktoru grāda ieguvēju skaita dinamika Latvijas augstskolās </a:t>
            </a:r>
            <a:r>
              <a:rPr lang="lv-LV" sz="1000" b="0">
                <a:latin typeface="Candara" panose="020E0502030303020204" pitchFamily="34" charset="0"/>
              </a:rPr>
              <a:t>(skaits)</a:t>
            </a:r>
          </a:p>
        </c:rich>
      </c:tx>
      <c:layout/>
      <c:overlay val="0"/>
      <c:spPr>
        <a:noFill/>
        <a:ln>
          <a:noFill/>
        </a:ln>
        <a:effectLst/>
      </c:spPr>
    </c:title>
    <c:autoTitleDeleted val="0"/>
    <c:plotArea>
      <c:layout/>
      <c:lineChart>
        <c:grouping val="standard"/>
        <c:varyColors val="0"/>
        <c:ser>
          <c:idx val="0"/>
          <c:order val="0"/>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Sheet1!$A$107:$A$116</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Sheet1!$B$107:$B$116</c:f>
              <c:numCache>
                <c:formatCode>General</c:formatCode>
                <c:ptCount val="10"/>
                <c:pt idx="0">
                  <c:v>146</c:v>
                </c:pt>
                <c:pt idx="1">
                  <c:v>139</c:v>
                </c:pt>
                <c:pt idx="2">
                  <c:v>174</c:v>
                </c:pt>
                <c:pt idx="3">
                  <c:v>132</c:v>
                </c:pt>
                <c:pt idx="4">
                  <c:v>287</c:v>
                </c:pt>
                <c:pt idx="5">
                  <c:v>267</c:v>
                </c:pt>
                <c:pt idx="6">
                  <c:v>315</c:v>
                </c:pt>
                <c:pt idx="7">
                  <c:v>266</c:v>
                </c:pt>
                <c:pt idx="8">
                  <c:v>263</c:v>
                </c:pt>
                <c:pt idx="9">
                  <c:v>197</c:v>
                </c:pt>
              </c:numCache>
            </c:numRef>
          </c:val>
          <c:smooth val="0"/>
          <c:extLst>
            <c:ext xmlns:c="http://schemas.openxmlformats.org/drawingml/2006/chart" xmlns:c16="http://schemas.microsoft.com/office/drawing/2014/chart" uri="{C3380CC4-5D6E-409C-BE32-E72D297353CC}">
              <c16:uniqueId val="{00000000-F940-4FBB-B05E-B122107C9F42}"/>
            </c:ext>
          </c:extLst>
        </c:ser>
        <c:dLbls>
          <c:showLegendKey val="0"/>
          <c:showVal val="0"/>
          <c:showCatName val="0"/>
          <c:showSerName val="0"/>
          <c:showPercent val="0"/>
          <c:showBubbleSize val="0"/>
        </c:dLbls>
        <c:marker val="1"/>
        <c:smooth val="0"/>
        <c:axId val="434245528"/>
        <c:axId val="434242392"/>
      </c:lineChart>
      <c:catAx>
        <c:axId val="434245528"/>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27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crossAx val="434242392"/>
        <c:crosses val="autoZero"/>
        <c:auto val="1"/>
        <c:lblAlgn val="ctr"/>
        <c:lblOffset val="100"/>
        <c:noMultiLvlLbl val="0"/>
      </c:catAx>
      <c:valAx>
        <c:axId val="434242392"/>
        <c:scaling>
          <c:orientation val="minMax"/>
        </c:scaling>
        <c:delete val="0"/>
        <c:axPos val="l"/>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crossAx val="43424552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solidFill>
            <a:sysClr val="windowText" lastClr="000000"/>
          </a:solidFill>
          <a:latin typeface="Candara" panose="020E0502030303020204" pitchFamily="34" charset="0"/>
        </a:defRPr>
      </a:pPr>
      <a:endParaRPr lang="lv-LV"/>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400" b="0" i="0" u="none" strike="noStrike" kern="1200" spc="0" baseline="0">
                <a:solidFill>
                  <a:sysClr val="windowText" lastClr="000000"/>
                </a:solidFill>
                <a:latin typeface="Candara" panose="020E0502030303020204" pitchFamily="34" charset="0"/>
                <a:ea typeface="+mn-ea"/>
                <a:cs typeface="+mn-cs"/>
              </a:defRPr>
            </a:pPr>
            <a:r>
              <a:rPr lang="lv-LV" sz="1000" b="1"/>
              <a:t>17.attēls. Zinātnisko darbinieku vecumstruktūra 2015.gadā </a:t>
            </a:r>
            <a:r>
              <a:rPr lang="lv-LV" sz="1000"/>
              <a:t>(% no kopskaita) </a:t>
            </a:r>
            <a:r>
              <a:rPr lang="lv-LV" sz="1000" b="1"/>
              <a:t>un tās izmaiņas salīdzinājumā ar 2012..gadu</a:t>
            </a:r>
          </a:p>
        </c:rich>
      </c:tx>
      <c:layout/>
      <c:overlay val="0"/>
      <c:spPr>
        <a:noFill/>
        <a:ln>
          <a:noFill/>
        </a:ln>
        <a:effectLst/>
      </c:spPr>
    </c:title>
    <c:autoTitleDeleted val="0"/>
    <c:plotArea>
      <c:layout/>
      <c:barChart>
        <c:barDir val="col"/>
        <c:grouping val="stacked"/>
        <c:varyColors val="0"/>
        <c:ser>
          <c:idx val="0"/>
          <c:order val="0"/>
          <c:spPr>
            <a:solidFill>
              <a:srgbClr val="70AD47">
                <a:lumMod val="40000"/>
                <a:lumOff val="60000"/>
              </a:srgbClr>
            </a:solidFill>
            <a:ln w="12700">
              <a:solidFill>
                <a:schemeClr val="tx1"/>
              </a:solidFill>
            </a:ln>
            <a:effectLst/>
          </c:spPr>
          <c:invertIfNegative val="0"/>
          <c:dLbls>
            <c:dLbl>
              <c:idx val="0"/>
              <c:layout>
                <c:manualLayout>
                  <c:x val="0.0047789725209079828"/>
                  <c:y val="-0.08636977058029699"/>
                </c:manualLayout>
              </c:layout>
              <c:tx>
                <c:rich>
                  <a:bodyPr vertOverflow="clip"/>
                  <a:lstStyle/>
                  <a:p>
                    <a:fld id="{93562cf7-9cba-4dbd-b436-ea18162e98d1}" type="CELLRANGE">
                      <a:rPr lang="en-US"/>
                      <a:t>1,9%</a:t>
                    </a:fld>
                    <a:endParaRPr lang="lv-LV"/>
                  </a:p>
                </c:rich>
              </c:tx>
              <c:dLblPos val="ctr"/>
              <c:showLegendKey val="0"/>
              <c:showVal val="0"/>
              <c:showCatName val="0"/>
              <c:showSerName val="0"/>
              <c:showPercent val="0"/>
              <c:showBubbleSize val="0"/>
              <c:extLst>
                <c:ext xmlns:c="http://schemas.openxmlformats.org/drawingml/2006/chart" xmlns:c16="http://schemas.microsoft.com/office/drawing/2014/chart" uri="{C3380CC4-5D6E-409C-BE32-E72D297353CC}">
                  <c16:uniqueId val="{00000000-0A12-42F0-B2DA-E31522DB9CF2}"/>
                </c:ext>
                <c:ext xmlns:c15="http://schemas.microsoft.com/office/drawing/2012/chart" uri="{CE6537A1-D6FC-4f65-9D91-7224C49458BB}">
                  <c15:showDataLabelsRange val="1"/>
                </c:ext>
              </c:extLst>
            </c:dLbl>
            <c:dLbl>
              <c:idx val="1"/>
              <c:tx>
                <c:rich>
                  <a:bodyPr vertOverflow="clip"/>
                  <a:lstStyle/>
                  <a:p>
                    <a:fld id="{f564334c-fba6-48fe-a30e-f71930467ece}" type="CELLRANGE">
                      <a:rPr lang="lv-LV"/>
                      <a:t>23,9%</a:t>
                    </a:fld>
                    <a:endParaRPr lang="lv-LV"/>
                  </a:p>
                </c:rich>
              </c:tx>
              <c:dLblPos val="ctr"/>
              <c:showLegendKey val="0"/>
              <c:showVal val="0"/>
              <c:showCatName val="0"/>
              <c:showSerName val="0"/>
              <c:showPercent val="0"/>
              <c:showBubbleSize val="0"/>
              <c:extLst>
                <c:ext xmlns:c15="http://schemas.microsoft.com/office/drawing/2012/chart" uri="{CE6537A1-D6FC-4f65-9D91-7224C49458BB}">
                  <c15:showDataLabelsRange val="1"/>
                </c:ext>
              </c:extLst>
            </c:dLbl>
            <c:dLbl>
              <c:idx val="2"/>
              <c:tx>
                <c:rich>
                  <a:bodyPr vertOverflow="clip"/>
                  <a:lstStyle/>
                  <a:p>
                    <a:fld id="{160c1b5c-6368-482c-99e1-5e2753846642}" type="CELLRANGE">
                      <a:rPr lang="lv-LV"/>
                      <a:t>23,4%</a:t>
                    </a:fld>
                    <a:endParaRPr lang="lv-LV"/>
                  </a:p>
                </c:rich>
              </c:tx>
              <c:dLblPos val="ctr"/>
              <c:showLegendKey val="0"/>
              <c:showVal val="0"/>
              <c:showCatName val="0"/>
              <c:showSerName val="0"/>
              <c:showPercent val="0"/>
              <c:showBubbleSize val="0"/>
              <c:extLst>
                <c:ext xmlns:c15="http://schemas.microsoft.com/office/drawing/2012/chart" uri="{CE6537A1-D6FC-4f65-9D91-7224C49458BB}">
                  <c15:showDataLabelsRange val="1"/>
                </c:ext>
              </c:extLst>
            </c:dLbl>
            <c:dLbl>
              <c:idx val="3"/>
              <c:tx>
                <c:rich>
                  <a:bodyPr vertOverflow="clip"/>
                  <a:lstStyle/>
                  <a:p>
                    <a:fld id="{868fafa9-3704-401d-97f8-91976525fd4b}" type="CELLRANGE">
                      <a:rPr lang="lv-LV"/>
                      <a:t>18,1%</a:t>
                    </a:fld>
                    <a:endParaRPr lang="lv-LV"/>
                  </a:p>
                </c:rich>
              </c:tx>
              <c:dLblPos val="ctr"/>
              <c:showLegendKey val="0"/>
              <c:showVal val="0"/>
              <c:showCatName val="0"/>
              <c:showSerName val="0"/>
              <c:showPercent val="0"/>
              <c:showBubbleSize val="0"/>
              <c:extLst>
                <c:ext xmlns:c15="http://schemas.microsoft.com/office/drawing/2012/chart" uri="{CE6537A1-D6FC-4f65-9D91-7224C49458BB}">
                  <c15:showDataLabelsRange val="1"/>
                </c:ext>
              </c:extLst>
            </c:dLbl>
            <c:dLbl>
              <c:idx val="4"/>
              <c:tx>
                <c:rich>
                  <a:bodyPr vertOverflow="clip"/>
                  <a:lstStyle/>
                  <a:p>
                    <a:fld id="{3b11be26-d8fe-457e-9314-1b2891446d70}" type="CELLRANGE">
                      <a:rPr lang="lv-LV"/>
                      <a:t>16,9%</a:t>
                    </a:fld>
                    <a:endParaRPr lang="lv-LV"/>
                  </a:p>
                </c:rich>
              </c:tx>
              <c:dLblPos val="ctr"/>
              <c:showLegendKey val="0"/>
              <c:showVal val="0"/>
              <c:showCatName val="0"/>
              <c:showSerName val="0"/>
              <c:showPercent val="0"/>
              <c:showBubbleSize val="0"/>
              <c:extLst>
                <c:ext xmlns:c15="http://schemas.microsoft.com/office/drawing/2012/chart" uri="{CE6537A1-D6FC-4f65-9D91-7224C49458BB}">
                  <c15:showDataLabelsRange val="1"/>
                </c:ext>
              </c:extLst>
            </c:dLbl>
            <c:dLbl>
              <c:idx val="5"/>
              <c:tx>
                <c:rich>
                  <a:bodyPr vertOverflow="clip"/>
                  <a:lstStyle/>
                  <a:p>
                    <a:fld id="{b18815fc-2143-4a8a-bda8-81d6392472ed}" type="CELLRANGE">
                      <a:rPr lang="lv-LV"/>
                      <a:t>15,9%</a:t>
                    </a:fld>
                    <a:endParaRPr lang="lv-LV"/>
                  </a:p>
                </c:rich>
              </c:tx>
              <c:dLblPos val="ctr"/>
              <c:showLegendKey val="0"/>
              <c:showVal val="0"/>
              <c:showCatName val="0"/>
              <c:showSerName val="0"/>
              <c:showPercent val="0"/>
              <c:showBubbleSize val="0"/>
              <c:extLst>
                <c:ext xmlns:c15="http://schemas.microsoft.com/office/drawing/2012/chart" uri="{CE6537A1-D6FC-4f65-9D91-7224C49458BB}">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round/>
                    </a:ln>
                    <a:effectLst/>
                  </c:spPr>
                </c15:leaderLines>
              </c:ext>
            </c:extLst>
          </c:dLbls>
          <c:cat>
            <c:strRef>
              <c:f>[ZIG0032.xlsx]ZIG0032!$R$5:$W$5</c:f>
              <c:strCache>
                <c:ptCount val="6"/>
                <c:pt idx="0">
                  <c:v>&lt;25</c:v>
                </c:pt>
                <c:pt idx="1">
                  <c:v>25-34</c:v>
                </c:pt>
                <c:pt idx="2">
                  <c:v>35-44</c:v>
                </c:pt>
                <c:pt idx="3">
                  <c:v>45-54</c:v>
                </c:pt>
                <c:pt idx="4">
                  <c:v>55-64</c:v>
                </c:pt>
                <c:pt idx="5">
                  <c:v>&gt;65</c:v>
                </c:pt>
              </c:strCache>
            </c:strRef>
          </c:cat>
          <c:val>
            <c:numRef>
              <c:f>[ZIG0032.xlsx]ZIG0032!$R$11:$W$11</c:f>
              <c:numCache>
                <c:formatCode>0.0%</c:formatCode>
                <c:ptCount val="6"/>
                <c:pt idx="0">
                  <c:v>0.018908905072186021</c:v>
                </c:pt>
                <c:pt idx="1">
                  <c:v>0.23866104510029384</c:v>
                </c:pt>
                <c:pt idx="2">
                  <c:v>0.21138211382113822</c:v>
                </c:pt>
                <c:pt idx="3">
                  <c:v>0.18052893829053276</c:v>
                </c:pt>
                <c:pt idx="4">
                  <c:v>0.16890251692858055</c:v>
                </c:pt>
                <c:pt idx="5">
                  <c:v>0.1555972482801751</c:v>
                </c:pt>
              </c:numCache>
            </c:numRef>
          </c:val>
          <c:extLst>
            <c:ext xmlns:c="http://schemas.openxmlformats.org/drawingml/2006/chart" xmlns:c16="http://schemas.microsoft.com/office/drawing/2014/chart" uri="{C3380CC4-5D6E-409C-BE32-E72D297353CC}">
              <c16:uniqueId val="{00000006-0A12-42F0-B2DA-E31522DB9CF2}"/>
            </c:ext>
            <c:ext xmlns:c15="http://schemas.microsoft.com/office/drawing/2012/chart" uri="{02D57815-91ED-43cb-92C2-25804820EDAC}">
              <c15:datalabelsRange>
                <c15:f>[ZIG0032.xlsx]ZIG0032!$R$8:$W$8</c15:f>
                <c15:dlblRangeCache>
                  <c:ptCount val="6"/>
                  <c:pt idx="0">
                    <c:v>1,9%</c:v>
                  </c:pt>
                  <c:pt idx="1">
                    <c:v>23,9%</c:v>
                  </c:pt>
                  <c:pt idx="2">
                    <c:v>23,4%</c:v>
                  </c:pt>
                  <c:pt idx="3">
                    <c:v>18,1%</c:v>
                  </c:pt>
                  <c:pt idx="4">
                    <c:v>16,9%</c:v>
                  </c:pt>
                  <c:pt idx="5">
                    <c:v>15,9%</c:v>
                  </c:pt>
                </c15:dlblRangeCache>
              </c15:datalabelsRange>
            </c:ext>
          </c:extLst>
        </c:ser>
        <c:ser>
          <c:idx val="1"/>
          <c:order val="1"/>
          <c:spPr>
            <a:solidFill>
              <a:schemeClr val="accent1"/>
            </a:solidFill>
            <a:ln w="12700">
              <a:solidFill>
                <a:schemeClr val="tx1"/>
              </a:solidFill>
            </a:ln>
            <a:effectLst/>
          </c:spPr>
          <c:invertIfNegative val="0"/>
          <c:dPt>
            <c:idx val="0"/>
            <c:invertIfNegative val="0"/>
            <c:bubble3D val="0"/>
            <c:spPr>
              <a:solidFill>
                <a:schemeClr val="accent1"/>
              </a:solidFill>
              <a:ln w="12700">
                <a:noFill/>
              </a:ln>
              <a:effectLst/>
            </c:spPr>
            <c:extLst>
              <c:ext xmlns:c="http://schemas.openxmlformats.org/drawingml/2006/chart" xmlns:c16="http://schemas.microsoft.com/office/drawing/2014/chart" uri="{C3380CC4-5D6E-409C-BE32-E72D297353CC}">
                <c16:uniqueId val="{00000008-0A12-42F0-B2DA-E31522DB9CF2}"/>
              </c:ext>
            </c:extLst>
          </c:dPt>
          <c:dPt>
            <c:idx val="2"/>
            <c:invertIfNegative val="0"/>
            <c:bubble3D val="0"/>
            <c:spPr>
              <a:solidFill>
                <a:schemeClr val="accent2"/>
              </a:solidFill>
              <a:ln w="12700">
                <a:solidFill>
                  <a:schemeClr val="tx1"/>
                </a:solidFill>
              </a:ln>
              <a:effectLst/>
            </c:spPr>
            <c:extLst>
              <c:ext xmlns:c="http://schemas.openxmlformats.org/drawingml/2006/chart" xmlns:c16="http://schemas.microsoft.com/office/drawing/2014/chart" uri="{C3380CC4-5D6E-409C-BE32-E72D297353CC}">
                <c16:uniqueId val="{0000000A-0A12-42F0-B2DA-E31522DB9CF2}"/>
              </c:ext>
            </c:extLst>
          </c:dPt>
          <c:dPt>
            <c:idx val="3"/>
            <c:invertIfNegative val="0"/>
            <c:bubble3D val="0"/>
            <c:spPr>
              <a:solidFill>
                <a:schemeClr val="accent1"/>
              </a:solidFill>
              <a:ln w="12700">
                <a:noFill/>
              </a:ln>
              <a:effectLst/>
            </c:spPr>
            <c:extLst>
              <c:ext xmlns:c="http://schemas.openxmlformats.org/drawingml/2006/chart" xmlns:c16="http://schemas.microsoft.com/office/drawing/2014/chart" uri="{C3380CC4-5D6E-409C-BE32-E72D297353CC}">
                <c16:uniqueId val="{0000000C-0A12-42F0-B2DA-E31522DB9CF2}"/>
              </c:ext>
            </c:extLst>
          </c:dPt>
          <c:dPt>
            <c:idx val="4"/>
            <c:invertIfNegative val="0"/>
            <c:bubble3D val="0"/>
            <c:spPr>
              <a:solidFill>
                <a:schemeClr val="accent1"/>
              </a:solidFill>
              <a:ln w="12700">
                <a:noFill/>
              </a:ln>
              <a:effectLst/>
            </c:spPr>
            <c:extLst>
              <c:ext xmlns:c="http://schemas.openxmlformats.org/drawingml/2006/chart" xmlns:c16="http://schemas.microsoft.com/office/drawing/2014/chart" uri="{C3380CC4-5D6E-409C-BE32-E72D297353CC}">
                <c16:uniqueId val="{0000000E-0A12-42F0-B2DA-E31522DB9CF2}"/>
              </c:ext>
            </c:extLst>
          </c:dPt>
          <c:dPt>
            <c:idx val="5"/>
            <c:invertIfNegative val="0"/>
            <c:bubble3D val="0"/>
            <c:spPr>
              <a:solidFill>
                <a:schemeClr val="accent1"/>
              </a:solidFill>
              <a:ln w="12700">
                <a:noFill/>
              </a:ln>
              <a:effectLst/>
            </c:spPr>
            <c:extLst>
              <c:ext xmlns:c="http://schemas.openxmlformats.org/drawingml/2006/chart" xmlns:c16="http://schemas.microsoft.com/office/drawing/2014/chart" uri="{C3380CC4-5D6E-409C-BE32-E72D297353CC}">
                <c16:uniqueId val="{00000010-0A12-42F0-B2DA-E31522DB9CF2}"/>
              </c:ext>
            </c:extLst>
          </c:dPt>
          <c:cat>
            <c:strRef>
              <c:f>[ZIG0032.xlsx]ZIG0032!$R$5:$W$5</c:f>
              <c:strCache>
                <c:ptCount val="6"/>
                <c:pt idx="0">
                  <c:v>&lt;25</c:v>
                </c:pt>
                <c:pt idx="1">
                  <c:v>25-34</c:v>
                </c:pt>
                <c:pt idx="2">
                  <c:v>35-44</c:v>
                </c:pt>
                <c:pt idx="3">
                  <c:v>45-54</c:v>
                </c:pt>
                <c:pt idx="4">
                  <c:v>55-64</c:v>
                </c:pt>
                <c:pt idx="5">
                  <c:v>&gt;65</c:v>
                </c:pt>
              </c:strCache>
            </c:strRef>
          </c:cat>
          <c:val>
            <c:numRef>
              <c:f>[ZIG0032.xlsx]ZIG0032!$R$12:$W$12</c:f>
              <c:numCache>
                <c:formatCode>0.00%</c:formatCode>
                <c:ptCount val="6"/>
                <c:pt idx="0">
                  <c:v>0.0076076677858502514</c:v>
                </c:pt>
                <c:pt idx="1">
                  <c:v>0.00026204572568472306</c:v>
                </c:pt>
                <c:pt idx="2">
                  <c:v>0.022807230755327867</c:v>
                </c:pt>
                <c:pt idx="3">
                  <c:v>0.013092074842675494</c:v>
                </c:pt>
                <c:pt idx="4">
                  <c:v>0.00558153560425248</c:v>
                </c:pt>
                <c:pt idx="5">
                  <c:v>0.0032120017517656141</c:v>
                </c:pt>
              </c:numCache>
            </c:numRef>
          </c:val>
          <c:extLst>
            <c:ext xmlns:c="http://schemas.openxmlformats.org/drawingml/2006/chart" xmlns:c16="http://schemas.microsoft.com/office/drawing/2014/chart" uri="{C3380CC4-5D6E-409C-BE32-E72D297353CC}">
              <c16:uniqueId val="{00000011-0A12-42F0-B2DA-E31522DB9CF2}"/>
            </c:ext>
          </c:extLst>
        </c:ser>
        <c:dLbls>
          <c:showLegendKey val="0"/>
          <c:showVal val="0"/>
          <c:showCatName val="0"/>
          <c:showSerName val="0"/>
          <c:showPercent val="0"/>
          <c:showBubbleSize val="0"/>
        </c:dLbls>
        <c:gapWidth val="0"/>
        <c:overlap val="100"/>
        <c:axId val="434249056"/>
        <c:axId val="434243176"/>
      </c:barChart>
      <c:catAx>
        <c:axId val="434249056"/>
        <c:scaling>
          <c:orientation val="minMax"/>
        </c:scaling>
        <c:delete val="0"/>
        <c:axPos val="b"/>
        <c:title>
          <c:tx>
            <c:rich>
              <a:bodyPr rot="0" spcFirstLastPara="1" vertOverflow="clip"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r>
                  <a:rPr lang="lv-LV"/>
                  <a:t>Vecuma grupa</a:t>
                </a:r>
              </a:p>
            </c:rich>
          </c:tx>
          <c:layout/>
          <c:overlay val="0"/>
          <c:spPr>
            <a:noFill/>
            <a:ln>
              <a:noFill/>
            </a:ln>
            <a:effectLst/>
          </c:spPr>
        </c:title>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crossAx val="434243176"/>
        <c:crosses val="autoZero"/>
        <c:auto val="1"/>
        <c:lblAlgn val="ctr"/>
        <c:lblOffset val="100"/>
        <c:noMultiLvlLbl val="0"/>
      </c:catAx>
      <c:valAx>
        <c:axId val="434243176"/>
        <c:scaling>
          <c:orientation val="minMax"/>
        </c:scaling>
        <c:delete val="0"/>
        <c:axPos val="l"/>
        <c:numFmt formatCode="0.0%"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crossAx val="43424905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solidFill>
            <a:sysClr val="windowText" lastClr="000000"/>
          </a:solidFill>
          <a:latin typeface="Candara" panose="020E0502030303020204" pitchFamily="34" charset="0"/>
        </a:defRPr>
      </a:pPr>
      <a:endParaRPr lang="lv-LV"/>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200" b="0" i="0" u="none" strike="noStrike" kern="1200" spc="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r>
              <a:rPr lang="lv-LV" sz="1000" b="1">
                <a:latin typeface="Candara" panose="020E0502030303020204" pitchFamily="34" charset="0"/>
              </a:rPr>
              <a:t>18.attēls.</a:t>
            </a:r>
            <a:r>
              <a:rPr lang="lv-LV" sz="1000" b="1" baseline="0">
                <a:latin typeface="Candara" panose="020E0502030303020204" pitchFamily="34" charset="0"/>
              </a:rPr>
              <a:t> </a:t>
            </a:r>
            <a:r>
              <a:rPr lang="lv-LV" sz="1000" b="1">
                <a:latin typeface="Candara" panose="020E0502030303020204" pitchFamily="34" charset="0"/>
              </a:rPr>
              <a:t>Zinātnisko darbinieku (PLE izteiksmē) īpatsvars (%) no kopējā nodarbināto skaita 2015.gadā</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5"/>
            <c:invertIfNegative val="0"/>
            <c:bubble3D val="0"/>
            <c:extLst>
              <c:ext xmlns:c="http://schemas.openxmlformats.org/drawingml/2006/chart" xmlns:c16="http://schemas.microsoft.com/office/drawing/2014/chart" uri="{C3380CC4-5D6E-409C-BE32-E72D297353CC}">
                <c16:uniqueId val="{00000001-0016-4A1F-AD3E-A6B77897897C}"/>
              </c:ext>
            </c:extLst>
          </c:dPt>
          <c:dPt>
            <c:idx val="10"/>
            <c:invertIfNegative val="0"/>
            <c:bubble3D val="0"/>
            <c:extLst>
              <c:ext xmlns:c="http://schemas.openxmlformats.org/drawingml/2006/chart" xmlns:c16="http://schemas.microsoft.com/office/drawing/2014/chart" uri="{C3380CC4-5D6E-409C-BE32-E72D297353CC}">
                <c16:uniqueId val="{00000003-0016-4A1F-AD3E-A6B77897897C}"/>
              </c:ext>
            </c:extLst>
          </c:dPt>
          <c:dPt>
            <c:idx val="11"/>
            <c:invertIfNegative val="0"/>
            <c:bubble3D val="0"/>
            <c:extLst>
              <c:ext xmlns:c="http://schemas.openxmlformats.org/drawingml/2006/chart" xmlns:c16="http://schemas.microsoft.com/office/drawing/2014/chart" uri="{C3380CC4-5D6E-409C-BE32-E72D297353CC}">
                <c16:uniqueId val="{00000005-0016-4A1F-AD3E-A6B77897897C}"/>
              </c:ext>
            </c:extLst>
          </c:dPt>
          <c:dPt>
            <c:idx val="13"/>
            <c:invertIfNegative val="0"/>
            <c:bubble3D val="0"/>
            <c:spPr>
              <a:solidFill>
                <a:schemeClr val="accent3"/>
              </a:solidFill>
              <a:ln>
                <a:noFill/>
              </a:ln>
              <a:effectLst/>
            </c:spPr>
            <c:extLst>
              <c:ext xmlns:c="http://schemas.openxmlformats.org/drawingml/2006/chart" xmlns:c16="http://schemas.microsoft.com/office/drawing/2014/chart" uri="{C3380CC4-5D6E-409C-BE32-E72D297353CC}">
                <c16:uniqueId val="{00000007-0016-4A1F-AD3E-A6B77897897C}"/>
              </c:ext>
            </c:extLst>
          </c:dPt>
          <c:dPt>
            <c:idx val="24"/>
            <c:invertIfNegative val="0"/>
            <c:bubble3D val="0"/>
            <c:extLst>
              <c:ext xmlns:c="http://schemas.openxmlformats.org/drawingml/2006/chart" xmlns:c16="http://schemas.microsoft.com/office/drawing/2014/chart" uri="{C3380CC4-5D6E-409C-BE32-E72D297353CC}">
                <c16:uniqueId val="{00000009-0016-4A1F-AD3E-A6B77897897C}"/>
              </c:ext>
            </c:extLst>
          </c:dPt>
          <c:dPt>
            <c:idx val="25"/>
            <c:invertIfNegative val="0"/>
            <c:bubble3D val="0"/>
            <c:spPr>
              <a:solidFill>
                <a:srgbClr val="FF0000"/>
              </a:solidFill>
              <a:ln>
                <a:noFill/>
              </a:ln>
              <a:effectLst/>
            </c:spPr>
            <c:extLst>
              <c:ext xmlns:c="http://schemas.openxmlformats.org/drawingml/2006/chart" xmlns:c16="http://schemas.microsoft.com/office/drawing/2014/chart" uri="{C3380CC4-5D6E-409C-BE32-E72D297353CC}">
                <c16:uniqueId val="{0000000B-0016-4A1F-AD3E-A6B77897897C}"/>
              </c:ext>
            </c:extLst>
          </c:dPt>
          <c:dPt>
            <c:idx val="26"/>
            <c:invertIfNegative val="0"/>
            <c:bubble3D val="0"/>
            <c:extLst>
              <c:ext xmlns:c="http://schemas.openxmlformats.org/drawingml/2006/chart" xmlns:c16="http://schemas.microsoft.com/office/drawing/2014/chart" uri="{C3380CC4-5D6E-409C-BE32-E72D297353CC}">
                <c16:uniqueId val="{0000000D-0016-4A1F-AD3E-A6B77897897C}"/>
              </c:ext>
            </c:extLst>
          </c:dPt>
          <c:dLbls>
            <c:dLbl>
              <c:idx val="13"/>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dLbl>
            <c:dLbl>
              <c:idx val="25"/>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'Zinātnieki % no darbaspēka'!$A$3:$A$31</c:f>
              <c:strCache>
                <c:ptCount val="29"/>
                <c:pt idx="0">
                  <c:v>Dānija</c:v>
                </c:pt>
                <c:pt idx="1">
                  <c:v>Luksemburga</c:v>
                </c:pt>
                <c:pt idx="2">
                  <c:v>Somija</c:v>
                </c:pt>
                <c:pt idx="3">
                  <c:v>Zviedrija</c:v>
                </c:pt>
                <c:pt idx="4">
                  <c:v>Austrija</c:v>
                </c:pt>
                <c:pt idx="5">
                  <c:v>Beļģija</c:v>
                </c:pt>
                <c:pt idx="6">
                  <c:v>Vācija</c:v>
                </c:pt>
                <c:pt idx="7">
                  <c:v>Nīderlande</c:v>
                </c:pt>
                <c:pt idx="8">
                  <c:v>Francija</c:v>
                </c:pt>
                <c:pt idx="9">
                  <c:v>Slovēnija</c:v>
                </c:pt>
                <c:pt idx="10">
                  <c:v>Īrija</c:v>
                </c:pt>
                <c:pt idx="11">
                  <c:v>Lielbritānija</c:v>
                </c:pt>
                <c:pt idx="12">
                  <c:v>Čehija</c:v>
                </c:pt>
                <c:pt idx="13">
                  <c:v>vidēji ES</c:v>
                </c:pt>
                <c:pt idx="14">
                  <c:v>Grieķija</c:v>
                </c:pt>
                <c:pt idx="15">
                  <c:v>Itālija</c:v>
                </c:pt>
                <c:pt idx="16">
                  <c:v>Portugāle</c:v>
                </c:pt>
                <c:pt idx="17">
                  <c:v>Spānija</c:v>
                </c:pt>
                <c:pt idx="18">
                  <c:v>Igaunija</c:v>
                </c:pt>
                <c:pt idx="19">
                  <c:v>Ungārija</c:v>
                </c:pt>
                <c:pt idx="20">
                  <c:v>Lietuva</c:v>
                </c:pt>
                <c:pt idx="21">
                  <c:v>Malta</c:v>
                </c:pt>
                <c:pt idx="22">
                  <c:v>Polija</c:v>
                </c:pt>
                <c:pt idx="23">
                  <c:v>Bulgārija</c:v>
                </c:pt>
                <c:pt idx="24">
                  <c:v>Slovākija</c:v>
                </c:pt>
                <c:pt idx="25">
                  <c:v>Latvija</c:v>
                </c:pt>
                <c:pt idx="26">
                  <c:v>Horvātija</c:v>
                </c:pt>
                <c:pt idx="27">
                  <c:v>Rumānija</c:v>
                </c:pt>
                <c:pt idx="28">
                  <c:v>Kipra</c:v>
                </c:pt>
              </c:strCache>
            </c:strRef>
          </c:cat>
          <c:val>
            <c:numRef>
              <c:f>'Zinātnieki % no darbaspēka'!$L$3:$L$31</c:f>
              <c:numCache>
                <c:formatCode>0.0</c:formatCode>
                <c:ptCount val="29"/>
                <c:pt idx="0">
                  <c:v>2.0997</c:v>
                </c:pt>
                <c:pt idx="1">
                  <c:v>2.0414</c:v>
                </c:pt>
                <c:pt idx="2">
                  <c:v>1.9231000000000003</c:v>
                </c:pt>
                <c:pt idx="3">
                  <c:v>1.6757000000000002</c:v>
                </c:pt>
                <c:pt idx="4">
                  <c:v>1.6049999999999998</c:v>
                </c:pt>
                <c:pt idx="5">
                  <c:v>1.5823</c:v>
                </c:pt>
                <c:pt idx="6">
                  <c:v>1.4927</c:v>
                </c:pt>
                <c:pt idx="7">
                  <c:v>1.4718</c:v>
                </c:pt>
                <c:pt idx="8">
                  <c:v>1.4349</c:v>
                </c:pt>
                <c:pt idx="9">
                  <c:v>1.434</c:v>
                </c:pt>
                <c:pt idx="10">
                  <c:v>1.4008</c:v>
                </c:pt>
                <c:pt idx="11">
                  <c:v>1.3118</c:v>
                </c:pt>
                <c:pt idx="12">
                  <c:v>1.2773</c:v>
                </c:pt>
                <c:pt idx="13">
                  <c:v>1.1981</c:v>
                </c:pt>
                <c:pt idx="14">
                  <c:v>1.0661</c:v>
                </c:pt>
                <c:pt idx="15">
                  <c:v>0.9927</c:v>
                </c:pt>
                <c:pt idx="16">
                  <c:v>0.9795</c:v>
                </c:pt>
                <c:pt idx="17">
                  <c:v>0.8823</c:v>
                </c:pt>
                <c:pt idx="18">
                  <c:v>0.83549999999999991</c:v>
                </c:pt>
                <c:pt idx="19">
                  <c:v>0.82189999999999985</c:v>
                </c:pt>
                <c:pt idx="20">
                  <c:v>0.7338</c:v>
                </c:pt>
                <c:pt idx="21">
                  <c:v>0.7209</c:v>
                </c:pt>
                <c:pt idx="22">
                  <c:v>0.7208</c:v>
                </c:pt>
                <c:pt idx="23">
                  <c:v>0.6844</c:v>
                </c:pt>
                <c:pt idx="24">
                  <c:v>0.647</c:v>
                </c:pt>
                <c:pt idx="25">
                  <c:v>0.5772</c:v>
                </c:pt>
                <c:pt idx="26">
                  <c:v>0.5686</c:v>
                </c:pt>
                <c:pt idx="27">
                  <c:v>0.3537</c:v>
                </c:pt>
                <c:pt idx="28">
                  <c:v>0.3015</c:v>
                </c:pt>
              </c:numCache>
            </c:numRef>
          </c:val>
          <c:extLst>
            <c:ext xmlns:c="http://schemas.openxmlformats.org/drawingml/2006/chart" xmlns:c16="http://schemas.microsoft.com/office/drawing/2014/chart" uri="{C3380CC4-5D6E-409C-BE32-E72D297353CC}">
              <c16:uniqueId val="{0000000E-0016-4A1F-AD3E-A6B77897897C}"/>
            </c:ext>
          </c:extLst>
        </c:ser>
        <c:dLbls>
          <c:showLegendKey val="0"/>
          <c:showVal val="0"/>
          <c:showCatName val="0"/>
          <c:showSerName val="0"/>
          <c:showPercent val="0"/>
          <c:showBubbleSize val="0"/>
        </c:dLbls>
        <c:gapWidth val="59"/>
        <c:overlap val="-27"/>
        <c:axId val="434241608"/>
        <c:axId val="434243568"/>
      </c:barChart>
      <c:catAx>
        <c:axId val="434241608"/>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crossAx val="434243568"/>
        <c:crosses val="autoZero"/>
        <c:auto val="1"/>
        <c:lblAlgn val="ctr"/>
        <c:lblOffset val="100"/>
        <c:noMultiLvlLbl val="0"/>
      </c:catAx>
      <c:valAx>
        <c:axId val="434243568"/>
        <c:scaling>
          <c:orientation val="minMax"/>
        </c:scaling>
        <c:delete val="0"/>
        <c:axPos val="l"/>
        <c:numFmt formatCode="0.0" sourceLinked="1"/>
        <c:majorTickMark val="none"/>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crossAx val="43424160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00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19.attēls. STEM īpatsvars no studējošo un absolve</a:t>
            </a:r>
            <a:r>
              <a:rPr lang="lv-LV" sz="1000" b="1" baseline="0">
                <a:latin typeface="Candara" panose="020E0502030303020204" pitchFamily="34" charset="0"/>
              </a:rPr>
              <a:t>ntu</a:t>
            </a:r>
            <a:r>
              <a:rPr lang="lv-LV" sz="1000" b="1">
                <a:latin typeface="Candara" panose="020E0502030303020204" pitchFamily="34" charset="0"/>
              </a:rPr>
              <a:t> kopskaita</a:t>
            </a:r>
          </a:p>
        </c:rich>
      </c:tx>
      <c:layout/>
      <c:overlay val="0"/>
      <c:spPr>
        <a:noFill/>
        <a:ln>
          <a:noFill/>
        </a:ln>
        <a:effectLst/>
      </c:spPr>
    </c:title>
    <c:autoTitleDeleted val="0"/>
    <c:plotArea>
      <c:layout/>
      <c:lineChart>
        <c:grouping val="standard"/>
        <c:varyColors val="0"/>
        <c:ser>
          <c:idx val="0"/>
          <c:order val="0"/>
          <c:tx>
            <c:v>% no studējošajiem</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Sheet1!$A$86:$A$95</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Sheet1!$T$86:$T$95</c:f>
              <c:numCache>
                <c:formatCode>0.0%</c:formatCode>
                <c:ptCount val="10"/>
                <c:pt idx="0">
                  <c:v>0.15961432506887052</c:v>
                </c:pt>
                <c:pt idx="1">
                  <c:v>0.16260869565217392</c:v>
                </c:pt>
                <c:pt idx="2">
                  <c:v>0.17986762027453246</c:v>
                </c:pt>
                <c:pt idx="3">
                  <c:v>0.19883024031142202</c:v>
                </c:pt>
                <c:pt idx="4">
                  <c:v>0.21012005977224713</c:v>
                </c:pt>
                <c:pt idx="5">
                  <c:v>0.2137201769799098</c:v>
                </c:pt>
                <c:pt idx="6">
                  <c:v>0.22776396060805459</c:v>
                </c:pt>
                <c:pt idx="7">
                  <c:v>0.23138994655395256</c:v>
                </c:pt>
                <c:pt idx="8">
                  <c:v>0.23948173987328256</c:v>
                </c:pt>
                <c:pt idx="9">
                  <c:v>0.24937887449646623</c:v>
                </c:pt>
              </c:numCache>
            </c:numRef>
          </c:val>
          <c:smooth val="0"/>
          <c:extLst>
            <c:ext xmlns:c="http://schemas.openxmlformats.org/drawingml/2006/chart" xmlns:c16="http://schemas.microsoft.com/office/drawing/2014/chart" uri="{C3380CC4-5D6E-409C-BE32-E72D297353CC}">
              <c16:uniqueId val="{00000000-D766-444C-A237-D50AAFED03D6}"/>
            </c:ext>
          </c:extLst>
        </c:ser>
        <c:ser>
          <c:idx val="1"/>
          <c:order val="1"/>
          <c:tx>
            <c:v>% no absolventiem</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Sheet1!$A$86:$A$95</c:f>
              <c:strCache>
                <c:ptCount val="10"/>
                <c:pt idx="0">
                  <c:v>2007/08</c:v>
                </c:pt>
                <c:pt idx="1">
                  <c:v>2008/09</c:v>
                </c:pt>
                <c:pt idx="2">
                  <c:v>2009/10</c:v>
                </c:pt>
                <c:pt idx="3">
                  <c:v>2010/11</c:v>
                </c:pt>
                <c:pt idx="4">
                  <c:v>2011/12</c:v>
                </c:pt>
                <c:pt idx="5">
                  <c:v>2012/13</c:v>
                </c:pt>
                <c:pt idx="6">
                  <c:v>2013/14</c:v>
                </c:pt>
                <c:pt idx="7">
                  <c:v>2014/15</c:v>
                </c:pt>
                <c:pt idx="8">
                  <c:v>2015/16</c:v>
                </c:pt>
                <c:pt idx="9">
                  <c:v>2016/17</c:v>
                </c:pt>
              </c:strCache>
            </c:strRef>
          </c:cat>
          <c:val>
            <c:numRef>
              <c:f>Sheet1!$U$86:$U$95</c:f>
              <c:numCache>
                <c:formatCode>0.0%</c:formatCode>
                <c:ptCount val="10"/>
                <c:pt idx="0">
                  <c:v>0.11833987661245092</c:v>
                </c:pt>
                <c:pt idx="1">
                  <c:v>0.12793150514952228</c:v>
                </c:pt>
                <c:pt idx="2">
                  <c:v>0.13404083515976467</c:v>
                </c:pt>
                <c:pt idx="3">
                  <c:v>0.14283561282543988</c:v>
                </c:pt>
                <c:pt idx="4">
                  <c:v>0.15726764078412431</c:v>
                </c:pt>
                <c:pt idx="5">
                  <c:v>0.18800074529532326</c:v>
                </c:pt>
                <c:pt idx="6">
                  <c:v>0.17724916697519438</c:v>
                </c:pt>
                <c:pt idx="7">
                  <c:v>0.20414031052328924</c:v>
                </c:pt>
                <c:pt idx="8">
                  <c:v>0.19634569061747253</c:v>
                </c:pt>
                <c:pt idx="9">
                  <c:v>0.19840465940744492</c:v>
                </c:pt>
              </c:numCache>
            </c:numRef>
          </c:val>
          <c:smooth val="0"/>
          <c:extLst>
            <c:ext xmlns:c="http://schemas.openxmlformats.org/drawingml/2006/chart" xmlns:c16="http://schemas.microsoft.com/office/drawing/2014/chart" uri="{C3380CC4-5D6E-409C-BE32-E72D297353CC}">
              <c16:uniqueId val="{00000001-D766-444C-A237-D50AAFED03D6}"/>
            </c:ext>
          </c:extLst>
        </c:ser>
        <c:dLbls>
          <c:showLegendKey val="0"/>
          <c:showVal val="0"/>
          <c:showCatName val="0"/>
          <c:showSerName val="0"/>
          <c:showPercent val="0"/>
          <c:showBubbleSize val="0"/>
        </c:dLbls>
        <c:marker val="1"/>
        <c:smooth val="0"/>
        <c:axId val="434243960"/>
        <c:axId val="434245920"/>
      </c:lineChart>
      <c:catAx>
        <c:axId val="434243960"/>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27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4245920"/>
        <c:crosses val="autoZero"/>
        <c:auto val="1"/>
        <c:lblAlgn val="ctr"/>
        <c:lblOffset val="100"/>
        <c:noMultiLvlLbl val="0"/>
      </c:catAx>
      <c:valAx>
        <c:axId val="434245920"/>
        <c:scaling>
          <c:orientation val="minMax"/>
        </c:scaling>
        <c:delete val="0"/>
        <c:axPos val="l"/>
        <c:numFmt formatCode="0.0%" sourceLinked="1"/>
        <c:majorTickMark val="none"/>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4243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Narrow" panose="020B0606020202030204" pitchFamily="34" charset="0"/>
        </a:defRPr>
      </a:pPr>
      <a:endParaRPr lang="lv-LV"/>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r>
              <a:rPr lang="lv-LV" sz="1000" b="1" i="0" u="none" strike="noStrike" baseline="0">
                <a:effectLst/>
                <a:latin typeface="Candara" panose="020E0502030303020204" pitchFamily="34" charset="0"/>
              </a:rPr>
              <a:t>20.attēls. Absolventu </a:t>
            </a:r>
            <a:r>
              <a:rPr lang="lv-LV" sz="1000" b="1" baseline="0">
                <a:latin typeface="Candara" panose="020E0502030303020204" pitchFamily="34" charset="0"/>
              </a:rPr>
              <a:t>skaita dinamika Latvijas augstskolās </a:t>
            </a:r>
            <a:r>
              <a:rPr lang="lv-LV" sz="1000" b="0" baseline="0">
                <a:latin typeface="Candara" panose="020E0502030303020204" pitchFamily="34" charset="0"/>
              </a:rPr>
              <a:t>(skaits)</a:t>
            </a:r>
            <a:endParaRPr lang="lv-LV" sz="1000" b="0">
              <a:latin typeface="Candara" panose="020E0502030303020204" pitchFamily="34" charset="0"/>
            </a:endParaRPr>
          </a:p>
        </c:rich>
      </c:tx>
      <c:layout/>
      <c:overlay val="0"/>
      <c:spPr>
        <a:noFill/>
        <a:ln>
          <a:noFill/>
        </a:ln>
        <a:effectLst/>
      </c:spPr>
    </c:title>
    <c:autoTitleDeleted val="0"/>
    <c:plotArea>
      <c:layout/>
      <c:lineChart>
        <c:grouping val="standard"/>
        <c:varyColors val="0"/>
        <c:ser>
          <c:idx val="0"/>
          <c:order val="0"/>
          <c:tx>
            <c:v>Reālais</c:v>
          </c:tx>
          <c:spPr>
            <a:ln w="28575" cap="rnd">
              <a:solidFill>
                <a:schemeClr val="tx2"/>
              </a:solidFill>
              <a:round/>
            </a:ln>
            <a:effectLst/>
          </c:spPr>
          <c:marker>
            <c:symbol val="circle"/>
            <c:size val="5"/>
            <c:spPr>
              <a:solidFill>
                <a:schemeClr val="tx2"/>
              </a:solidFill>
              <a:ln w="9525">
                <a:solidFill>
                  <a:schemeClr val="tx2"/>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Sheet1!$A$86:$A$99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Sheet1!$C$86:$C$99</c:f>
              <c:numCache>
                <c:formatCode>General</c:formatCode>
                <c:ptCount val="14"/>
                <c:pt idx="0">
                  <c:v>26745</c:v>
                </c:pt>
                <c:pt idx="1">
                  <c:v>24177</c:v>
                </c:pt>
                <c:pt idx="2">
                  <c:v>26007</c:v>
                </c:pt>
                <c:pt idx="3">
                  <c:v>26541</c:v>
                </c:pt>
                <c:pt idx="4">
                  <c:v>24843</c:v>
                </c:pt>
                <c:pt idx="5">
                  <c:v>21468</c:v>
                </c:pt>
                <c:pt idx="6">
                  <c:v>21608</c:v>
                </c:pt>
                <c:pt idx="7">
                  <c:v>17390</c:v>
                </c:pt>
                <c:pt idx="8">
                  <c:v>17021</c:v>
                </c:pt>
                <c:pt idx="9">
                  <c:v>15796</c:v>
                </c:pt>
              </c:numCache>
            </c:numRef>
          </c:val>
          <c:smooth val="0"/>
          <c:extLst>
            <c:ext xmlns:c="http://schemas.openxmlformats.org/drawingml/2006/chart" xmlns:c16="http://schemas.microsoft.com/office/drawing/2014/chart" uri="{C3380CC4-5D6E-409C-BE32-E72D297353CC}">
              <c16:uniqueId val="{00000000-5341-45F8-A5DD-978C4B01F749}"/>
            </c:ext>
          </c:extLst>
        </c:ser>
        <c:ser>
          <c:idx val="1"/>
          <c:order val="1"/>
          <c:tx>
            <c:v>Plānotais ZTAI pamatnostādnēs</c:v>
          </c:tx>
          <c:spPr>
            <a:ln w="28575" cap="rnd">
              <a:solidFill>
                <a:schemeClr val="tx2"/>
              </a:solidFill>
              <a:prstDash val="sysDot"/>
              <a:round/>
            </a:ln>
            <a:effectLst/>
          </c:spPr>
          <c:marker>
            <c:symbol val="circle"/>
            <c:size val="5"/>
            <c:spPr>
              <a:solidFill>
                <a:schemeClr val="tx2"/>
              </a:solidFill>
              <a:ln w="9525">
                <a:solidFill>
                  <a:schemeClr val="tx2"/>
                </a:solidFill>
                <a:prstDash val="sysDot"/>
              </a:ln>
              <a:effectLst/>
            </c:spPr>
          </c:marker>
          <c:dLbls>
            <c:dLbl>
              <c:idx val="4"/>
              <c:delete val="1"/>
              <c:extLst>
                <c:ext xmlns:c="http://schemas.openxmlformats.org/drawingml/2006/chart" xmlns:c16="http://schemas.microsoft.com/office/drawing/2014/chart" uri="{C3380CC4-5D6E-409C-BE32-E72D297353CC}">
                  <c16:uniqueId val="{00000001-5341-45F8-A5DD-978C4B01F749}"/>
                </c:ext>
                <c:ext xmlns:c15="http://schemas.microsoft.com/office/drawing/2012/chart" uri="{CE6537A1-D6FC-4f65-9D91-7224C49458BB}"/>
              </c:extLst>
            </c:dLbl>
            <c:dLbl>
              <c:idx val="5"/>
              <c:delete val="1"/>
              <c:extLst>
                <c:ext xmlns:c="http://schemas.openxmlformats.org/drawingml/2006/chart" xmlns:c16="http://schemas.microsoft.com/office/drawing/2014/chart" uri="{C3380CC4-5D6E-409C-BE32-E72D297353CC}">
                  <c16:uniqueId val="{00000002-5341-45F8-A5DD-978C4B01F749}"/>
                </c:ext>
                <c:ext xmlns:c15="http://schemas.microsoft.com/office/drawing/2012/chart" uri="{CE6537A1-D6FC-4f65-9D91-7224C49458BB}"/>
              </c:extLst>
            </c:dLbl>
            <c:dLbl>
              <c:idx val="6"/>
              <c:delete val="1"/>
              <c:extLst>
                <c:ext xmlns:c="http://schemas.openxmlformats.org/drawingml/2006/chart" xmlns:c16="http://schemas.microsoft.com/office/drawing/2014/chart" uri="{C3380CC4-5D6E-409C-BE32-E72D297353CC}">
                  <c16:uniqueId val="{00000003-5341-45F8-A5DD-978C4B01F749}"/>
                </c:ext>
                <c:ext xmlns:c15="http://schemas.microsoft.com/office/drawing/2012/chart" uri="{CE6537A1-D6FC-4f65-9D91-7224C49458BB}"/>
              </c:extLst>
            </c:dLbl>
            <c:dLbl>
              <c:idx val="8"/>
              <c:delete val="1"/>
              <c:extLst>
                <c:ext xmlns:c="http://schemas.openxmlformats.org/drawingml/2006/chart" xmlns:c16="http://schemas.microsoft.com/office/drawing/2014/chart" uri="{C3380CC4-5D6E-409C-BE32-E72D297353CC}">
                  <c16:uniqueId val="{00000004-5341-45F8-A5DD-978C4B01F749}"/>
                </c:ext>
                <c:ext xmlns:c15="http://schemas.microsoft.com/office/drawing/2012/chart" uri="{CE6537A1-D6FC-4f65-9D91-7224C49458BB}"/>
              </c:extLst>
            </c:dLbl>
            <c:dLbl>
              <c:idx val="9"/>
              <c:delete val="1"/>
              <c:extLst>
                <c:ext xmlns:c="http://schemas.openxmlformats.org/drawingml/2006/chart" xmlns:c16="http://schemas.microsoft.com/office/drawing/2014/chart" uri="{C3380CC4-5D6E-409C-BE32-E72D297353CC}">
                  <c16:uniqueId val="{00000005-5341-45F8-A5DD-978C4B01F749}"/>
                </c:ext>
                <c:ext xmlns:c15="http://schemas.microsoft.com/office/drawing/2012/chart" uri="{CE6537A1-D6FC-4f65-9D91-7224C49458BB}"/>
              </c:extLst>
            </c:dLbl>
            <c:dLbl>
              <c:idx val="11"/>
              <c:delete val="1"/>
              <c:extLst>
                <c:ext xmlns:c="http://schemas.openxmlformats.org/drawingml/2006/chart" xmlns:c16="http://schemas.microsoft.com/office/drawing/2014/chart" uri="{C3380CC4-5D6E-409C-BE32-E72D297353CC}">
                  <c16:uniqueId val="{00000006-5341-45F8-A5DD-978C4B01F749}"/>
                </c:ext>
                <c:ext xmlns:c15="http://schemas.microsoft.com/office/drawing/2012/chart" uri="{CE6537A1-D6FC-4f65-9D91-7224C49458BB}"/>
              </c:extLst>
            </c:dLbl>
            <c:dLbl>
              <c:idx val="12"/>
              <c:delete val="1"/>
              <c:extLst>
                <c:ext xmlns:c="http://schemas.openxmlformats.org/drawingml/2006/chart" xmlns:c16="http://schemas.microsoft.com/office/drawing/2014/chart" uri="{C3380CC4-5D6E-409C-BE32-E72D297353CC}">
                  <c16:uniqueId val="{00000007-5341-45F8-A5DD-978C4B01F74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Narrow" panose="020B0606020202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Sheet1!$A$86:$A$99</c:f>
              <c:strCache>
                <c:ptCount val="14"/>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strCache>
            </c:strRef>
          </c:cat>
          <c:val>
            <c:numRef>
              <c:f>Sheet1!$D$86:$D$99</c:f>
              <c:numCache>
                <c:formatCode>General</c:formatCode>
                <c:ptCount val="14"/>
                <c:pt idx="4">
                  <c:v>24843</c:v>
                </c:pt>
                <c:pt idx="5" formatCode="0">
                  <c:v>24528.666666666668</c:v>
                </c:pt>
                <c:pt idx="6" formatCode="0">
                  <c:v>24214.333333333336</c:v>
                </c:pt>
                <c:pt idx="7">
                  <c:v>23900</c:v>
                </c:pt>
                <c:pt idx="8" formatCode="0">
                  <c:v>23966.666666666668</c:v>
                </c:pt>
                <c:pt idx="9" formatCode="0">
                  <c:v>24033.333333333336</c:v>
                </c:pt>
                <c:pt idx="10">
                  <c:v>24100</c:v>
                </c:pt>
                <c:pt idx="11" formatCode="0">
                  <c:v>24266.666666666668</c:v>
                </c:pt>
                <c:pt idx="12" formatCode="0">
                  <c:v>24433.333333333336</c:v>
                </c:pt>
                <c:pt idx="13">
                  <c:v>24600</c:v>
                </c:pt>
              </c:numCache>
            </c:numRef>
          </c:val>
          <c:smooth val="0"/>
          <c:extLst>
            <c:ext xmlns:c="http://schemas.openxmlformats.org/drawingml/2006/chart" xmlns:c16="http://schemas.microsoft.com/office/drawing/2014/chart" uri="{C3380CC4-5D6E-409C-BE32-E72D297353CC}">
              <c16:uniqueId val="{00000008-5341-45F8-A5DD-978C4B01F749}"/>
            </c:ext>
          </c:extLst>
        </c:ser>
        <c:dLbls>
          <c:showLegendKey val="0"/>
          <c:showVal val="0"/>
          <c:showCatName val="0"/>
          <c:showSerName val="0"/>
          <c:showPercent val="0"/>
          <c:showBubbleSize val="0"/>
        </c:dLbls>
        <c:marker val="1"/>
        <c:smooth val="0"/>
        <c:axId val="434246704"/>
        <c:axId val="434244352"/>
      </c:lineChart>
      <c:catAx>
        <c:axId val="434246704"/>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27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4244352"/>
        <c:crosses val="autoZero"/>
        <c:auto val="1"/>
        <c:lblAlgn val="ctr"/>
        <c:lblOffset val="100"/>
        <c:noMultiLvlLbl val="0"/>
      </c:catAx>
      <c:valAx>
        <c:axId val="434244352"/>
        <c:scaling>
          <c:orientation val="minMax"/>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4246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Narrow" panose="020B0606020202030204" pitchFamily="34" charset="0"/>
        </a:defRPr>
      </a:pPr>
      <a:endParaRPr lang="lv-LV"/>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80" b="0"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21.attēls. Eiropas patentu ofisa pieškirtie patenti Latvijas rezidentiem </a:t>
            </a:r>
            <a:r>
              <a:rPr lang="lv-LV" sz="1000">
                <a:latin typeface="Candara" panose="020E0502030303020204" pitchFamily="34" charset="0"/>
              </a:rPr>
              <a:t>(skaits)</a:t>
            </a:r>
          </a:p>
        </c:rich>
      </c:tx>
      <c:layout>
        <c:manualLayout>
          <c:xMode val="edge"/>
          <c:yMode val="edge"/>
          <c:x val="0.12344260981778973"/>
          <c:y val="0.027972027972027972"/>
        </c:manualLayout>
      </c:layout>
      <c:overlay val="0"/>
      <c:spPr>
        <a:noFill/>
        <a:ln>
          <a:noFill/>
        </a:ln>
        <a:effectLst/>
      </c:spPr>
    </c:title>
    <c:autoTitleDeleted val="0"/>
    <c:plotArea>
      <c:layout/>
      <c:lineChart>
        <c:grouping val="standar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3</c:v>
                </c:pt>
                <c:pt idx="1">
                  <c:v>3</c:v>
                </c:pt>
                <c:pt idx="2">
                  <c:v>2</c:v>
                </c:pt>
                <c:pt idx="3">
                  <c:v>8</c:v>
                </c:pt>
                <c:pt idx="4">
                  <c:v>11</c:v>
                </c:pt>
                <c:pt idx="5">
                  <c:v>7</c:v>
                </c:pt>
                <c:pt idx="6">
                  <c:v>5</c:v>
                </c:pt>
                <c:pt idx="7">
                  <c:v>13</c:v>
                </c:pt>
                <c:pt idx="8">
                  <c:v>8</c:v>
                </c:pt>
                <c:pt idx="9">
                  <c:v>16</c:v>
                </c:pt>
              </c:numCache>
            </c:numRef>
          </c:val>
          <c:smooth val="0"/>
          <c:extLst>
            <c:ext xmlns:c="http://schemas.openxmlformats.org/drawingml/2006/chart" xmlns:c16="http://schemas.microsoft.com/office/drawing/2014/chart" uri="{C3380CC4-5D6E-409C-BE32-E72D297353CC}">
              <c16:uniqueId val="{00000000-E0F3-4306-89DD-6E3E1A08227C}"/>
            </c:ext>
          </c:extLst>
        </c:ser>
        <c:ser>
          <c:idx val="0"/>
          <c:order val="1"/>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General</c:formatCode>
                <c:ptCount val="10"/>
                <c:pt idx="0">
                  <c:v>3</c:v>
                </c:pt>
                <c:pt idx="1">
                  <c:v>3</c:v>
                </c:pt>
                <c:pt idx="2">
                  <c:v>2</c:v>
                </c:pt>
                <c:pt idx="3">
                  <c:v>8</c:v>
                </c:pt>
                <c:pt idx="4">
                  <c:v>11</c:v>
                </c:pt>
                <c:pt idx="5">
                  <c:v>7</c:v>
                </c:pt>
                <c:pt idx="6">
                  <c:v>5</c:v>
                </c:pt>
                <c:pt idx="7">
                  <c:v>13</c:v>
                </c:pt>
                <c:pt idx="8">
                  <c:v>8</c:v>
                </c:pt>
                <c:pt idx="9">
                  <c:v>16</c:v>
                </c:pt>
              </c:numCache>
            </c:numRef>
          </c:val>
          <c:smooth val="0"/>
          <c:extLst>
            <c:ext xmlns:c="http://schemas.openxmlformats.org/drawingml/2006/chart" xmlns:c16="http://schemas.microsoft.com/office/drawing/2014/chart" uri="{C3380CC4-5D6E-409C-BE32-E72D297353CC}">
              <c16:uniqueId val="{00000001-E0F3-4306-89DD-6E3E1A08227C}"/>
            </c:ext>
          </c:extLst>
        </c:ser>
        <c:dLbls>
          <c:showLegendKey val="0"/>
          <c:showVal val="0"/>
          <c:showCatName val="0"/>
          <c:showSerName val="0"/>
          <c:showPercent val="0"/>
          <c:showBubbleSize val="0"/>
        </c:dLbls>
        <c:marker val="1"/>
        <c:smooth val="0"/>
        <c:axId val="434245136"/>
        <c:axId val="435718584"/>
      </c:lineChart>
      <c:catAx>
        <c:axId val="434245136"/>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18584"/>
        <c:crosses val="autoZero"/>
        <c:auto val="1"/>
        <c:lblAlgn val="ctr"/>
        <c:lblOffset val="100"/>
        <c:noMultiLvlLbl val="0"/>
      </c:catAx>
      <c:valAx>
        <c:axId val="435718584"/>
        <c:scaling>
          <c:orientation val="minMax"/>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424513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solidFill>
            <a:sysClr val="windowText" lastClr="000000"/>
          </a:solidFill>
          <a:latin typeface="Arial Narrow" panose="020B0606020202030204" pitchFamily="34"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355112582983346"/>
          <c:y val="0.022353356699729373"/>
          <c:w val="0.49930061974192391"/>
          <c:h val="0.848985616983144"/>
        </c:manualLayout>
      </c:layout>
      <c:barChart>
        <c:barDir val="bar"/>
        <c:grouping val="clustered"/>
        <c:varyColors val="0"/>
        <c:ser>
          <c:idx val="0"/>
          <c:order val="0"/>
          <c:tx>
            <c:strRef>
              <c:f>Sheet1!$B$1</c:f>
              <c:strCache>
                <c:ptCount val="1"/>
                <c:pt idx="0">
                  <c:v>Vācija </c:v>
                </c:pt>
              </c:strCache>
            </c:strRef>
          </c:tx>
          <c:spPr>
            <a:solidFill>
              <a:srgbClr val="4BACC6">
                <a:lumMod val="75000"/>
              </a:srgbClr>
            </a:solidFill>
            <a:ln w="3175">
              <a:solidFill>
                <a:prstClr val="black"/>
              </a:solidFill>
            </a:ln>
          </c:spPr>
          <c:invertIfNegative val="0"/>
          <c:cat>
            <c:strRef>
              <c:f>Sheet1!$A$2:$A$5</c:f>
              <c:strCache>
                <c:ptCount val="4"/>
                <c:pt idx="0">
                  <c:v>Zemo tehnoloģiju nozares</c:v>
                </c:pt>
                <c:pt idx="1">
                  <c:v>Vidēji zemo tehnoloģiju nozares</c:v>
                </c:pt>
                <c:pt idx="2">
                  <c:v>Vidēji augsto tehnoloģiju nozares</c:v>
                </c:pt>
                <c:pt idx="3">
                  <c:v>Augsto tehnoloģiju nozares</c:v>
                </c:pt>
              </c:strCache>
            </c:strRef>
          </c:cat>
          <c:val>
            <c:numRef>
              <c:f>Sheet1!$B$2:$B$5</c:f>
              <c:numCache>
                <c:formatCode>General</c:formatCode>
                <c:ptCount val="4"/>
                <c:pt idx="0">
                  <c:v>48</c:v>
                </c:pt>
                <c:pt idx="1">
                  <c:v>60.5</c:v>
                </c:pt>
                <c:pt idx="2">
                  <c:v>87.5</c:v>
                </c:pt>
                <c:pt idx="3">
                  <c:v>97.3</c:v>
                </c:pt>
              </c:numCache>
            </c:numRef>
          </c:val>
          <c:extLst>
            <c:ext xmlns:c="http://schemas.openxmlformats.org/drawingml/2006/chart" xmlns:c16="http://schemas.microsoft.com/office/drawing/2014/chart" uri="{C3380CC4-5D6E-409C-BE32-E72D297353CC}">
              <c16:uniqueId val="{00000000-D7C3-479E-BCA2-A2E5568E38C4}"/>
            </c:ext>
          </c:extLst>
        </c:ser>
        <c:ser>
          <c:idx val="1"/>
          <c:order val="1"/>
          <c:tx>
            <c:strRef>
              <c:f>Sheet1!$C$1</c:f>
              <c:strCache>
                <c:ptCount val="1"/>
                <c:pt idx="0">
                  <c:v>Latvija</c:v>
                </c:pt>
              </c:strCache>
            </c:strRef>
          </c:tx>
          <c:spPr>
            <a:solidFill>
              <a:srgbClr val="C00000"/>
            </a:solidFill>
            <a:ln w="3175">
              <a:solidFill>
                <a:schemeClr val="tx1"/>
              </a:solidFill>
            </a:ln>
          </c:spPr>
          <c:invertIfNegative val="0"/>
          <c:cat>
            <c:strRef>
              <c:f>Sheet1!$A$2:$A$5</c:f>
              <c:strCache>
                <c:ptCount val="4"/>
                <c:pt idx="0">
                  <c:v>Zemo tehnoloģiju nozares</c:v>
                </c:pt>
                <c:pt idx="1">
                  <c:v>Vidēji zemo tehnoloģiju nozares</c:v>
                </c:pt>
                <c:pt idx="2">
                  <c:v>Vidēji augsto tehnoloģiju nozares</c:v>
                </c:pt>
                <c:pt idx="3">
                  <c:v>Augsto tehnoloģiju nozares</c:v>
                </c:pt>
              </c:strCache>
            </c:strRef>
          </c:cat>
          <c:val>
            <c:numRef>
              <c:f>Sheet1!$C$2:$C$5</c:f>
              <c:numCache>
                <c:formatCode>General</c:formatCode>
                <c:ptCount val="4"/>
                <c:pt idx="0">
                  <c:v>14.3</c:v>
                </c:pt>
                <c:pt idx="1">
                  <c:v>17</c:v>
                </c:pt>
                <c:pt idx="2">
                  <c:v>18.8</c:v>
                </c:pt>
                <c:pt idx="3">
                  <c:v>37</c:v>
                </c:pt>
              </c:numCache>
            </c:numRef>
          </c:val>
          <c:extLst>
            <c:ext xmlns:c="http://schemas.openxmlformats.org/drawingml/2006/chart" xmlns:c16="http://schemas.microsoft.com/office/drawing/2014/chart" uri="{C3380CC4-5D6E-409C-BE32-E72D297353CC}">
              <c16:uniqueId val="{00000001-D7C3-479E-BCA2-A2E5568E38C4}"/>
            </c:ext>
          </c:extLst>
        </c:ser>
        <c:dLbls>
          <c:showLegendKey val="0"/>
          <c:showVal val="0"/>
          <c:showCatName val="0"/>
          <c:showSerName val="0"/>
          <c:showPercent val="0"/>
          <c:showBubbleSize val="0"/>
        </c:dLbls>
        <c:gapWidth val="50"/>
        <c:axId val="430249024"/>
        <c:axId val="430251768"/>
      </c:barChart>
      <c:catAx>
        <c:axId val="430249024"/>
        <c:scaling>
          <c:orientation val="minMax"/>
        </c:scaling>
        <c:delete val="0"/>
        <c:axPos val="l"/>
        <c:numFmt formatCode="General" sourceLinked="0"/>
        <c:majorTickMark val="out"/>
        <c:minorTickMark val="none"/>
        <c:tickLblPos val="nextTo"/>
        <c:crossAx val="430251768"/>
        <c:crosses val="autoZero"/>
        <c:auto val="1"/>
        <c:lblAlgn val="ctr"/>
        <c:lblOffset val="100"/>
        <c:noMultiLvlLbl val="0"/>
      </c:catAx>
      <c:valAx>
        <c:axId val="430251768"/>
        <c:scaling>
          <c:orientation val="minMax"/>
        </c:scaling>
        <c:delete val="0"/>
        <c:axPos val="b"/>
        <c:numFmt formatCode="General" sourceLinked="1"/>
        <c:majorTickMark val="out"/>
        <c:minorTickMark val="none"/>
        <c:tickLblPos val="nextTo"/>
        <c:crossAx val="430249024"/>
        <c:crosses val="autoZero"/>
        <c:crossBetween val="between"/>
        <c:majorUnit val="25"/>
      </c:valAx>
      <c:spPr>
        <a:noFill/>
        <a:ln w="25348">
          <a:noFill/>
        </a:ln>
      </c:spPr>
    </c:plotArea>
    <c:legend>
      <c:legendPos val="r"/>
      <c:layout>
        <c:manualLayout>
          <c:xMode val="edge"/>
          <c:yMode val="edge"/>
          <c:x val="0.70447476323524072"/>
          <c:y val="0.65307773836199179"/>
          <c:w val="0.18192929411639017"/>
          <c:h val="0.16812257717938917"/>
        </c:manualLayout>
      </c:layout>
      <c:overlay val="0"/>
      <c:spPr>
        <a:noFill/>
      </c:spPr>
    </c:legend>
    <c:plotVisOnly val="1"/>
    <c:dispBlanksAs val="gap"/>
    <c:showDLblsOverMax val="0"/>
  </c:chart>
  <c:spPr>
    <a:noFill/>
    <a:ln w="6350">
      <a:noFill/>
    </a:ln>
  </c:spPr>
  <c:txPr>
    <a:bodyPr/>
    <a:lstStyle/>
    <a:p>
      <a:pPr>
        <a:defRPr sz="500">
          <a:latin typeface="Arial Narrow" pitchFamily="34" charset="0"/>
        </a:defRPr>
      </a:pPr>
      <a:endParaRPr lang="lv-L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80" b="0"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22.attēls. Latvijas patentu valdes izsniegtie patenti, pamatojoties uz nacionālajiem pieteikumiem </a:t>
            </a:r>
            <a:r>
              <a:rPr lang="lv-LV" sz="1000">
                <a:latin typeface="Candara" panose="020E0502030303020204" pitchFamily="34" charset="0"/>
              </a:rPr>
              <a:t>(skaits)</a:t>
            </a:r>
          </a:p>
        </c:rich>
      </c:tx>
      <c:layout/>
      <c:overlay val="0"/>
      <c:spPr>
        <a:noFill/>
        <a:ln>
          <a:noFill/>
        </a:ln>
        <a:effectLst/>
      </c:spPr>
    </c:title>
    <c:autoTitleDeleted val="0"/>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General</c:formatCode>
                <c:ptCount val="10"/>
                <c:pt idx="0">
                  <c:v>110</c:v>
                </c:pt>
                <c:pt idx="1">
                  <c:v>163</c:v>
                </c:pt>
                <c:pt idx="2">
                  <c:v>194</c:v>
                </c:pt>
                <c:pt idx="3">
                  <c:v>184</c:v>
                </c:pt>
                <c:pt idx="4">
                  <c:v>180</c:v>
                </c:pt>
                <c:pt idx="5">
                  <c:v>154</c:v>
                </c:pt>
                <c:pt idx="6">
                  <c:v>136</c:v>
                </c:pt>
                <c:pt idx="7">
                  <c:v>144</c:v>
                </c:pt>
                <c:pt idx="8">
                  <c:v>147</c:v>
                </c:pt>
                <c:pt idx="9">
                  <c:v>68</c:v>
                </c:pt>
              </c:numCache>
            </c:numRef>
          </c:val>
          <c:smooth val="0"/>
          <c:extLst>
            <c:ext xmlns:c="http://schemas.openxmlformats.org/drawingml/2006/chart" xmlns:c16="http://schemas.microsoft.com/office/drawing/2014/chart" uri="{C3380CC4-5D6E-409C-BE32-E72D297353CC}">
              <c16:uniqueId val="{00000000-1531-466B-8DC9-10E7324034A8}"/>
            </c:ext>
          </c:extLst>
        </c:ser>
        <c:dLbls>
          <c:showLegendKey val="0"/>
          <c:showVal val="0"/>
          <c:showCatName val="0"/>
          <c:showSerName val="0"/>
          <c:showPercent val="0"/>
          <c:showBubbleSize val="0"/>
        </c:dLbls>
        <c:marker val="1"/>
        <c:smooth val="0"/>
        <c:axId val="435720936"/>
        <c:axId val="435723680"/>
      </c:lineChart>
      <c:catAx>
        <c:axId val="435720936"/>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23680"/>
        <c:crosses val="autoZero"/>
        <c:auto val="1"/>
        <c:lblAlgn val="ctr"/>
        <c:lblOffset val="100"/>
        <c:noMultiLvlLbl val="0"/>
      </c:catAx>
      <c:valAx>
        <c:axId val="435723680"/>
        <c:scaling>
          <c:orientation val="minMax"/>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2093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solidFill>
            <a:sysClr val="windowText" lastClr="000000"/>
          </a:solidFill>
          <a:latin typeface="Arial Narrow" panose="020B0606020202030204" pitchFamily="34" charset="0"/>
        </a:defRPr>
      </a:pPr>
      <a:endParaRPr lang="lv-LV"/>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000" b="1" i="0" u="none" strike="noStrike" kern="1200" spc="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r>
              <a:rPr lang="lv-LV" sz="1000" b="1">
                <a:latin typeface="Candara" panose="020E0502030303020204" pitchFamily="34" charset="0"/>
              </a:rPr>
              <a:t>23.attēls. Publikāciju skaita dinamika </a:t>
            </a:r>
            <a:r>
              <a:rPr lang="lv-LV" sz="1000" b="1" i="1">
                <a:latin typeface="Candara" panose="020E0502030303020204" pitchFamily="34" charset="0"/>
              </a:rPr>
              <a:t>SCOPUS</a:t>
            </a:r>
            <a:r>
              <a:rPr lang="lv-LV" sz="1000" b="1">
                <a:latin typeface="Candara" panose="020E0502030303020204" pitchFamily="34" charset="0"/>
              </a:rPr>
              <a:t> </a:t>
            </a:r>
            <a:r>
              <a:rPr lang="lv-LV" sz="1000" b="1" i="0">
                <a:latin typeface="Candara" panose="020E0502030303020204" pitchFamily="34" charset="0"/>
              </a:rPr>
              <a:t>un</a:t>
            </a:r>
            <a:r>
              <a:rPr lang="lv-LV" sz="1000" b="1" i="1">
                <a:latin typeface="Candara" panose="020E0502030303020204" pitchFamily="34" charset="0"/>
              </a:rPr>
              <a:t> Web of Science </a:t>
            </a:r>
            <a:r>
              <a:rPr lang="lv-LV" sz="1000" b="1">
                <a:latin typeface="Candara" panose="020E0502030303020204" pitchFamily="34" charset="0"/>
              </a:rPr>
              <a:t>datubāzēs</a:t>
            </a:r>
          </a:p>
        </c:rich>
      </c:tx>
      <c:layout>
        <c:manualLayout>
          <c:xMode val="edge"/>
          <c:yMode val="edge"/>
          <c:x val="0.1966173193868008"/>
          <c:y val="0.033057851239669422"/>
        </c:manualLayout>
      </c:layout>
      <c:overlay val="0"/>
      <c:spPr>
        <a:noFill/>
        <a:ln>
          <a:noFill/>
        </a:ln>
        <a:effectLst/>
      </c:spPr>
    </c:title>
    <c:autoTitleDeleted val="0"/>
    <c:plotArea>
      <c:layout/>
      <c:lineChart>
        <c:grouping val="standard"/>
        <c:varyColors val="0"/>
        <c:ser>
          <c:idx val="0"/>
          <c:order val="0"/>
          <c:tx>
            <c:strRef>
              <c:f>Publikācijas!$B$2</c:f>
              <c:strCache>
                <c:ptCount val="1"/>
                <c:pt idx="0">
                  <c:v>SCOPUS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0.048944444444444443"/>
                  <c:y val="-0.067164260717410329"/>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DE0B-4746-BBDD-1FBA79B968D9}"/>
                </c:ext>
                <c:ext xmlns:c15="http://schemas.microsoft.com/office/drawing/2012/chart" uri="{CE6537A1-D6FC-4f65-9D91-7224C49458BB}"/>
              </c:extLst>
            </c:dLbl>
            <c:dLbl>
              <c:idx val="6"/>
              <c:layout>
                <c:manualLayout>
                  <c:x val="-0.051722222222222322"/>
                  <c:y val="-0.067164260717410329"/>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DE0B-4746-BBDD-1FBA79B968D9}"/>
                </c:ext>
                <c:ext xmlns:c15="http://schemas.microsoft.com/office/drawing/2012/chart" uri="{CE6537A1-D6FC-4f65-9D91-7224C49458BB}"/>
              </c:extLst>
            </c:dLbl>
            <c:dLbl>
              <c:idx val="8"/>
              <c:layout>
                <c:manualLayout>
                  <c:x val="-0.051722222222222225"/>
                  <c:y val="-0.067164260717410329"/>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DE0B-4746-BBDD-1FBA79B968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Publikācijas!$A$3:$A$12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Publikācijas!$B$3:$B$12</c:f>
              <c:numCache>
                <c:formatCode>General</c:formatCode>
                <c:ptCount val="10"/>
                <c:pt idx="0">
                  <c:v>972</c:v>
                </c:pt>
                <c:pt idx="1">
                  <c:v>857</c:v>
                </c:pt>
                <c:pt idx="2">
                  <c:v>922</c:v>
                </c:pt>
                <c:pt idx="3">
                  <c:v>1032</c:v>
                </c:pt>
                <c:pt idx="4">
                  <c:v>1650</c:v>
                </c:pt>
                <c:pt idx="5">
                  <c:v>1565</c:v>
                </c:pt>
                <c:pt idx="6">
                  <c:v>1660</c:v>
                </c:pt>
                <c:pt idx="7">
                  <c:v>1601</c:v>
                </c:pt>
                <c:pt idx="8">
                  <c:v>1992</c:v>
                </c:pt>
                <c:pt idx="9">
                  <c:v>1820</c:v>
                </c:pt>
              </c:numCache>
            </c:numRef>
          </c:val>
          <c:smooth val="0"/>
          <c:extLst>
            <c:ext xmlns:c="http://schemas.openxmlformats.org/drawingml/2006/chart" xmlns:c16="http://schemas.microsoft.com/office/drawing/2014/chart" uri="{C3380CC4-5D6E-409C-BE32-E72D297353CC}">
              <c16:uniqueId val="{00000003-DE0B-4746-BBDD-1FBA79B968D9}"/>
            </c:ext>
          </c:extLst>
        </c:ser>
        <c:ser>
          <c:idx val="1"/>
          <c:order val="1"/>
          <c:tx>
            <c:strRef>
              <c:f>Publikācijas!$C$2</c:f>
              <c:strCache>
                <c:ptCount val="1"/>
                <c:pt idx="0">
                  <c:v>Web of Science</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4"/>
              <c:layout>
                <c:manualLayout>
                  <c:x val="-0.048944444444444443"/>
                  <c:y val="0.05790500145815098"/>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4-DE0B-4746-BBDD-1FBA79B968D9}"/>
                </c:ext>
                <c:ext xmlns:c15="http://schemas.microsoft.com/office/drawing/2012/chart" uri="{CE6537A1-D6FC-4f65-9D91-7224C49458BB}"/>
              </c:extLst>
            </c:dLbl>
            <c:dLbl>
              <c:idx val="6"/>
              <c:layout>
                <c:manualLayout>
                  <c:x val="-0.048944444444444443"/>
                  <c:y val="0.053275371828521434"/>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5-DE0B-4746-BBDD-1FBA79B968D9}"/>
                </c:ext>
                <c:ext xmlns:c15="http://schemas.microsoft.com/office/drawing/2012/chart" uri="{CE6537A1-D6FC-4f65-9D91-7224C49458BB}"/>
              </c:extLst>
            </c:dLbl>
            <c:dLbl>
              <c:idx val="8"/>
              <c:layout>
                <c:manualLayout>
                  <c:x val="-0.046166666666666765"/>
                  <c:y val="0.067164260717410287"/>
                </c:manualLayout>
              </c:layout>
              <c:dLblPos val="r"/>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6-DE0B-4746-BBDD-1FBA79B968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Publikācijas!$A$3:$A$12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Publikācijas!$C$3:$C$12</c:f>
              <c:numCache>
                <c:formatCode>General</c:formatCode>
                <c:ptCount val="10"/>
                <c:pt idx="0">
                  <c:v>843</c:v>
                </c:pt>
                <c:pt idx="1">
                  <c:v>1064</c:v>
                </c:pt>
                <c:pt idx="2">
                  <c:v>1018</c:v>
                </c:pt>
                <c:pt idx="3">
                  <c:v>1228</c:v>
                </c:pt>
                <c:pt idx="4">
                  <c:v>1731</c:v>
                </c:pt>
                <c:pt idx="5">
                  <c:v>1745</c:v>
                </c:pt>
                <c:pt idx="6">
                  <c:v>1656</c:v>
                </c:pt>
                <c:pt idx="7">
                  <c:v>1674</c:v>
                </c:pt>
                <c:pt idx="8">
                  <c:v>1978</c:v>
                </c:pt>
                <c:pt idx="9">
                  <c:v>2172</c:v>
                </c:pt>
              </c:numCache>
            </c:numRef>
          </c:val>
          <c:smooth val="0"/>
          <c:extLst>
            <c:ext xmlns:c="http://schemas.openxmlformats.org/drawingml/2006/chart" xmlns:c16="http://schemas.microsoft.com/office/drawing/2014/chart" uri="{C3380CC4-5D6E-409C-BE32-E72D297353CC}">
              <c16:uniqueId val="{00000007-DE0B-4746-BBDD-1FBA79B968D9}"/>
            </c:ext>
          </c:extLst>
        </c:ser>
        <c:dLbls>
          <c:showLegendKey val="0"/>
          <c:showVal val="0"/>
          <c:showCatName val="0"/>
          <c:showSerName val="0"/>
          <c:showPercent val="0"/>
          <c:showBubbleSize val="0"/>
        </c:dLbls>
        <c:marker val="1"/>
        <c:smooth val="0"/>
        <c:axId val="435722504"/>
        <c:axId val="435719368"/>
      </c:lineChart>
      <c:catAx>
        <c:axId val="435722504"/>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crossAx val="435719368"/>
        <c:crosses val="autoZero"/>
        <c:auto val="1"/>
        <c:lblAlgn val="ctr"/>
        <c:lblOffset val="100"/>
        <c:noMultiLvlLbl val="0"/>
      </c:catAx>
      <c:valAx>
        <c:axId val="435719368"/>
        <c:scaling>
          <c:orientation val="minMax"/>
        </c:scaling>
        <c:delete val="0"/>
        <c:axPos val="l"/>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crossAx val="435722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legend>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080" b="0"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24.attēls. SCOPUS</a:t>
            </a:r>
            <a:r>
              <a:rPr lang="lv-LV" sz="1000" b="1" baseline="0">
                <a:latin typeface="Candara" panose="020E0502030303020204" pitchFamily="34" charset="0"/>
              </a:rPr>
              <a:t> publikāciju īpatsvars (%) top 10 % žurnālu </a:t>
            </a:r>
            <a:r>
              <a:rPr lang="lv-LV" sz="1000" b="0" baseline="0">
                <a:latin typeface="Candara" panose="020E0502030303020204" pitchFamily="34" charset="0"/>
              </a:rPr>
              <a:t>(pēc SNIP)</a:t>
            </a:r>
            <a:endParaRPr lang="lv-LV" sz="1000" b="0">
              <a:latin typeface="Candara" panose="020E0502030303020204" pitchFamily="34" charset="0"/>
            </a:endParaRPr>
          </a:p>
        </c:rich>
      </c:tx>
      <c:layout>
        <c:manualLayout>
          <c:xMode val="edge"/>
          <c:yMode val="edge"/>
          <c:x val="0.12344260981778973"/>
          <c:y val="0.027972027972027972"/>
        </c:manualLayout>
      </c:layout>
      <c:overlay val="0"/>
      <c:spPr>
        <a:noFill/>
        <a:ln>
          <a:noFill/>
        </a:ln>
        <a:effectLst/>
      </c:spPr>
    </c:title>
    <c:autoTitleDeleted val="0"/>
    <c:plotArea>
      <c:layout/>
      <c:lineChart>
        <c:grouping val="standard"/>
        <c:varyColors val="0"/>
        <c:ser>
          <c:idx val="1"/>
          <c:order val="0"/>
          <c:spPr>
            <a:ln w="28575" cap="rnd">
              <a:solidFill>
                <a:schemeClr val="bg2">
                  <a:lumMod val="25000"/>
                </a:schemeClr>
              </a:solidFill>
              <a:round/>
            </a:ln>
            <a:effectLst/>
          </c:spPr>
          <c:marker>
            <c:symbol val="circle"/>
            <c:size val="5"/>
            <c:spPr>
              <a:solidFill>
                <a:schemeClr val="bg2">
                  <a:lumMod val="25000"/>
                </a:schemeClr>
              </a:solidFill>
              <a:ln w="9525">
                <a:solidFill>
                  <a:schemeClr val="bg2">
                    <a:lumMod val="2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Sheet1!$B$35:$K$35</c:f>
              <c:numCache>
                <c:formatCode>General</c:formatCode>
                <c:ptCount val="10"/>
                <c:pt idx="0">
                  <c:v>9.2</c:v>
                </c:pt>
                <c:pt idx="1">
                  <c:v>11.6</c:v>
                </c:pt>
                <c:pt idx="2">
                  <c:v>11.4</c:v>
                </c:pt>
                <c:pt idx="3">
                  <c:v>7.5</c:v>
                </c:pt>
                <c:pt idx="4">
                  <c:v>9.1</c:v>
                </c:pt>
                <c:pt idx="5">
                  <c:v>8.1</c:v>
                </c:pt>
                <c:pt idx="6">
                  <c:v>8.9</c:v>
                </c:pt>
                <c:pt idx="7">
                  <c:v>9.9</c:v>
                </c:pt>
                <c:pt idx="8">
                  <c:v>9.7</c:v>
                </c:pt>
                <c:pt idx="9">
                  <c:v>12.4</c:v>
                </c:pt>
              </c:numCache>
            </c:numRef>
          </c:val>
          <c:smooth val="0"/>
          <c:extLst>
            <c:ext xmlns:c="http://schemas.openxmlformats.org/drawingml/2006/chart" xmlns:c16="http://schemas.microsoft.com/office/drawing/2014/chart" uri="{C3380CC4-5D6E-409C-BE32-E72D297353CC}">
              <c16:uniqueId val="{00000000-AF4A-41C3-8BA6-02004A79BC5D}"/>
            </c:ext>
          </c:extLst>
        </c:ser>
        <c:dLbls>
          <c:showLegendKey val="0"/>
          <c:showVal val="0"/>
          <c:showCatName val="0"/>
          <c:showSerName val="0"/>
          <c:showPercent val="0"/>
          <c:showBubbleSize val="0"/>
        </c:dLbls>
        <c:marker val="1"/>
        <c:smooth val="0"/>
        <c:axId val="435716232"/>
        <c:axId val="435719760"/>
      </c:lineChart>
      <c:catAx>
        <c:axId val="435716232"/>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19760"/>
        <c:crosses val="autoZero"/>
        <c:auto val="1"/>
        <c:lblAlgn val="ctr"/>
        <c:lblOffset val="100"/>
        <c:noMultiLvlLbl val="0"/>
      </c:catAx>
      <c:valAx>
        <c:axId val="435719760"/>
        <c:scaling>
          <c:orientation val="minMax"/>
        </c:scaling>
        <c:delete val="0"/>
        <c:axPos val="l"/>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1623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solidFill>
            <a:sysClr val="windowText" lastClr="000000"/>
          </a:solidFill>
          <a:latin typeface="Arial Narrow" panose="020B0606020202030204" pitchFamily="34" charset="0"/>
        </a:defRPr>
      </a:pPr>
      <a:endParaRPr lang="lv-LV"/>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080" b="0"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25.attēls. Latvijas zinātnisko</a:t>
            </a:r>
            <a:r>
              <a:rPr lang="lv-LV" sz="1000" b="1" baseline="0">
                <a:latin typeface="Candara" panose="020E0502030303020204" pitchFamily="34" charset="0"/>
              </a:rPr>
              <a:t> publikāciju īpatsvars no ES-28 kopējā publikāciju skaita </a:t>
            </a:r>
            <a:r>
              <a:rPr lang="lv-LV" sz="1000" baseline="0">
                <a:latin typeface="Candara" panose="020E0502030303020204" pitchFamily="34" charset="0"/>
              </a:rPr>
              <a:t>(SCOPUS)</a:t>
            </a:r>
            <a:endParaRPr lang="lv-LV" sz="1000">
              <a:latin typeface="Candara" panose="020E0502030303020204" pitchFamily="34" charset="0"/>
            </a:endParaRPr>
          </a:p>
        </c:rich>
      </c:tx>
      <c:layout>
        <c:manualLayout>
          <c:xMode val="edge"/>
          <c:yMode val="edge"/>
          <c:x val="0.12344260981778973"/>
          <c:y val="0.027972027972027972"/>
        </c:manualLayout>
      </c:layout>
      <c:overlay val="0"/>
      <c:spPr>
        <a:noFill/>
        <a:ln>
          <a:noFill/>
        </a:ln>
        <a:effectLst/>
      </c:spPr>
    </c:title>
    <c:autoTitleDeleted val="0"/>
    <c:plotArea>
      <c:layout/>
      <c:barChart>
        <c:barDir val="col"/>
        <c:grouping val="clustered"/>
        <c:varyColors val="0"/>
        <c:ser>
          <c:idx val="1"/>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Sheet1!$B$3:$K$3</c:f>
              <c:numCache>
                <c:formatCode>0.00%</c:formatCode>
                <c:ptCount val="10"/>
                <c:pt idx="0">
                  <c:v>0.0010310299772739939</c:v>
                </c:pt>
                <c:pt idx="1">
                  <c:v>0.0012500349274465021</c:v>
                </c:pt>
                <c:pt idx="2">
                  <c:v>0.0012841798862342933</c:v>
                </c:pt>
                <c:pt idx="3">
                  <c:v>0.0013977794581683833</c:v>
                </c:pt>
                <c:pt idx="4">
                  <c:v>0.0021322153795047235</c:v>
                </c:pt>
                <c:pt idx="5">
                  <c:v>0.0018818234287016873</c:v>
                </c:pt>
                <c:pt idx="6">
                  <c:v>0.0019556192244438264</c:v>
                </c:pt>
                <c:pt idx="7">
                  <c:v>0.0018353304575975179</c:v>
                </c:pt>
                <c:pt idx="8">
                  <c:v>0.0023171954278094079</c:v>
                </c:pt>
                <c:pt idx="9">
                  <c:v>0.0021361472443582595</c:v>
                </c:pt>
              </c:numCache>
            </c:numRef>
          </c:val>
          <c:extLst>
            <c:ext xmlns:c="http://schemas.openxmlformats.org/drawingml/2006/chart" xmlns:c16="http://schemas.microsoft.com/office/drawing/2014/chart" uri="{C3380CC4-5D6E-409C-BE32-E72D297353CC}">
              <c16:uniqueId val="{00000000-763E-4567-9ABC-A8B1D36CB777}"/>
            </c:ext>
          </c:extLst>
        </c:ser>
        <c:dLbls>
          <c:showLegendKey val="0"/>
          <c:showVal val="0"/>
          <c:showCatName val="0"/>
          <c:showSerName val="0"/>
          <c:showPercent val="0"/>
          <c:showBubbleSize val="0"/>
        </c:dLbls>
        <c:gapWidth val="38"/>
        <c:axId val="435718976"/>
        <c:axId val="435720152"/>
      </c:barChart>
      <c:catAx>
        <c:axId val="435718976"/>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20152"/>
        <c:crosses val="autoZero"/>
        <c:auto val="1"/>
        <c:lblAlgn val="ctr"/>
        <c:lblOffset val="100"/>
        <c:noMultiLvlLbl val="0"/>
      </c:catAx>
      <c:valAx>
        <c:axId val="435720152"/>
        <c:scaling>
          <c:orientation val="minMax"/>
          <c:min val="0"/>
        </c:scaling>
        <c:delete val="0"/>
        <c:axPos val="l"/>
        <c:numFmt formatCode="0.00%" sourceLinked="1"/>
        <c:majorTickMark val="none"/>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1897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solidFill>
            <a:sysClr val="windowText" lastClr="000000"/>
          </a:solidFill>
          <a:latin typeface="Arial Narrow" panose="020B0606020202030204" pitchFamily="34" charset="0"/>
        </a:defRPr>
      </a:pPr>
      <a:endParaRPr lang="lv-LV"/>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80" b="0"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26.attēls.</a:t>
            </a:r>
            <a:r>
              <a:rPr lang="lv-LV" sz="1000" b="1" baseline="0">
                <a:latin typeface="Candara" panose="020E0502030303020204" pitchFamily="34" charset="0"/>
              </a:rPr>
              <a:t> </a:t>
            </a:r>
            <a:r>
              <a:rPr lang="lv-LV" sz="1000" b="1">
                <a:latin typeface="Candara" panose="020E0502030303020204" pitchFamily="34" charset="0"/>
              </a:rPr>
              <a:t>Latvijas zinātnisko</a:t>
            </a:r>
            <a:r>
              <a:rPr lang="lv-LV" sz="1000" b="1" baseline="0">
                <a:latin typeface="Candara" panose="020E0502030303020204" pitchFamily="34" charset="0"/>
              </a:rPr>
              <a:t> publikāciju īpatsvars no ES-28 kopējā publikāciju skaita </a:t>
            </a:r>
            <a:r>
              <a:rPr lang="lv-LV" sz="1000" baseline="0">
                <a:latin typeface="Candara" panose="020E0502030303020204" pitchFamily="34" charset="0"/>
              </a:rPr>
              <a:t>(SCOPUS)</a:t>
            </a:r>
            <a:endParaRPr lang="lv-LV" sz="1000">
              <a:latin typeface="Candara" panose="020E0502030303020204" pitchFamily="34" charset="0"/>
            </a:endParaRPr>
          </a:p>
        </c:rich>
      </c:tx>
      <c:layout>
        <c:manualLayout>
          <c:xMode val="edge"/>
          <c:yMode val="edge"/>
          <c:x val="0.12344260981778973"/>
          <c:y val="0.027972027972027972"/>
        </c:manualLayout>
      </c:layout>
      <c:overlay val="0"/>
      <c:spPr>
        <a:noFill/>
        <a:ln>
          <a:noFill/>
        </a:ln>
        <a:effectLst/>
      </c:spPr>
    </c:title>
    <c:autoTitleDeleted val="0"/>
    <c:plotArea>
      <c:layout/>
      <c:lineChart>
        <c:grouping val="standard"/>
        <c:varyColors val="0"/>
        <c:ser>
          <c:idx val="1"/>
          <c:order val="0"/>
          <c:tx>
            <c:strRef>
              <c:f>Sheet1!$A$4</c:f>
              <c:strCache>
                <c:ptCount val="1"/>
                <c:pt idx="0">
                  <c:v>Lauksaimniecības zinātnes</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numRef>
              <c:f>Sheet1!$B$2:$K$2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Sheet1!$B$4:$K$4</c:f>
              <c:numCache>
                <c:formatCode>0.00%</c:formatCode>
                <c:ptCount val="10"/>
                <c:pt idx="0">
                  <c:v>0.000945936112930219</c:v>
                </c:pt>
                <c:pt idx="1">
                  <c:v>0.0013070096993877691</c:v>
                </c:pt>
                <c:pt idx="2">
                  <c:v>0.0021446361036804723</c:v>
                </c:pt>
                <c:pt idx="3">
                  <c:v>0.0028975741239892182</c:v>
                </c:pt>
                <c:pt idx="4">
                  <c:v>0.0049505946750920691</c:v>
                </c:pt>
                <c:pt idx="5">
                  <c:v>0.0038589440364198957</c:v>
                </c:pt>
                <c:pt idx="6">
                  <c:v>0.0039741344469890879</c:v>
                </c:pt>
                <c:pt idx="7">
                  <c:v>0.0041248868171300176</c:v>
                </c:pt>
                <c:pt idx="8">
                  <c:v>0.0045111240217354156</c:v>
                </c:pt>
                <c:pt idx="9">
                  <c:v>0.0055470978354069328</c:v>
                </c:pt>
              </c:numCache>
            </c:numRef>
          </c:val>
          <c:smooth val="0"/>
          <c:extLst>
            <c:ext xmlns:c="http://schemas.openxmlformats.org/drawingml/2006/chart" xmlns:c16="http://schemas.microsoft.com/office/drawing/2014/chart" uri="{C3380CC4-5D6E-409C-BE32-E72D297353CC}">
              <c16:uniqueId val="{00000000-3AB2-4A35-AB8D-F2390D826E36}"/>
            </c:ext>
          </c:extLst>
        </c:ser>
        <c:ser>
          <c:idx val="0"/>
          <c:order val="1"/>
          <c:tx>
            <c:strRef>
              <c:f>Sheet1!$A$5</c:f>
              <c:strCache>
                <c:ptCount val="1"/>
                <c:pt idx="0">
                  <c:v>Inženierzinātnes un tehnoloģijas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val>
            <c:numRef>
              <c:f>Sheet1!$B$5:$K$5</c:f>
              <c:numCache>
                <c:formatCode>0.00%</c:formatCode>
                <c:ptCount val="10"/>
                <c:pt idx="0">
                  <c:v>0.0015705724323207275</c:v>
                </c:pt>
                <c:pt idx="1">
                  <c:v>0.0024040165767577359</c:v>
                </c:pt>
                <c:pt idx="2">
                  <c:v>0.0023899744904277188</c:v>
                </c:pt>
                <c:pt idx="3">
                  <c:v>0.0029270169069785614</c:v>
                </c:pt>
                <c:pt idx="4">
                  <c:v>0.0045356583638118016</c:v>
                </c:pt>
                <c:pt idx="5">
                  <c:v>0.0042129985196068609</c:v>
                </c:pt>
                <c:pt idx="6">
                  <c:v>0.0037720684759021618</c:v>
                </c:pt>
                <c:pt idx="7">
                  <c:v>0.003338426128020953</c:v>
                </c:pt>
                <c:pt idx="8">
                  <c:v>0.0043662278962810245</c:v>
                </c:pt>
                <c:pt idx="9">
                  <c:v>0.0034288019362646227</c:v>
                </c:pt>
              </c:numCache>
            </c:numRef>
          </c:val>
          <c:smooth val="0"/>
          <c:extLst>
            <c:ext xmlns:c="http://schemas.openxmlformats.org/drawingml/2006/chart" xmlns:c16="http://schemas.microsoft.com/office/drawing/2014/chart" uri="{C3380CC4-5D6E-409C-BE32-E72D297353CC}">
              <c16:uniqueId val="{00000001-3AB2-4A35-AB8D-F2390D826E36}"/>
            </c:ext>
          </c:extLst>
        </c:ser>
        <c:ser>
          <c:idx val="2"/>
          <c:order val="2"/>
          <c:tx>
            <c:strRef>
              <c:f>Sheet1!$A$6</c:f>
              <c:strCache>
                <c:ptCount val="1"/>
                <c:pt idx="0">
                  <c:v>Dabaszinātnes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Sheet1!$B$6:$K$6</c:f>
              <c:numCache>
                <c:formatCode>0.00%</c:formatCode>
                <c:ptCount val="10"/>
                <c:pt idx="0">
                  <c:v>0.0014435086382454663</c:v>
                </c:pt>
                <c:pt idx="1">
                  <c:v>0.0014829933340706407</c:v>
                </c:pt>
                <c:pt idx="2">
                  <c:v>0.0015261924722168483</c:v>
                </c:pt>
                <c:pt idx="3">
                  <c:v>0.001615802310715246</c:v>
                </c:pt>
                <c:pt idx="4">
                  <c:v>0.0025477507192858233</c:v>
                </c:pt>
                <c:pt idx="5">
                  <c:v>0.0023522361225559968</c:v>
                </c:pt>
                <c:pt idx="6">
                  <c:v>0.00229274868590179</c:v>
                </c:pt>
                <c:pt idx="7">
                  <c:v>0.002185201386863679</c:v>
                </c:pt>
                <c:pt idx="8">
                  <c:v>0.0029849707337745958</c:v>
                </c:pt>
                <c:pt idx="9">
                  <c:v>0.00264406363747904</c:v>
                </c:pt>
              </c:numCache>
            </c:numRef>
          </c:val>
          <c:smooth val="0"/>
          <c:extLst>
            <c:ext xmlns:c="http://schemas.openxmlformats.org/drawingml/2006/chart" xmlns:c16="http://schemas.microsoft.com/office/drawing/2014/chart" uri="{C3380CC4-5D6E-409C-BE32-E72D297353CC}">
              <c16:uniqueId val="{00000002-3AB2-4A35-AB8D-F2390D826E36}"/>
            </c:ext>
          </c:extLst>
        </c:ser>
        <c:ser>
          <c:idx val="3"/>
          <c:order val="3"/>
          <c:tx>
            <c:strRef>
              <c:f>Sheet1!$A$7</c:f>
              <c:strCache>
                <c:ptCount val="1"/>
                <c:pt idx="0">
                  <c:v>Medicīna un veselības zinātnes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Sheet1!$B$7:$K$7</c:f>
              <c:numCache>
                <c:formatCode>0.00%</c:formatCode>
                <c:ptCount val="10"/>
                <c:pt idx="0">
                  <c:v>0.00045037906904978357</c:v>
                </c:pt>
                <c:pt idx="1">
                  <c:v>0.00066930736472945894</c:v>
                </c:pt>
                <c:pt idx="2">
                  <c:v>0.00044362403239207339</c:v>
                </c:pt>
                <c:pt idx="3">
                  <c:v>0.00051442549823728324</c:v>
                </c:pt>
                <c:pt idx="4">
                  <c:v>0.00076418718747710051</c:v>
                </c:pt>
                <c:pt idx="5">
                  <c:v>0.00066571752484906007</c:v>
                </c:pt>
                <c:pt idx="6">
                  <c:v>0.000983998908078631</c:v>
                </c:pt>
                <c:pt idx="7">
                  <c:v>0.00086500863537532257</c:v>
                </c:pt>
                <c:pt idx="8">
                  <c:v>0.00082927241146386183</c:v>
                </c:pt>
                <c:pt idx="9">
                  <c:v>0.00090688949631039168</c:v>
                </c:pt>
              </c:numCache>
            </c:numRef>
          </c:val>
          <c:smooth val="0"/>
          <c:extLst>
            <c:ext xmlns:c="http://schemas.openxmlformats.org/drawingml/2006/chart" xmlns:c16="http://schemas.microsoft.com/office/drawing/2014/chart" uri="{C3380CC4-5D6E-409C-BE32-E72D297353CC}">
              <c16:uniqueId val="{00000003-3AB2-4A35-AB8D-F2390D826E36}"/>
            </c:ext>
          </c:extLst>
        </c:ser>
        <c:ser>
          <c:idx val="4"/>
          <c:order val="4"/>
          <c:tx>
            <c:strRef>
              <c:f>Sheet1!$A$8</c:f>
              <c:strCache>
                <c:ptCount val="1"/>
                <c:pt idx="0">
                  <c:v>Sociālās zinātnes</c:v>
                </c:pt>
              </c:strCache>
            </c:strRef>
          </c:tx>
          <c:spPr>
            <a:ln w="28575" cap="rnd">
              <a:solidFill>
                <a:schemeClr val="accent1">
                  <a:lumMod val="40000"/>
                  <a:lumOff val="60000"/>
                </a:schemeClr>
              </a:solidFill>
              <a:round/>
            </a:ln>
            <a:effectLst/>
          </c:spPr>
          <c:marker>
            <c:symbol val="circle"/>
            <c:size val="5"/>
            <c:spPr>
              <a:solidFill>
                <a:schemeClr val="accent1">
                  <a:lumMod val="40000"/>
                  <a:lumOff val="60000"/>
                </a:schemeClr>
              </a:solidFill>
              <a:ln w="9525">
                <a:solidFill>
                  <a:schemeClr val="accent1">
                    <a:lumMod val="40000"/>
                    <a:lumOff val="60000"/>
                  </a:schemeClr>
                </a:solidFill>
              </a:ln>
              <a:effectLst/>
            </c:spPr>
          </c:marker>
          <c:val>
            <c:numRef>
              <c:f>Sheet1!$B$8:$K$8</c:f>
              <c:numCache>
                <c:formatCode>0.00%</c:formatCode>
                <c:ptCount val="10"/>
                <c:pt idx="0">
                  <c:v>0.000509386189641482</c:v>
                </c:pt>
                <c:pt idx="1">
                  <c:v>0.0010565447074936411</c:v>
                </c:pt>
                <c:pt idx="2">
                  <c:v>0.001201158764926164</c:v>
                </c:pt>
                <c:pt idx="3">
                  <c:v>0.0018457684659246971</c:v>
                </c:pt>
                <c:pt idx="4">
                  <c:v>0.0019391980608019393</c:v>
                </c:pt>
                <c:pt idx="5">
                  <c:v>0.0016355904481517827</c:v>
                </c:pt>
                <c:pt idx="6">
                  <c:v>0.0015171327030107959</c:v>
                </c:pt>
                <c:pt idx="7">
                  <c:v>0.0016210672577496939</c:v>
                </c:pt>
                <c:pt idx="8">
                  <c:v>0.0017282680342759762</c:v>
                </c:pt>
                <c:pt idx="9">
                  <c:v>0.0014039958668885717</c:v>
                </c:pt>
              </c:numCache>
            </c:numRef>
          </c:val>
          <c:smooth val="0"/>
          <c:extLst>
            <c:ext xmlns:c="http://schemas.openxmlformats.org/drawingml/2006/chart" xmlns:c16="http://schemas.microsoft.com/office/drawing/2014/chart" uri="{C3380CC4-5D6E-409C-BE32-E72D297353CC}">
              <c16:uniqueId val="{00000004-3AB2-4A35-AB8D-F2390D826E36}"/>
            </c:ext>
          </c:extLst>
        </c:ser>
        <c:ser>
          <c:idx val="5"/>
          <c:order val="5"/>
          <c:tx>
            <c:strRef>
              <c:f>Sheet1!$A$9</c:f>
              <c:strCache>
                <c:ptCount val="1"/>
                <c:pt idx="0">
                  <c:v>Humanitārās zinātnes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Sheet1!$B$9:$K$9</c:f>
              <c:numCache>
                <c:formatCode>0.00%</c:formatCode>
                <c:ptCount val="10"/>
                <c:pt idx="0">
                  <c:v>0.00016621419469222673</c:v>
                </c:pt>
                <c:pt idx="1">
                  <c:v>0.00035842293906810036</c:v>
                </c:pt>
                <c:pt idx="2">
                  <c:v>0.00040842999509884006</c:v>
                </c:pt>
                <c:pt idx="3">
                  <c:v>0.00040978008468788414</c:v>
                </c:pt>
                <c:pt idx="4">
                  <c:v>0.00031193284936479129</c:v>
                </c:pt>
                <c:pt idx="5">
                  <c:v>0.00065817843444315835</c:v>
                </c:pt>
                <c:pt idx="6">
                  <c:v>0.00047576825760688564</c:v>
                </c:pt>
                <c:pt idx="7">
                  <c:v>0.00084327970939283858</c:v>
                </c:pt>
                <c:pt idx="8">
                  <c:v>0.000815765746425658</c:v>
                </c:pt>
                <c:pt idx="9">
                  <c:v>0.0010302278208340163</c:v>
                </c:pt>
              </c:numCache>
            </c:numRef>
          </c:val>
          <c:smooth val="0"/>
          <c:extLst>
            <c:ext xmlns:c="http://schemas.openxmlformats.org/drawingml/2006/chart" xmlns:c16="http://schemas.microsoft.com/office/drawing/2014/chart" uri="{C3380CC4-5D6E-409C-BE32-E72D297353CC}">
              <c16:uniqueId val="{00000005-3AB2-4A35-AB8D-F2390D826E36}"/>
            </c:ext>
          </c:extLst>
        </c:ser>
        <c:dLbls>
          <c:showLegendKey val="0"/>
          <c:showVal val="0"/>
          <c:showCatName val="0"/>
          <c:showSerName val="0"/>
          <c:showPercent val="0"/>
          <c:showBubbleSize val="0"/>
        </c:dLbls>
        <c:marker val="1"/>
        <c:smooth val="0"/>
        <c:axId val="435721328"/>
        <c:axId val="435717800"/>
      </c:lineChart>
      <c:catAx>
        <c:axId val="435721328"/>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17800"/>
        <c:crosses val="autoZero"/>
        <c:auto val="1"/>
        <c:lblAlgn val="ctr"/>
        <c:lblOffset val="100"/>
        <c:noMultiLvlLbl val="0"/>
      </c:catAx>
      <c:valAx>
        <c:axId val="435717800"/>
        <c:scaling>
          <c:orientation val="minMax"/>
          <c:min val="0"/>
        </c:scaling>
        <c:delete val="0"/>
        <c:axPos val="l"/>
        <c:numFmt formatCode="0.00%" sourceLinked="1"/>
        <c:majorTickMark val="none"/>
        <c:minorTickMark val="none"/>
        <c:tickLblPos val="nextTo"/>
        <c:spPr>
          <a:noFill/>
          <a:ln w="635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5721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sz="900">
          <a:solidFill>
            <a:sysClr val="windowText" lastClr="000000"/>
          </a:solidFill>
          <a:latin typeface="Arial Narrow" panose="020B0606020202030204" pitchFamily="34" charset="0"/>
        </a:defRPr>
      </a:pPr>
      <a:endParaRPr lang="lv-LV"/>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Sheet1!$A$2</c:f>
              <c:strCache>
                <c:ptCount val="1"/>
                <c:pt idx="0">
                  <c:v>Fakts</c:v>
                </c:pt>
              </c:strCache>
            </c:strRef>
          </c:tx>
          <c:marker>
            <c:symbol val="none"/>
          </c:marker>
          <c:cat>
            <c:numRef>
              <c:f>Sheet1!$B$1:$R$1</c:f>
              <c:numCache>
                <c:formatCode>0</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Sheet1!$B$2:$R$2</c:f>
              <c:numCache>
                <c:formatCode>0</c:formatCode>
                <c:ptCount val="17"/>
                <c:pt idx="0">
                  <c:v>13.801274553301335</c:v>
                </c:pt>
                <c:pt idx="1">
                  <c:v>12.969291749071138</c:v>
                </c:pt>
                <c:pt idx="2">
                  <c:v>12.071244465005618</c:v>
                </c:pt>
                <c:pt idx="3">
                  <c:v>11.396896007802276</c:v>
                </c:pt>
                <c:pt idx="4">
                  <c:v>10.771492687456474</c:v>
                </c:pt>
                <c:pt idx="5">
                  <c:v>10.892714265543372</c:v>
                </c:pt>
                <c:pt idx="6">
                  <c:v>13.439449558437675</c:v>
                </c:pt>
                <c:pt idx="7">
                  <c:v>13.224766471025873</c:v>
                </c:pt>
                <c:pt idx="8">
                  <c:v>13.124496425583891</c:v>
                </c:pt>
                <c:pt idx="9">
                  <c:v>12.6533052664868</c:v>
                </c:pt>
                <c:pt idx="10">
                  <c:v>12.263898575509465</c:v>
                </c:pt>
                <c:pt idx="11">
                  <c:v>12.298761035685139</c:v>
                </c:pt>
                <c:pt idx="12">
                  <c:v>12.547013211451441</c:v>
                </c:pt>
              </c:numCache>
            </c:numRef>
          </c:val>
          <c:smooth val="0"/>
          <c:extLst>
            <c:ext xmlns:c="http://schemas.openxmlformats.org/drawingml/2006/chart" xmlns:c16="http://schemas.microsoft.com/office/drawing/2014/chart" uri="{C3380CC4-5D6E-409C-BE32-E72D297353CC}">
              <c16:uniqueId val="{00000000-199E-4ACB-ABE3-FE4640E49AA9}"/>
            </c:ext>
          </c:extLst>
        </c:ser>
        <c:ser>
          <c:idx val="0"/>
          <c:order val="1"/>
          <c:tx>
            <c:strRef>
              <c:f>Sheet1!$A$3</c:f>
              <c:strCache>
                <c:ptCount val="1"/>
                <c:pt idx="0">
                  <c:v>Mērķis</c:v>
                </c:pt>
              </c:strCache>
            </c:strRef>
          </c:tx>
          <c:spPr>
            <a:ln w="19050">
              <a:solidFill>
                <a:schemeClr val="phClr">
                  <a:shade val="95000"/>
                  <a:satMod val="105000"/>
                </a:schemeClr>
              </a:solidFill>
              <a:prstDash val="sysDash"/>
            </a:ln>
          </c:spPr>
          <c:marker>
            <c:symbol val="none"/>
          </c:marker>
          <c:dLbls>
            <c:dLbl>
              <c:idx val="16"/>
              <c:dLblPos val="l"/>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99E-4ACB-ABE3-FE4640E49AA9}"/>
                </c:ext>
                <c:ext xmlns:c15="http://schemas.microsoft.com/office/drawing/2012/chart" uri="{CE6537A1-D6FC-4f65-9D91-7224C49458BB}"/>
              </c:extLst>
            </c:dLbl>
            <c:spPr>
              <a:noFill/>
              <a:ln>
                <a:noFill/>
              </a:ln>
              <a:effectLst/>
            </c:spPr>
            <c:dLblPos val="l"/>
            <c:showLegendKey val="0"/>
            <c:showVal val="0"/>
            <c:showCatName val="0"/>
            <c:showSerName val="0"/>
            <c:showPercent val="0"/>
            <c:showBubbleSize val="0"/>
            <c:extLst>
              <c:ext xmlns:c15="http://schemas.microsoft.com/office/drawing/2012/chart" uri="{CE6537A1-D6FC-4f65-9D91-7224C49458BB}">
                <c15:showLeaderLines val="1"/>
              </c:ext>
            </c:extLst>
          </c:dLbls>
          <c:cat>
            <c:numRef>
              <c:f>Sheet1!$B$1:$R$1</c:f>
              <c:numCache>
                <c:formatCode>0</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Sheet1!$B$3:$R$3</c:f>
              <c:numCache>
                <c:formatCode>General</c:formatCode>
                <c:ptCount val="17"/>
                <c:pt idx="7" formatCode="0">
                  <c:v>13.224766471025873</c:v>
                </c:pt>
                <c:pt idx="8" formatCode="0">
                  <c:v>13.977570196467443</c:v>
                </c:pt>
                <c:pt idx="9" formatCode="0">
                  <c:v>14.730373921909013</c:v>
                </c:pt>
                <c:pt idx="10" formatCode="0">
                  <c:v>15.483177647350583</c:v>
                </c:pt>
                <c:pt idx="11" formatCode="0">
                  <c:v>16.235981372792153</c:v>
                </c:pt>
                <c:pt idx="12" formatCode="0">
                  <c:v>16.988785098233723</c:v>
                </c:pt>
                <c:pt idx="13" formatCode="0">
                  <c:v>17.741588823675293</c:v>
                </c:pt>
                <c:pt idx="14" formatCode="0">
                  <c:v>18.494392549116863</c:v>
                </c:pt>
                <c:pt idx="15" formatCode="0">
                  <c:v>19.247196274558434</c:v>
                </c:pt>
                <c:pt idx="16" formatCode="0">
                  <c:v>20</c:v>
                </c:pt>
              </c:numCache>
            </c:numRef>
          </c:val>
          <c:smooth val="0"/>
          <c:extLst>
            <c:ext xmlns:c="http://schemas.openxmlformats.org/drawingml/2006/chart" xmlns:c16="http://schemas.microsoft.com/office/drawing/2014/chart" uri="{C3380CC4-5D6E-409C-BE32-E72D297353CC}">
              <c16:uniqueId val="{00000002-199E-4ACB-ABE3-FE4640E49AA9}"/>
            </c:ext>
          </c:extLst>
        </c:ser>
        <c:dLbls>
          <c:showLegendKey val="0"/>
          <c:showVal val="0"/>
          <c:showCatName val="0"/>
          <c:showSerName val="0"/>
          <c:showPercent val="0"/>
          <c:showBubbleSize val="0"/>
        </c:dLbls>
        <c:smooth val="0"/>
        <c:axId val="435716624"/>
        <c:axId val="435717016"/>
      </c:lineChart>
      <c:catAx>
        <c:axId val="435716624"/>
        <c:scaling>
          <c:orientation val="minMax"/>
        </c:scaling>
        <c:delete val="0"/>
        <c:axPos val="b"/>
        <c:numFmt formatCode="0" sourceLinked="1"/>
        <c:majorTickMark val="out"/>
        <c:minorTickMark val="none"/>
        <c:tickLblPos val="low"/>
        <c:spPr>
          <a:ln w="3175">
            <a:noFill/>
          </a:ln>
        </c:spPr>
        <c:txPr>
          <a:bodyPr rot="-5400000" vert="horz"/>
          <a:lstStyle/>
          <a:p>
            <a:pPr>
              <a:defRPr/>
            </a:pPr>
            <a:endParaRPr lang="lv-LV"/>
          </a:p>
        </c:txPr>
        <c:crossAx val="435717016"/>
        <c:crosses val="autoZero"/>
        <c:lblAlgn val="ctr"/>
        <c:lblOffset val="0"/>
        <c:tickLblSkip val="1"/>
        <c:noMultiLvlLbl val="1"/>
      </c:catAx>
      <c:valAx>
        <c:axId val="435717016"/>
        <c:scaling>
          <c:orientation val="minMax"/>
          <c:max val="20.5"/>
          <c:min val="10"/>
        </c:scaling>
        <c:delete val="0"/>
        <c:axPos val="l"/>
        <c:numFmt formatCode="0" sourceLinked="0"/>
        <c:majorTickMark val="out"/>
        <c:minorTickMark val="none"/>
        <c:tickLblPos val="nextTo"/>
        <c:spPr>
          <a:ln w="3175">
            <a:noFill/>
          </a:ln>
        </c:spPr>
        <c:txPr>
          <a:bodyPr rot="0" vert="horz"/>
          <a:lstStyle/>
          <a:p>
            <a:pPr>
              <a:defRPr/>
            </a:pPr>
            <a:endParaRPr lang="lv-LV"/>
          </a:p>
        </c:txPr>
        <c:crossAx val="435716624"/>
        <c:crosses val="autoZero"/>
        <c:crossBetween val="between"/>
        <c:majorUnit val="2"/>
      </c:valAx>
      <c:spPr>
        <a:noFill/>
        <a:ln w="24631">
          <a:noFill/>
        </a:ln>
      </c:spPr>
    </c:plotArea>
    <c:legend>
      <c:legendPos val="l"/>
      <c:layout>
        <c:manualLayout>
          <c:xMode val="edge"/>
          <c:yMode val="edge"/>
          <c:x val="0.11368090944727557"/>
          <c:y val="0.065278527432054867"/>
          <c:w val="0.45877423397339934"/>
          <c:h val="0.25452359029718058"/>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Sheet1!$A$2</c:f>
              <c:strCache>
                <c:ptCount val="1"/>
                <c:pt idx="0">
                  <c:v>Fakts</c:v>
                </c:pt>
              </c:strCache>
            </c:strRef>
          </c:tx>
          <c:marker>
            <c:symbol val="none"/>
          </c:marker>
          <c:cat>
            <c:numRef>
              <c:f>Sheet1!$B$1:$R$1</c:f>
              <c:numCache>
                <c:formatCode>0</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Sheet1!$B$2:$R$2</c:f>
              <c:numCache>
                <c:formatCode>0</c:formatCode>
                <c:ptCount val="17"/>
                <c:pt idx="0">
                  <c:v>103.02629257102522</c:v>
                </c:pt>
                <c:pt idx="1">
                  <c:v>108.29804129168872</c:v>
                </c:pt>
                <c:pt idx="2">
                  <c:v>116.309334745015</c:v>
                </c:pt>
                <c:pt idx="3">
                  <c:v>115.63878595376742</c:v>
                </c:pt>
                <c:pt idx="4">
                  <c:v>106.95694370919358</c:v>
                </c:pt>
                <c:pt idx="5">
                  <c:v>83.32451032292218</c:v>
                </c:pt>
                <c:pt idx="6">
                  <c:v>95.129698253043941</c:v>
                </c:pt>
                <c:pt idx="7">
                  <c:v>100</c:v>
                </c:pt>
                <c:pt idx="8">
                  <c:v>104.3276866066702</c:v>
                </c:pt>
                <c:pt idx="9">
                  <c:v>102.289571201694</c:v>
                </c:pt>
                <c:pt idx="10">
                  <c:v>102.69984118581259</c:v>
                </c:pt>
                <c:pt idx="11">
                  <c:v>107.10693488618317</c:v>
                </c:pt>
                <c:pt idx="12">
                  <c:v>113.0712899241221</c:v>
                </c:pt>
              </c:numCache>
            </c:numRef>
          </c:val>
          <c:smooth val="0"/>
          <c:extLst>
            <c:ext xmlns:c="http://schemas.openxmlformats.org/drawingml/2006/chart" xmlns:c16="http://schemas.microsoft.com/office/drawing/2014/chart" uri="{C3380CC4-5D6E-409C-BE32-E72D297353CC}">
              <c16:uniqueId val="{00000000-1B87-47D8-818C-0FAC552EF793}"/>
            </c:ext>
          </c:extLst>
        </c:ser>
        <c:ser>
          <c:idx val="0"/>
          <c:order val="1"/>
          <c:tx>
            <c:strRef>
              <c:f>Sheet1!$A$3</c:f>
              <c:strCache>
                <c:ptCount val="1"/>
                <c:pt idx="0">
                  <c:v>Mērķis</c:v>
                </c:pt>
              </c:strCache>
            </c:strRef>
          </c:tx>
          <c:spPr>
            <a:ln w="19050">
              <a:solidFill>
                <a:schemeClr val="phClr">
                  <a:shade val="95000"/>
                  <a:satMod val="105000"/>
                </a:schemeClr>
              </a:solidFill>
              <a:prstDash val="sysDash"/>
            </a:ln>
          </c:spPr>
          <c:marker>
            <c:symbol val="none"/>
          </c:marker>
          <c:dLbls>
            <c:dLbl>
              <c:idx val="16"/>
              <c:dLblPos val="l"/>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1B87-47D8-818C-0FAC552EF793}"/>
                </c:ext>
                <c:ext xmlns:c15="http://schemas.microsoft.com/office/drawing/2012/chart" uri="{CE6537A1-D6FC-4f65-9D91-7224C49458BB}"/>
              </c:extLst>
            </c:dLbl>
            <c:spPr>
              <a:noFill/>
              <a:ln>
                <a:noFill/>
              </a:ln>
              <a:effectLst/>
            </c:spPr>
            <c:dLblPos val="l"/>
            <c:showLegendKey val="0"/>
            <c:showVal val="0"/>
            <c:showCatName val="0"/>
            <c:showSerName val="0"/>
            <c:showPercent val="0"/>
            <c:showBubbleSize val="0"/>
            <c:extLst>
              <c:ext xmlns:c15="http://schemas.microsoft.com/office/drawing/2012/chart" uri="{CE6537A1-D6FC-4f65-9D91-7224C49458BB}">
                <c15:showLeaderLines val="1"/>
              </c:ext>
            </c:extLst>
          </c:dLbls>
          <c:cat>
            <c:numRef>
              <c:f>Sheet1!$B$1:$R$1</c:f>
              <c:numCache>
                <c:formatCode>0</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Sheet1!$B$3:$R$3</c:f>
              <c:numCache>
                <c:formatCode>General</c:formatCode>
                <c:ptCount val="17"/>
                <c:pt idx="7" formatCode="0">
                  <c:v>100</c:v>
                </c:pt>
                <c:pt idx="8" formatCode="0">
                  <c:v>106.66666666666667</c:v>
                </c:pt>
                <c:pt idx="9" formatCode="0">
                  <c:v>113.33333333333334</c:v>
                </c:pt>
                <c:pt idx="10" formatCode="0">
                  <c:v>120.00000000000001</c:v>
                </c:pt>
                <c:pt idx="11" formatCode="0">
                  <c:v>126.66666666666669</c:v>
                </c:pt>
                <c:pt idx="12" formatCode="0">
                  <c:v>133.33333333333334</c:v>
                </c:pt>
                <c:pt idx="13" formatCode="0">
                  <c:v>140</c:v>
                </c:pt>
                <c:pt idx="14" formatCode="0">
                  <c:v>146.66666666666666</c:v>
                </c:pt>
                <c:pt idx="15" formatCode="0">
                  <c:v>153.33333333333331</c:v>
                </c:pt>
                <c:pt idx="16" formatCode="0">
                  <c:v>160</c:v>
                </c:pt>
              </c:numCache>
            </c:numRef>
          </c:val>
          <c:smooth val="0"/>
          <c:extLst>
            <c:ext xmlns:c="http://schemas.openxmlformats.org/drawingml/2006/chart" xmlns:c16="http://schemas.microsoft.com/office/drawing/2014/chart" uri="{C3380CC4-5D6E-409C-BE32-E72D297353CC}">
              <c16:uniqueId val="{00000002-1B87-47D8-818C-0FAC552EF793}"/>
            </c:ext>
          </c:extLst>
        </c:ser>
        <c:dLbls>
          <c:showLegendKey val="0"/>
          <c:showVal val="0"/>
          <c:showCatName val="0"/>
          <c:showSerName val="0"/>
          <c:showPercent val="0"/>
          <c:showBubbleSize val="0"/>
        </c:dLbls>
        <c:smooth val="0"/>
        <c:axId val="436119184"/>
        <c:axId val="436116832"/>
      </c:lineChart>
      <c:catAx>
        <c:axId val="436119184"/>
        <c:scaling>
          <c:orientation val="minMax"/>
        </c:scaling>
        <c:delete val="0"/>
        <c:axPos val="b"/>
        <c:numFmt formatCode="0" sourceLinked="1"/>
        <c:majorTickMark val="out"/>
        <c:minorTickMark val="none"/>
        <c:tickLblPos val="low"/>
        <c:spPr>
          <a:ln w="3175">
            <a:noFill/>
          </a:ln>
        </c:spPr>
        <c:txPr>
          <a:bodyPr rot="-5400000" vert="horz"/>
          <a:lstStyle/>
          <a:p>
            <a:pPr>
              <a:defRPr/>
            </a:pPr>
            <a:endParaRPr lang="lv-LV"/>
          </a:p>
        </c:txPr>
        <c:crossAx val="436116832"/>
        <c:crosses val="autoZero"/>
        <c:lblAlgn val="ctr"/>
        <c:lblOffset val="0"/>
        <c:tickLblSkip val="1"/>
        <c:noMultiLvlLbl val="1"/>
      </c:catAx>
      <c:valAx>
        <c:axId val="436116832"/>
        <c:scaling>
          <c:orientation val="minMax"/>
          <c:max val="162"/>
          <c:min val="80"/>
        </c:scaling>
        <c:delete val="0"/>
        <c:axPos val="l"/>
        <c:numFmt formatCode="0" sourceLinked="0"/>
        <c:majorTickMark val="out"/>
        <c:minorTickMark val="none"/>
        <c:tickLblPos val="nextTo"/>
        <c:spPr>
          <a:ln w="3175">
            <a:noFill/>
          </a:ln>
        </c:spPr>
        <c:txPr>
          <a:bodyPr rot="0" vert="horz"/>
          <a:lstStyle/>
          <a:p>
            <a:pPr>
              <a:defRPr/>
            </a:pPr>
            <a:endParaRPr lang="lv-LV"/>
          </a:p>
        </c:txPr>
        <c:crossAx val="436119184"/>
        <c:crosses val="autoZero"/>
        <c:crossBetween val="between"/>
        <c:majorUnit val="20"/>
      </c:valAx>
      <c:spPr>
        <a:noFill/>
        <a:ln w="24631">
          <a:noFill/>
        </a:ln>
      </c:spPr>
    </c:plotArea>
    <c:legend>
      <c:legendPos val="l"/>
      <c:layout>
        <c:manualLayout>
          <c:xMode val="edge"/>
          <c:yMode val="edge"/>
          <c:x val="0.11368090944727557"/>
          <c:y val="0.065278527432054867"/>
          <c:w val="0.45877423397339934"/>
          <c:h val="0.25452359029718058"/>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Sheet1!$A$2</c:f>
              <c:strCache>
                <c:ptCount val="1"/>
                <c:pt idx="0">
                  <c:v>Fakts</c:v>
                </c:pt>
              </c:strCache>
            </c:strRef>
          </c:tx>
          <c:marker>
            <c:symbol val="none"/>
          </c:marker>
          <c:cat>
            <c:numRef>
              <c:f>Sheet1!$B$1:$R$1</c:f>
              <c:numCache>
                <c:formatCode>0</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Sheet1!$B$2:$R$2</c:f>
              <c:numCache>
                <c:formatCode>0</c:formatCode>
                <c:ptCount val="17"/>
                <c:pt idx="0">
                  <c:v>77.547916790677419</c:v>
                </c:pt>
                <c:pt idx="1">
                  <c:v>82.452869328234868</c:v>
                </c:pt>
                <c:pt idx="2">
                  <c:v>87.946897872924026</c:v>
                </c:pt>
                <c:pt idx="3">
                  <c:v>89.851843481478483</c:v>
                </c:pt>
                <c:pt idx="4">
                  <c:v>84.962305683470873</c:v>
                </c:pt>
                <c:pt idx="5">
                  <c:v>85.291246090435521</c:v>
                </c:pt>
                <c:pt idx="6">
                  <c:v>98.25939360338397</c:v>
                </c:pt>
                <c:pt idx="7">
                  <c:v>100</c:v>
                </c:pt>
                <c:pt idx="8">
                  <c:v>99.625710077625</c:v>
                </c:pt>
                <c:pt idx="9">
                  <c:v>97.617594427897018</c:v>
                </c:pt>
                <c:pt idx="10">
                  <c:v>103.16191345910319</c:v>
                </c:pt>
                <c:pt idx="11">
                  <c:v>108.93210789504168</c:v>
                </c:pt>
                <c:pt idx="12">
                  <c:v>116.38243586828447</c:v>
                </c:pt>
              </c:numCache>
            </c:numRef>
          </c:val>
          <c:smooth val="0"/>
          <c:extLst>
            <c:ext xmlns:c="http://schemas.openxmlformats.org/drawingml/2006/chart" xmlns:c16="http://schemas.microsoft.com/office/drawing/2014/chart" uri="{C3380CC4-5D6E-409C-BE32-E72D297353CC}">
              <c16:uniqueId val="{00000000-346D-47E2-9E0E-57EC82AFB4A7}"/>
            </c:ext>
          </c:extLst>
        </c:ser>
        <c:ser>
          <c:idx val="0"/>
          <c:order val="1"/>
          <c:tx>
            <c:strRef>
              <c:f>Sheet1!$A$3</c:f>
              <c:strCache>
                <c:ptCount val="1"/>
                <c:pt idx="0">
                  <c:v>Mērķis</c:v>
                </c:pt>
              </c:strCache>
            </c:strRef>
          </c:tx>
          <c:spPr>
            <a:ln w="19050">
              <a:solidFill>
                <a:schemeClr val="phClr">
                  <a:shade val="95000"/>
                  <a:satMod val="105000"/>
                </a:schemeClr>
              </a:solidFill>
              <a:prstDash val="sysDash"/>
            </a:ln>
          </c:spPr>
          <c:marker>
            <c:symbol val="none"/>
          </c:marker>
          <c:dLbls>
            <c:dLbl>
              <c:idx val="16"/>
              <c:dLblPos val="l"/>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346D-47E2-9E0E-57EC82AFB4A7}"/>
                </c:ext>
                <c:ext xmlns:c15="http://schemas.microsoft.com/office/drawing/2012/chart" uri="{CE6537A1-D6FC-4f65-9D91-7224C49458BB}"/>
              </c:extLst>
            </c:dLbl>
            <c:spPr>
              <a:noFill/>
              <a:ln>
                <a:noFill/>
              </a:ln>
              <a:effectLst/>
            </c:spPr>
            <c:dLblPos val="l"/>
            <c:showLegendKey val="0"/>
            <c:showVal val="0"/>
            <c:showCatName val="0"/>
            <c:showSerName val="0"/>
            <c:showPercent val="0"/>
            <c:showBubbleSize val="0"/>
            <c:extLst>
              <c:ext xmlns:c15="http://schemas.microsoft.com/office/drawing/2012/chart" uri="{CE6537A1-D6FC-4f65-9D91-7224C49458BB}">
                <c15:showLeaderLines val="1"/>
              </c:ext>
            </c:extLst>
          </c:dLbls>
          <c:cat>
            <c:numRef>
              <c:f>Sheet1!$B$1:$R$1</c:f>
              <c:numCache>
                <c:formatCode>0</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Sheet1!$B$3:$R$3</c:f>
              <c:numCache>
                <c:formatCode>General</c:formatCode>
                <c:ptCount val="17"/>
                <c:pt idx="7" formatCode="0">
                  <c:v>100</c:v>
                </c:pt>
                <c:pt idx="8" formatCode="0">
                  <c:v>104.44444444444444</c:v>
                </c:pt>
                <c:pt idx="9" formatCode="0">
                  <c:v>108.88888888888889</c:v>
                </c:pt>
                <c:pt idx="10" formatCode="0">
                  <c:v>113.33333333333333</c:v>
                </c:pt>
                <c:pt idx="11" formatCode="0">
                  <c:v>117.77777777777777</c:v>
                </c:pt>
                <c:pt idx="12" formatCode="0">
                  <c:v>122.22222222222221</c:v>
                </c:pt>
                <c:pt idx="13" formatCode="0">
                  <c:v>126.66666666666666</c:v>
                </c:pt>
                <c:pt idx="14" formatCode="0">
                  <c:v>131.11111111111111</c:v>
                </c:pt>
                <c:pt idx="15" formatCode="0">
                  <c:v>135.55555555555557</c:v>
                </c:pt>
                <c:pt idx="16" formatCode="0">
                  <c:v>140</c:v>
                </c:pt>
              </c:numCache>
            </c:numRef>
          </c:val>
          <c:smooth val="0"/>
          <c:extLst>
            <c:ext xmlns:c="http://schemas.openxmlformats.org/drawingml/2006/chart" xmlns:c16="http://schemas.microsoft.com/office/drawing/2014/chart" uri="{C3380CC4-5D6E-409C-BE32-E72D297353CC}">
              <c16:uniqueId val="{00000002-346D-47E2-9E0E-57EC82AFB4A7}"/>
            </c:ext>
          </c:extLst>
        </c:ser>
        <c:dLbls>
          <c:showLegendKey val="0"/>
          <c:showVal val="0"/>
          <c:showCatName val="0"/>
          <c:showSerName val="0"/>
          <c:showPercent val="0"/>
          <c:showBubbleSize val="0"/>
        </c:dLbls>
        <c:smooth val="0"/>
        <c:axId val="436120360"/>
        <c:axId val="436120752"/>
      </c:lineChart>
      <c:catAx>
        <c:axId val="436120360"/>
        <c:scaling>
          <c:orientation val="minMax"/>
        </c:scaling>
        <c:delete val="0"/>
        <c:axPos val="b"/>
        <c:numFmt formatCode="0" sourceLinked="1"/>
        <c:majorTickMark val="out"/>
        <c:minorTickMark val="none"/>
        <c:tickLblPos val="low"/>
        <c:spPr>
          <a:ln w="3175">
            <a:noFill/>
          </a:ln>
        </c:spPr>
        <c:txPr>
          <a:bodyPr rot="-5400000" vert="horz"/>
          <a:lstStyle/>
          <a:p>
            <a:pPr>
              <a:defRPr/>
            </a:pPr>
            <a:endParaRPr lang="lv-LV"/>
          </a:p>
        </c:txPr>
        <c:crossAx val="436120752"/>
        <c:crosses val="autoZero"/>
        <c:lblAlgn val="ctr"/>
        <c:lblOffset val="0"/>
        <c:tickLblSkip val="1"/>
        <c:noMultiLvlLbl val="1"/>
      </c:catAx>
      <c:valAx>
        <c:axId val="436120752"/>
        <c:scaling>
          <c:orientation val="minMax"/>
          <c:max val="145"/>
          <c:min val="70"/>
        </c:scaling>
        <c:delete val="0"/>
        <c:axPos val="l"/>
        <c:numFmt formatCode="0" sourceLinked="0"/>
        <c:majorTickMark val="out"/>
        <c:minorTickMark val="none"/>
        <c:tickLblPos val="nextTo"/>
        <c:spPr>
          <a:ln w="3175">
            <a:noFill/>
          </a:ln>
        </c:spPr>
        <c:txPr>
          <a:bodyPr rot="0" vert="horz"/>
          <a:lstStyle/>
          <a:p>
            <a:pPr>
              <a:defRPr/>
            </a:pPr>
            <a:endParaRPr lang="lv-LV"/>
          </a:p>
        </c:txPr>
        <c:crossAx val="436120360"/>
        <c:crosses val="autoZero"/>
        <c:crossBetween val="between"/>
        <c:majorUnit val="15"/>
      </c:valAx>
      <c:spPr>
        <a:noFill/>
        <a:ln w="24631">
          <a:noFill/>
        </a:ln>
      </c:spPr>
    </c:plotArea>
    <c:legend>
      <c:legendPos val="l"/>
      <c:layout>
        <c:manualLayout>
          <c:xMode val="edge"/>
          <c:yMode val="edge"/>
          <c:x val="0.11368090944727557"/>
          <c:y val="0.065278527432054867"/>
          <c:w val="0.45877423397339934"/>
          <c:h val="0.25452359029718058"/>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Sheet1!$A$7</c:f>
              <c:strCache>
                <c:ptCount val="1"/>
                <c:pt idx="0">
                  <c:v>Fakts</c:v>
                </c:pt>
              </c:strCache>
            </c:strRef>
          </c:tx>
          <c:marker>
            <c:symbol val="none"/>
          </c:marker>
          <c:cat>
            <c:numRef>
              <c:f>Sheet1!$B$6:$Q$6</c:f>
              <c:numCache>
                <c:formatCode>0</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Sheet1!$B$7:$Q$7</c:f>
              <c:numCache>
                <c:formatCode>0</c:formatCode>
                <c:ptCount val="14"/>
                <c:pt idx="0">
                  <c:v>100</c:v>
                </c:pt>
                <c:pt idx="1">
                  <c:v>102.37180947279565</c:v>
                </c:pt>
                <c:pt idx="2">
                  <c:v>89.181047345268411</c:v>
                </c:pt>
                <c:pt idx="3">
                  <c:v>101.16922361521206</c:v>
                </c:pt>
                <c:pt idx="4">
                  <c:v>113.35580747400421</c:v>
                </c:pt>
                <c:pt idx="5">
                  <c:v>124.44100637929381</c:v>
                </c:pt>
                <c:pt idx="6">
                  <c:v>125.78212858043661</c:v>
                </c:pt>
                <c:pt idx="7">
                  <c:v>130.69230647140262</c:v>
                </c:pt>
                <c:pt idx="8">
                  <c:v>134.05835070906326</c:v>
                </c:pt>
                <c:pt idx="9">
                  <c:v>137.78324401873542</c:v>
                </c:pt>
              </c:numCache>
            </c:numRef>
          </c:val>
          <c:smooth val="0"/>
          <c:extLst>
            <c:ext xmlns:c="http://schemas.openxmlformats.org/drawingml/2006/chart" xmlns:c16="http://schemas.microsoft.com/office/drawing/2014/chart" uri="{C3380CC4-5D6E-409C-BE32-E72D297353CC}">
              <c16:uniqueId val="{00000000-941F-47F1-ABFA-D6939569C015}"/>
            </c:ext>
          </c:extLst>
        </c:ser>
        <c:ser>
          <c:idx val="0"/>
          <c:order val="1"/>
          <c:tx>
            <c:strRef>
              <c:f>Sheet1!$A$8</c:f>
              <c:strCache>
                <c:ptCount val="1"/>
                <c:pt idx="0">
                  <c:v>Mērķis</c:v>
                </c:pt>
              </c:strCache>
            </c:strRef>
          </c:tx>
          <c:spPr>
            <a:ln w="19050">
              <a:solidFill>
                <a:schemeClr val="phClr">
                  <a:shade val="95000"/>
                  <a:satMod val="105000"/>
                </a:schemeClr>
              </a:solidFill>
              <a:prstDash val="sysDash"/>
            </a:ln>
          </c:spPr>
          <c:marker>
            <c:symbol val="none"/>
          </c:marker>
          <c:cat>
            <c:numRef>
              <c:f>Sheet1!$B$6:$Q$6</c:f>
              <c:numCache>
                <c:formatCode>0</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Sheet1!$B$8:$Q$8</c:f>
              <c:numCache>
                <c:formatCode>General</c:formatCode>
                <c:ptCount val="14"/>
                <c:pt idx="9" formatCode="0">
                  <c:v>137.78324401873542</c:v>
                </c:pt>
                <c:pt idx="10" formatCode="0">
                  <c:v>141.91674133929749</c:v>
                </c:pt>
                <c:pt idx="11" formatCode="0">
                  <c:v>149.01257840626238</c:v>
                </c:pt>
                <c:pt idx="12" formatCode="0">
                  <c:v>156.46320732657551</c:v>
                </c:pt>
                <c:pt idx="13" formatCode="0">
                  <c:v>164.28636769290429</c:v>
                </c:pt>
              </c:numCache>
            </c:numRef>
          </c:val>
          <c:smooth val="0"/>
          <c:extLst>
            <c:ext xmlns:c="http://schemas.openxmlformats.org/drawingml/2006/chart" xmlns:c16="http://schemas.microsoft.com/office/drawing/2014/chart" uri="{C3380CC4-5D6E-409C-BE32-E72D297353CC}">
              <c16:uniqueId val="{00000002-941F-47F1-ABFA-D6939569C015}"/>
            </c:ext>
          </c:extLst>
        </c:ser>
        <c:dLbls>
          <c:showLegendKey val="0"/>
          <c:showVal val="0"/>
          <c:showCatName val="0"/>
          <c:showSerName val="0"/>
          <c:showPercent val="0"/>
          <c:showBubbleSize val="0"/>
        </c:dLbls>
        <c:smooth val="0"/>
        <c:axId val="436116048"/>
        <c:axId val="436121536"/>
      </c:lineChart>
      <c:catAx>
        <c:axId val="436116048"/>
        <c:scaling>
          <c:orientation val="minMax"/>
        </c:scaling>
        <c:delete val="0"/>
        <c:axPos val="b"/>
        <c:numFmt formatCode="0" sourceLinked="1"/>
        <c:majorTickMark val="out"/>
        <c:minorTickMark val="none"/>
        <c:tickLblPos val="low"/>
        <c:spPr>
          <a:ln w="3175">
            <a:noFill/>
          </a:ln>
        </c:spPr>
        <c:txPr>
          <a:bodyPr rot="-5400000" vert="horz"/>
          <a:lstStyle/>
          <a:p>
            <a:pPr>
              <a:defRPr/>
            </a:pPr>
            <a:endParaRPr lang="lv-LV"/>
          </a:p>
        </c:txPr>
        <c:crossAx val="436121536"/>
        <c:crosses val="autoZero"/>
        <c:lblAlgn val="ctr"/>
        <c:lblOffset val="0"/>
        <c:tickLblSkip val="1"/>
        <c:noMultiLvlLbl val="1"/>
      </c:catAx>
      <c:valAx>
        <c:axId val="436121536"/>
        <c:scaling>
          <c:orientation val="minMax"/>
          <c:min val="80"/>
        </c:scaling>
        <c:delete val="0"/>
        <c:axPos val="l"/>
        <c:numFmt formatCode="0" sourceLinked="0"/>
        <c:majorTickMark val="out"/>
        <c:minorTickMark val="none"/>
        <c:tickLblPos val="nextTo"/>
        <c:spPr>
          <a:ln w="3175">
            <a:noFill/>
          </a:ln>
        </c:spPr>
        <c:txPr>
          <a:bodyPr rot="0" vert="horz"/>
          <a:lstStyle/>
          <a:p>
            <a:pPr>
              <a:defRPr/>
            </a:pPr>
            <a:endParaRPr lang="lv-LV"/>
          </a:p>
        </c:txPr>
        <c:crossAx val="436116048"/>
        <c:crosses val="autoZero"/>
        <c:crossBetween val="between"/>
      </c:valAx>
      <c:spPr>
        <a:noFill/>
        <a:ln w="24631">
          <a:noFill/>
        </a:ln>
      </c:spPr>
    </c:plotArea>
    <c:legend>
      <c:legendPos val="l"/>
      <c:layout>
        <c:manualLayout>
          <c:xMode val="edge"/>
          <c:yMode val="edge"/>
          <c:x val="0.11368090944727557"/>
          <c:y val="0.065278527432054867"/>
          <c:w val="0.45877423397339934"/>
          <c:h val="0.16278041109363797"/>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lineChart>
        <c:grouping val="standard"/>
        <c:varyColors val="0"/>
        <c:ser>
          <c:idx val="1"/>
          <c:order val="0"/>
          <c:tx>
            <c:strRef>
              <c:f>Sheet1!$A$2</c:f>
              <c:strCache>
                <c:ptCount val="1"/>
                <c:pt idx="0">
                  <c:v>Fakts</c:v>
                </c:pt>
              </c:strCache>
            </c:strRef>
          </c:tx>
          <c:marker>
            <c:symbol val="none"/>
          </c:marker>
          <c:cat>
            <c:numRef>
              <c:f>Sheet1!$B$1:$R$1</c:f>
              <c:numCache>
                <c:formatCode>0</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Sheet1!$B$2:$R$2</c:f>
              <c:numCache>
                <c:formatCode>0</c:formatCode>
                <c:ptCount val="14"/>
                <c:pt idx="0">
                  <c:v>4.6</c:v>
                </c:pt>
                <c:pt idx="1">
                  <c:v>4.6</c:v>
                </c:pt>
                <c:pt idx="2">
                  <c:v>5.3</c:v>
                </c:pt>
                <c:pt idx="3">
                  <c:v>4.8</c:v>
                </c:pt>
                <c:pt idx="4">
                  <c:v>6.7</c:v>
                </c:pt>
                <c:pt idx="5">
                  <c:v>6.4</c:v>
                </c:pt>
                <c:pt idx="6">
                  <c:v>8</c:v>
                </c:pt>
                <c:pt idx="7">
                  <c:v>9.7</c:v>
                </c:pt>
                <c:pt idx="8">
                  <c:v>9.8</c:v>
                </c:pt>
              </c:numCache>
            </c:numRef>
          </c:val>
          <c:smooth val="0"/>
          <c:extLst>
            <c:ext xmlns:c="http://schemas.openxmlformats.org/drawingml/2006/chart" xmlns:c16="http://schemas.microsoft.com/office/drawing/2014/chart" uri="{C3380CC4-5D6E-409C-BE32-E72D297353CC}">
              <c16:uniqueId val="{00000000-F27B-4BA2-8312-60EB395D7EF7}"/>
            </c:ext>
          </c:extLst>
        </c:ser>
        <c:ser>
          <c:idx val="0"/>
          <c:order val="1"/>
          <c:tx>
            <c:strRef>
              <c:f>Sheet1!$A$3</c:f>
              <c:strCache>
                <c:ptCount val="1"/>
                <c:pt idx="0">
                  <c:v>Mērķis</c:v>
                </c:pt>
              </c:strCache>
            </c:strRef>
          </c:tx>
          <c:spPr>
            <a:ln w="19050">
              <a:solidFill>
                <a:schemeClr val="phClr">
                  <a:shade val="95000"/>
                  <a:satMod val="105000"/>
                </a:schemeClr>
              </a:solidFill>
              <a:prstDash val="sysDash"/>
            </a:ln>
          </c:spPr>
          <c:marker>
            <c:symbol val="none"/>
          </c:marker>
          <c:dLbls>
            <c:dLbl>
              <c:idx val="13"/>
              <c:dLblPos val="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1-F27B-4BA2-8312-60EB395D7EF7}"/>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Sheet1!$B$1:$R$1</c:f>
              <c:numCache>
                <c:formatCode>0</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Sheet1!$B$3:$R$3</c:f>
              <c:numCache>
                <c:formatCode>General</c:formatCode>
                <c:ptCount val="14"/>
                <c:pt idx="8" formatCode="0">
                  <c:v>9.8</c:v>
                </c:pt>
                <c:pt idx="9" formatCode="0">
                  <c:v>10.033333333333333</c:v>
                </c:pt>
                <c:pt idx="10" formatCode="0">
                  <c:v>10.266666666666666</c:v>
                </c:pt>
                <c:pt idx="11" formatCode="0">
                  <c:v>10.5</c:v>
                </c:pt>
                <c:pt idx="12" formatCode="0">
                  <c:v>10.75</c:v>
                </c:pt>
                <c:pt idx="13" formatCode="0">
                  <c:v>11</c:v>
                </c:pt>
              </c:numCache>
            </c:numRef>
          </c:val>
          <c:smooth val="0"/>
          <c:extLst>
            <c:ext xmlns:c="http://schemas.openxmlformats.org/drawingml/2006/chart" xmlns:c16="http://schemas.microsoft.com/office/drawing/2014/chart" uri="{C3380CC4-5D6E-409C-BE32-E72D297353CC}">
              <c16:uniqueId val="{00000002-F27B-4BA2-8312-60EB395D7EF7}"/>
            </c:ext>
          </c:extLst>
        </c:ser>
        <c:dLbls>
          <c:showLegendKey val="0"/>
          <c:showVal val="0"/>
          <c:showCatName val="0"/>
          <c:showSerName val="0"/>
          <c:showPercent val="0"/>
          <c:showBubbleSize val="0"/>
        </c:dLbls>
        <c:smooth val="0"/>
        <c:axId val="436118400"/>
        <c:axId val="436116440"/>
      </c:lineChart>
      <c:catAx>
        <c:axId val="436118400"/>
        <c:scaling>
          <c:orientation val="minMax"/>
        </c:scaling>
        <c:delete val="0"/>
        <c:axPos val="b"/>
        <c:numFmt formatCode="0" sourceLinked="1"/>
        <c:majorTickMark val="out"/>
        <c:minorTickMark val="none"/>
        <c:tickLblPos val="low"/>
        <c:spPr>
          <a:ln w="3175">
            <a:noFill/>
          </a:ln>
        </c:spPr>
        <c:txPr>
          <a:bodyPr rot="-5400000" vert="horz"/>
          <a:lstStyle/>
          <a:p>
            <a:pPr>
              <a:defRPr/>
            </a:pPr>
            <a:endParaRPr lang="lv-LV"/>
          </a:p>
        </c:txPr>
        <c:crossAx val="436116440"/>
        <c:crosses val="autoZero"/>
        <c:lblAlgn val="ctr"/>
        <c:lblOffset val="0"/>
        <c:tickLblSkip val="1"/>
        <c:noMultiLvlLbl val="1"/>
      </c:catAx>
      <c:valAx>
        <c:axId val="436116440"/>
        <c:scaling>
          <c:orientation val="minMax"/>
          <c:max val="12"/>
          <c:min val="4"/>
        </c:scaling>
        <c:delete val="0"/>
        <c:axPos val="l"/>
        <c:numFmt formatCode="0" sourceLinked="0"/>
        <c:majorTickMark val="out"/>
        <c:minorTickMark val="none"/>
        <c:tickLblPos val="nextTo"/>
        <c:spPr>
          <a:ln w="3175">
            <a:noFill/>
          </a:ln>
        </c:spPr>
        <c:txPr>
          <a:bodyPr rot="0" vert="horz"/>
          <a:lstStyle/>
          <a:p>
            <a:pPr>
              <a:defRPr/>
            </a:pPr>
            <a:endParaRPr lang="lv-LV"/>
          </a:p>
        </c:txPr>
        <c:crossAx val="436118400"/>
        <c:crosses val="autoZero"/>
        <c:crossBetween val="between"/>
        <c:majorUnit val="2"/>
      </c:valAx>
      <c:spPr>
        <a:noFill/>
        <a:ln w="24631">
          <a:noFill/>
        </a:ln>
      </c:spPr>
    </c:plotArea>
    <c:legend>
      <c:legendPos val="l"/>
      <c:layout>
        <c:manualLayout>
          <c:xMode val="edge"/>
          <c:yMode val="edge"/>
          <c:x val="0.11368090944727557"/>
          <c:y val="0.065278527432054867"/>
          <c:w val="0.45877423397339934"/>
          <c:h val="0.25452359029718058"/>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9332583427074"/>
          <c:y val="0.022933549432739061"/>
          <c:w val="0.83939578981198781"/>
          <c:h val="0.78698362664148347"/>
        </c:manualLayout>
      </c:layout>
      <c:barChart>
        <c:barDir val="col"/>
        <c:grouping val="stacked"/>
        <c:varyColors val="0"/>
        <c:ser>
          <c:idx val="0"/>
          <c:order val="0"/>
          <c:tx>
            <c:strRef>
              <c:f>Sheet1!$A$2</c:f>
              <c:strCache>
                <c:ptCount val="1"/>
                <c:pt idx="0">
                  <c:v>Preču eksports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Latvija</c:v>
                </c:pt>
                <c:pt idx="1">
                  <c:v>Lietuva</c:v>
                </c:pt>
                <c:pt idx="2">
                  <c:v>Igaunija</c:v>
                </c:pt>
              </c:strCache>
            </c:strRef>
          </c:cat>
          <c:val>
            <c:numRef>
              <c:f>Sheet1!$B$2:$D$2</c:f>
              <c:numCache>
                <c:formatCode>General</c:formatCode>
                <c:ptCount val="3"/>
                <c:pt idx="0">
                  <c:v>42.9</c:v>
                </c:pt>
                <c:pt idx="1">
                  <c:v>64.3</c:v>
                </c:pt>
                <c:pt idx="2">
                  <c:v>56.1</c:v>
                </c:pt>
              </c:numCache>
            </c:numRef>
          </c:val>
          <c:extLst>
            <c:ext xmlns:c="http://schemas.openxmlformats.org/drawingml/2006/chart" xmlns:c16="http://schemas.microsoft.com/office/drawing/2014/chart" uri="{C3380CC4-5D6E-409C-BE32-E72D297353CC}">
              <c16:uniqueId val="{00000000-48B8-4DB8-987B-AA6E04A517C3}"/>
            </c:ext>
          </c:extLst>
        </c:ser>
        <c:ser>
          <c:idx val="1"/>
          <c:order val="1"/>
          <c:tx>
            <c:strRef>
              <c:f>Sheet1!$A$3</c:f>
              <c:strCache>
                <c:ptCount val="1"/>
                <c:pt idx="0">
                  <c:v>Pakalpojumu eksports</c:v>
                </c:pt>
              </c:strCache>
            </c:strRef>
          </c:tx>
          <c:spPr>
            <a:solidFill>
              <a:schemeClr val="accent6">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Latvija</c:v>
                </c:pt>
                <c:pt idx="1">
                  <c:v>Lietuva</c:v>
                </c:pt>
                <c:pt idx="2">
                  <c:v>Igaunija</c:v>
                </c:pt>
              </c:strCache>
            </c:strRef>
          </c:cat>
          <c:val>
            <c:numRef>
              <c:f>Sheet1!$B$3:$D$3</c:f>
              <c:numCache>
                <c:formatCode>General</c:formatCode>
                <c:ptCount val="3"/>
                <c:pt idx="0">
                  <c:v>16.7</c:v>
                </c:pt>
                <c:pt idx="1">
                  <c:v>15.8</c:v>
                </c:pt>
                <c:pt idx="2">
                  <c:v>26.1</c:v>
                </c:pt>
              </c:numCache>
            </c:numRef>
          </c:val>
          <c:extLst>
            <c:ext xmlns:c="http://schemas.openxmlformats.org/drawingml/2006/chart" xmlns:c16="http://schemas.microsoft.com/office/drawing/2014/chart" uri="{C3380CC4-5D6E-409C-BE32-E72D297353CC}">
              <c16:uniqueId val="{00000001-48B8-4DB8-987B-AA6E04A517C3}"/>
            </c:ext>
          </c:extLst>
        </c:ser>
        <c:dLbls>
          <c:showLegendKey val="0"/>
          <c:showVal val="1"/>
          <c:showCatName val="0"/>
          <c:showSerName val="0"/>
          <c:showPercent val="0"/>
          <c:showBubbleSize val="0"/>
        </c:dLbls>
        <c:gapWidth val="50"/>
        <c:overlap val="100"/>
        <c:axId val="430247848"/>
        <c:axId val="430245888"/>
      </c:barChart>
      <c:catAx>
        <c:axId val="4302478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crossAx val="430245888"/>
        <c:crosses val="autoZero"/>
        <c:auto val="1"/>
        <c:lblAlgn val="ctr"/>
        <c:lblOffset val="100"/>
        <c:noMultiLvlLbl val="0"/>
      </c:catAx>
      <c:valAx>
        <c:axId val="430245888"/>
        <c:scaling>
          <c:orientation val="minMax"/>
          <c:max val="100"/>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crossAx val="430247848"/>
        <c:crosses val="autoZero"/>
        <c:crossBetween val="between"/>
        <c:majorUnit val="20"/>
      </c:valAx>
      <c:spPr>
        <a:noFill/>
        <a:ln>
          <a:noFill/>
        </a:ln>
        <a:effectLst/>
      </c:spPr>
    </c:plotArea>
    <c:legend>
      <c:legendPos val="b"/>
      <c:layout>
        <c:manualLayout>
          <c:xMode val="edge"/>
          <c:yMode val="edge"/>
          <c:x val="0.076227614405342189"/>
          <c:y val="0.91860603121530393"/>
          <c:w val="0.84754405699287594"/>
          <c:h val="0.077476103574573435"/>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5001660908336"/>
          <c:y val="0.036613379476758953"/>
          <c:w val="0.84309194788518937"/>
          <c:h val="0.8110989433647795"/>
        </c:manualLayout>
      </c:layout>
      <c:barChart>
        <c:barDir val="col"/>
        <c:grouping val="clustered"/>
        <c:varyColors val="0"/>
        <c:ser>
          <c:idx val="1"/>
          <c:order val="0"/>
          <c:tx>
            <c:strRef>
              <c:f>Sheet1!$A$2</c:f>
              <c:strCache>
                <c:ptCount val="1"/>
                <c:pt idx="0">
                  <c:v>Latvijas daļa Baltijas reģiona piesaistīto ĀTI plūsmās</c:v>
                </c:pt>
              </c:strCache>
            </c:strRef>
          </c:tx>
          <c:spPr>
            <a:ln>
              <a:noFill/>
            </a:ln>
          </c:spPr>
          <c:invertIfNegative val="0"/>
          <c:cat>
            <c:numRef>
              <c:f>Sheet1!$B$1:$R$1</c:f>
              <c:numCache>
                <c:formatCode>0</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Sheet1!$B$2:$R$2</c:f>
              <c:numCache>
                <c:formatCode>0</c:formatCode>
                <c:ptCount val="14"/>
                <c:pt idx="0">
                  <c:v>29.10298292692412</c:v>
                </c:pt>
                <c:pt idx="1">
                  <c:v>31.990551945780677</c:v>
                </c:pt>
                <c:pt idx="2">
                  <c:v>27.111975771179591</c:v>
                </c:pt>
                <c:pt idx="3">
                  <c:v>17.730186480186482</c:v>
                </c:pt>
                <c:pt idx="4">
                  <c:v>22.5005627552497</c:v>
                </c:pt>
                <c:pt idx="5">
                  <c:v>29.409652485338789</c:v>
                </c:pt>
                <c:pt idx="6">
                  <c:v>36.810044506377345</c:v>
                </c:pt>
                <c:pt idx="7">
                  <c:v>40.616573483036525</c:v>
                </c:pt>
                <c:pt idx="8">
                  <c:v>45.306919561730396</c:v>
                </c:pt>
                <c:pt idx="9">
                  <c:v>40.2140653917335</c:v>
                </c:pt>
              </c:numCache>
            </c:numRef>
          </c:val>
          <c:extLst>
            <c:ext xmlns:c="http://schemas.openxmlformats.org/drawingml/2006/chart" xmlns:c16="http://schemas.microsoft.com/office/drawing/2014/chart" uri="{C3380CC4-5D6E-409C-BE32-E72D297353CC}">
              <c16:uniqueId val="{00000000-8205-4EDB-A530-A864F2FB7E29}"/>
            </c:ext>
          </c:extLst>
        </c:ser>
        <c:dLbls>
          <c:showLegendKey val="0"/>
          <c:showVal val="0"/>
          <c:showCatName val="0"/>
          <c:showSerName val="0"/>
          <c:showPercent val="0"/>
          <c:showBubbleSize val="0"/>
        </c:dLbls>
        <c:gapWidth val="40"/>
        <c:axId val="436119576"/>
        <c:axId val="436119968"/>
      </c:barChart>
      <c:lineChart>
        <c:grouping val="standard"/>
        <c:varyColors val="0"/>
        <c:ser>
          <c:idx val="0"/>
          <c:order val="1"/>
          <c:tx>
            <c:strRef>
              <c:f>Sheet1!$A$3</c:f>
              <c:strCache>
                <c:ptCount val="1"/>
                <c:pt idx="0">
                  <c:v>ĀTI snieguma indekss</c:v>
                </c:pt>
              </c:strCache>
            </c:strRef>
          </c:tx>
          <c:marker>
            <c:symbol val="none"/>
          </c:marker>
          <c:dPt>
            <c:idx val="0"/>
            <c:bubble3D val="0"/>
            <c:spPr>
              <a:ln w="28575">
                <a:solidFill>
                  <a:schemeClr val="phClr">
                    <a:shade val="95000"/>
                    <a:satMod val="105000"/>
                  </a:schemeClr>
                </a:solidFill>
                <a:prstDash val="sysDash"/>
              </a:ln>
            </c:spPr>
            <c:extLst>
              <c:ext xmlns:c="http://schemas.openxmlformats.org/drawingml/2006/chart" xmlns:c16="http://schemas.microsoft.com/office/drawing/2014/chart" uri="{C3380CC4-5D6E-409C-BE32-E72D297353CC}">
                <c16:uniqueId val="{00000002-8205-4EDB-A530-A864F2FB7E29}"/>
              </c:ext>
            </c:extLst>
          </c:dPt>
          <c:dPt>
            <c:idx val="10"/>
            <c:bubble3D val="0"/>
            <c:spPr>
              <a:ln w="19050">
                <a:solidFill>
                  <a:schemeClr val="phClr">
                    <a:shade val="95000"/>
                    <a:satMod val="105000"/>
                  </a:schemeClr>
                </a:solidFill>
                <a:prstDash val="sysDash"/>
              </a:ln>
            </c:spPr>
            <c:extLst>
              <c:ext xmlns:c="http://schemas.openxmlformats.org/drawingml/2006/chart" xmlns:c16="http://schemas.microsoft.com/office/drawing/2014/chart" uri="{C3380CC4-5D6E-409C-BE32-E72D297353CC}">
                <c16:uniqueId val="{00000004-8205-4EDB-A530-A864F2FB7E29}"/>
              </c:ext>
            </c:extLst>
          </c:dPt>
          <c:dPt>
            <c:idx val="11"/>
            <c:bubble3D val="0"/>
            <c:spPr>
              <a:ln w="19050">
                <a:solidFill>
                  <a:schemeClr val="phClr">
                    <a:shade val="95000"/>
                    <a:satMod val="105000"/>
                  </a:schemeClr>
                </a:solidFill>
                <a:prstDash val="sysDash"/>
              </a:ln>
            </c:spPr>
            <c:extLst>
              <c:ext xmlns:c="http://schemas.openxmlformats.org/drawingml/2006/chart" xmlns:c16="http://schemas.microsoft.com/office/drawing/2014/chart" uri="{C3380CC4-5D6E-409C-BE32-E72D297353CC}">
                <c16:uniqueId val="{00000006-8205-4EDB-A530-A864F2FB7E29}"/>
              </c:ext>
            </c:extLst>
          </c:dPt>
          <c:dPt>
            <c:idx val="12"/>
            <c:bubble3D val="0"/>
            <c:spPr>
              <a:ln w="19050">
                <a:solidFill>
                  <a:schemeClr val="phClr">
                    <a:shade val="95000"/>
                    <a:satMod val="105000"/>
                  </a:schemeClr>
                </a:solidFill>
                <a:prstDash val="sysDash"/>
              </a:ln>
            </c:spPr>
            <c:extLst>
              <c:ext xmlns:c="http://schemas.openxmlformats.org/drawingml/2006/chart" xmlns:c16="http://schemas.microsoft.com/office/drawing/2014/chart" uri="{C3380CC4-5D6E-409C-BE32-E72D297353CC}">
                <c16:uniqueId val="{00000008-8205-4EDB-A530-A864F2FB7E29}"/>
              </c:ext>
            </c:extLst>
          </c:dPt>
          <c:dPt>
            <c:idx val="13"/>
            <c:bubble3D val="0"/>
            <c:spPr>
              <a:ln w="19050">
                <a:solidFill>
                  <a:schemeClr val="phClr">
                    <a:shade val="95000"/>
                    <a:satMod val="105000"/>
                  </a:schemeClr>
                </a:solidFill>
                <a:prstDash val="sysDash"/>
              </a:ln>
            </c:spPr>
            <c:extLst>
              <c:ext xmlns:c="http://schemas.openxmlformats.org/drawingml/2006/chart" xmlns:c16="http://schemas.microsoft.com/office/drawing/2014/chart" uri="{C3380CC4-5D6E-409C-BE32-E72D297353CC}">
                <c16:uniqueId val="{0000000A-8205-4EDB-A530-A864F2FB7E29}"/>
              </c:ext>
            </c:extLst>
          </c:dPt>
          <c:dLbls>
            <c:dLbl>
              <c:idx val="13"/>
              <c:dLblPos val="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A-8205-4EDB-A530-A864F2FB7E29}"/>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Sheet1!$B$1:$R$1</c:f>
              <c:numCache>
                <c:formatCode>0</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Sheet1!$B$3:$R$3</c:f>
              <c:numCache>
                <c:formatCode>0.0</c:formatCode>
                <c:ptCount val="14"/>
                <c:pt idx="0">
                  <c:v>0.91989413533333353</c:v>
                </c:pt>
                <c:pt idx="1">
                  <c:v>0.97975351671610444</c:v>
                </c:pt>
                <c:pt idx="2">
                  <c:v>0.83002059545535145</c:v>
                </c:pt>
                <c:pt idx="3">
                  <c:v>0.56325791440029693</c:v>
                </c:pt>
                <c:pt idx="4">
                  <c:v>0.74454127283818461</c:v>
                </c:pt>
                <c:pt idx="5">
                  <c:v>0.98851714366313426</c:v>
                </c:pt>
                <c:pt idx="6">
                  <c:v>1.2355566099422708</c:v>
                </c:pt>
                <c:pt idx="7">
                  <c:v>1.3666662038625494</c:v>
                </c:pt>
                <c:pt idx="8">
                  <c:v>1.5272264540486904</c:v>
                </c:pt>
                <c:pt idx="9">
                  <c:v>1.3575545886645732</c:v>
                </c:pt>
                <c:pt idx="10">
                  <c:v>1</c:v>
                </c:pt>
                <c:pt idx="11">
                  <c:v>1.2</c:v>
                </c:pt>
                <c:pt idx="12">
                  <c:v>1.2</c:v>
                </c:pt>
                <c:pt idx="13">
                  <c:v>1.2</c:v>
                </c:pt>
              </c:numCache>
            </c:numRef>
          </c:val>
          <c:smooth val="0"/>
          <c:extLst>
            <c:ext xmlns:c="http://schemas.openxmlformats.org/drawingml/2006/chart" xmlns:c16="http://schemas.microsoft.com/office/drawing/2014/chart" uri="{C3380CC4-5D6E-409C-BE32-E72D297353CC}">
              <c16:uniqueId val="{0000000B-8205-4EDB-A530-A864F2FB7E29}"/>
            </c:ext>
          </c:extLst>
        </c:ser>
        <c:dLbls>
          <c:showLegendKey val="0"/>
          <c:showVal val="0"/>
          <c:showCatName val="0"/>
          <c:showSerName val="0"/>
          <c:showPercent val="0"/>
          <c:showBubbleSize val="0"/>
        </c:dLbls>
        <c:marker val="1"/>
        <c:smooth val="0"/>
        <c:axId val="436121144"/>
        <c:axId val="436121928"/>
      </c:lineChart>
      <c:catAx>
        <c:axId val="436119576"/>
        <c:scaling>
          <c:orientation val="minMax"/>
        </c:scaling>
        <c:delete val="0"/>
        <c:axPos val="b"/>
        <c:numFmt formatCode="0" sourceLinked="1"/>
        <c:majorTickMark val="out"/>
        <c:minorTickMark val="none"/>
        <c:tickLblPos val="low"/>
        <c:spPr>
          <a:ln w="3175">
            <a:noFill/>
          </a:ln>
        </c:spPr>
        <c:txPr>
          <a:bodyPr rot="-5400000" vert="horz"/>
          <a:lstStyle/>
          <a:p>
            <a:pPr>
              <a:defRPr/>
            </a:pPr>
            <a:endParaRPr lang="lv-LV"/>
          </a:p>
        </c:txPr>
        <c:crossAx val="436119968"/>
        <c:crosses val="autoZero"/>
        <c:lblAlgn val="ctr"/>
        <c:lblOffset val="0"/>
        <c:tickLblSkip val="1"/>
        <c:noMultiLvlLbl val="1"/>
      </c:catAx>
      <c:valAx>
        <c:axId val="436119968"/>
        <c:scaling>
          <c:orientation val="minMax"/>
          <c:max val="60"/>
          <c:min val="0"/>
        </c:scaling>
        <c:delete val="0"/>
        <c:axPos val="l"/>
        <c:numFmt formatCode="0" sourceLinked="0"/>
        <c:majorTickMark val="out"/>
        <c:minorTickMark val="none"/>
        <c:tickLblPos val="nextTo"/>
        <c:spPr>
          <a:ln w="3175">
            <a:noFill/>
          </a:ln>
        </c:spPr>
        <c:txPr>
          <a:bodyPr rot="0" vert="horz"/>
          <a:lstStyle/>
          <a:p>
            <a:pPr>
              <a:defRPr/>
            </a:pPr>
            <a:endParaRPr lang="lv-LV"/>
          </a:p>
        </c:txPr>
        <c:crossAx val="436119576"/>
        <c:crosses val="autoZero"/>
        <c:crossBetween val="between"/>
        <c:majorUnit val="15"/>
      </c:valAx>
      <c:valAx>
        <c:axId val="436121928"/>
        <c:scaling>
          <c:orientation val="minMax"/>
          <c:max val="3"/>
        </c:scaling>
        <c:delete val="0"/>
        <c:axPos val="r"/>
        <c:numFmt formatCode="0.0" sourceLinked="1"/>
        <c:majorTickMark val="out"/>
        <c:minorTickMark val="none"/>
        <c:tickLblPos val="nextTo"/>
        <c:spPr>
          <a:noFill/>
          <a:ln w="9525">
            <a:noFill/>
          </a:ln>
        </c:spPr>
        <c:crossAx val="436121144"/>
        <c:crosses val="max"/>
        <c:crossBetween val="between"/>
        <c:majorUnit val="0.5"/>
      </c:valAx>
      <c:catAx>
        <c:axId val="436121144"/>
        <c:scaling>
          <c:orientation val="minMax"/>
        </c:scaling>
        <c:delete val="1"/>
        <c:axPos val="b"/>
        <c:numFmt formatCode="0" sourceLinked="1"/>
        <c:majorTickMark val="out"/>
        <c:minorTickMark val="none"/>
        <c:tickLblPos val="low"/>
        <c:spPr>
          <a:ln w="3175">
            <a:noFill/>
          </a:ln>
        </c:spPr>
        <c:txPr>
          <a:bodyPr rot="-5400000" vert="horz"/>
          <a:lstStyle/>
          <a:p>
            <a:pPr>
              <a:defRPr/>
            </a:pPr>
            <a:endParaRPr lang="lv-LV"/>
          </a:p>
        </c:txPr>
        <c:crossAx val="436121928"/>
        <c:crosses val="autoZero"/>
        <c:lblAlgn val="ctr"/>
        <c:lblOffset val="0"/>
        <c:tickLblSkip val="1"/>
        <c:noMultiLvlLbl val="1"/>
      </c:catAx>
      <c:spPr>
        <a:noFill/>
        <a:ln w="24631">
          <a:noFill/>
        </a:ln>
      </c:spPr>
    </c:plotArea>
    <c:legend>
      <c:legendPos val="l"/>
      <c:layout>
        <c:manualLayout>
          <c:xMode val="edge"/>
          <c:yMode val="edge"/>
          <c:x val="0.027020229713625631"/>
          <c:y val="0.029992942836979536"/>
          <c:w val="0.95344314551210352"/>
          <c:h val="0.27998043998910865"/>
        </c:manualLayout>
      </c:layout>
      <c:overlay val="0"/>
    </c:legend>
    <c:plotVisOnly val="1"/>
    <c:dispBlanksAs val="gap"/>
    <c:showDLblsOverMax val="0"/>
  </c:chart>
  <c:spPr>
    <a:noFill/>
    <a:ln w="9525">
      <a:noFill/>
    </a:ln>
  </c:spPr>
  <c:txPr>
    <a:bodyPr/>
    <a:lstStyle/>
    <a:p>
      <a:pPr>
        <a:defRPr sz="800" b="0" i="0" u="none" strike="noStrike" baseline="0">
          <a:solidFill>
            <a:srgbClr val="000000"/>
          </a:solidFill>
          <a:latin typeface="Candara" panose="020E0502030303020204" pitchFamily="34" charset="0"/>
          <a:ea typeface="Arial"/>
          <a:cs typeface="Arial"/>
        </a:defRPr>
      </a:pPr>
      <a:endParaRPr lang="lv-LV"/>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7419877825006389"/>
          <c:y val="0.056565656565656569"/>
          <c:w val="0.92662142011009685"/>
          <c:h val="0.44934319573689652"/>
        </c:manualLayout>
      </c:layout>
      <c:barChart>
        <c:barDir val="col"/>
        <c:grouping val="clustered"/>
        <c:varyColors val="0"/>
        <c:ser>
          <c:idx val="0"/>
          <c:order val="0"/>
          <c:tx>
            <c:strRef>
              <c:f>Sheet1!$B$1</c:f>
              <c:strCache>
                <c:ptCount val="1"/>
                <c:pt idx="0">
                  <c:v>2015</c:v>
                </c:pt>
              </c:strCache>
            </c:strRef>
          </c:tx>
          <c:spPr>
            <a:solidFill>
              <a:schemeClr val="accent1"/>
            </a:solidFill>
            <a:ln>
              <a:noFill/>
            </a:ln>
            <a:effectLst/>
          </c:spPr>
          <c:invertIfNegative val="0"/>
          <c:dPt>
            <c:idx val="7"/>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0B57-416B-9D72-9DED997AACE7}"/>
              </c:ext>
            </c:extLst>
          </c:dPt>
          <c:cat>
            <c:strRef>
              <c:f>Sheet1!$A$2:$A$29</c:f>
              <c:strCache>
                <c:ptCount val="28"/>
                <c:pt idx="0">
                  <c:v>Kipra</c:v>
                </c:pt>
                <c:pt idx="1">
                  <c:v>Luksemburga</c:v>
                </c:pt>
                <c:pt idx="2">
                  <c:v>Grieķija</c:v>
                </c:pt>
                <c:pt idx="3">
                  <c:v>Apvienotā Karaliste</c:v>
                </c:pt>
                <c:pt idx="4">
                  <c:v>Malta</c:v>
                </c:pt>
                <c:pt idx="5">
                  <c:v>Francija</c:v>
                </c:pt>
                <c:pt idx="6">
                  <c:v>Nīderlande</c:v>
                </c:pt>
                <c:pt idx="7">
                  <c:v>Latvija</c:v>
                </c:pt>
                <c:pt idx="8">
                  <c:v>Portugāle</c:v>
                </c:pt>
                <c:pt idx="9">
                  <c:v>Spānija</c:v>
                </c:pt>
                <c:pt idx="10">
                  <c:v>Dānija</c:v>
                </c:pt>
                <c:pt idx="11">
                  <c:v>Beļģija</c:v>
                </c:pt>
                <c:pt idx="12">
                  <c:v>Horvātija</c:v>
                </c:pt>
                <c:pt idx="13">
                  <c:v>Bulgārija</c:v>
                </c:pt>
                <c:pt idx="14">
                  <c:v>Itālija</c:v>
                </c:pt>
                <c:pt idx="15">
                  <c:v>Igaunija</c:v>
                </c:pt>
                <c:pt idx="16">
                  <c:v>Zviedrija</c:v>
                </c:pt>
                <c:pt idx="17">
                  <c:v>Somija</c:v>
                </c:pt>
                <c:pt idx="18">
                  <c:v>Polija</c:v>
                </c:pt>
                <c:pt idx="19">
                  <c:v>Austrija</c:v>
                </c:pt>
                <c:pt idx="20">
                  <c:v>Lietuva</c:v>
                </c:pt>
                <c:pt idx="21">
                  <c:v>Slovākija</c:v>
                </c:pt>
                <c:pt idx="22">
                  <c:v>Īrija</c:v>
                </c:pt>
                <c:pt idx="23">
                  <c:v>Slovēnija</c:v>
                </c:pt>
                <c:pt idx="24">
                  <c:v>Ungārija</c:v>
                </c:pt>
                <c:pt idx="25">
                  <c:v>Vācija</c:v>
                </c:pt>
                <c:pt idx="26">
                  <c:v>Rumānija</c:v>
                </c:pt>
                <c:pt idx="27">
                  <c:v>Čehija</c:v>
                </c:pt>
              </c:strCache>
            </c:strRef>
          </c:cat>
          <c:val>
            <c:numRef>
              <c:f>Sheet1!$B$2:$B$29</c:f>
              <c:numCache>
                <c:formatCode>0.0</c:formatCode>
                <c:ptCount val="28"/>
                <c:pt idx="0">
                  <c:v>4.5571939835938551</c:v>
                </c:pt>
                <c:pt idx="1">
                  <c:v>5.445995399456125</c:v>
                </c:pt>
                <c:pt idx="2">
                  <c:v>9.36797072222607</c:v>
                </c:pt>
                <c:pt idx="3">
                  <c:v>10.118856296188641</c:v>
                </c:pt>
                <c:pt idx="4">
                  <c:v>11.052820132798736</c:v>
                </c:pt>
                <c:pt idx="5">
                  <c:v>11.272267184950413</c:v>
                </c:pt>
                <c:pt idx="6">
                  <c:v>11.512949907361419</c:v>
                </c:pt>
                <c:pt idx="7">
                  <c:v>12.671491772996498</c:v>
                </c:pt>
                <c:pt idx="8">
                  <c:v>13.214503346859308</c:v>
                </c:pt>
                <c:pt idx="9">
                  <c:v>13.47352706584882</c:v>
                </c:pt>
                <c:pt idx="10">
                  <c:v>13.478042292348787</c:v>
                </c:pt>
                <c:pt idx="11">
                  <c:v>14.022551778080878</c:v>
                </c:pt>
                <c:pt idx="12">
                  <c:v>14.417018188415659</c:v>
                </c:pt>
                <c:pt idx="13">
                  <c:v>15.220469495561414</c:v>
                </c:pt>
                <c:pt idx="14">
                  <c:v>15.423046442509914</c:v>
                </c:pt>
                <c:pt idx="15">
                  <c:v>15.869720497208615</c:v>
                </c:pt>
                <c:pt idx="16">
                  <c:v>16.825120627306639</c:v>
                </c:pt>
                <c:pt idx="17">
                  <c:v>16.898357379587573</c:v>
                </c:pt>
                <c:pt idx="18">
                  <c:v>18.430211213205688</c:v>
                </c:pt>
                <c:pt idx="19">
                  <c:v>18.70306745155791</c:v>
                </c:pt>
                <c:pt idx="20">
                  <c:v>19.740749092242492</c:v>
                </c:pt>
                <c:pt idx="21">
                  <c:v>20.991059614737576</c:v>
                </c:pt>
                <c:pt idx="22">
                  <c:v>21.607331779120116</c:v>
                </c:pt>
                <c:pt idx="23">
                  <c:v>22.385884799854281</c:v>
                </c:pt>
                <c:pt idx="24">
                  <c:v>22.722139088494071</c:v>
                </c:pt>
                <c:pt idx="25">
                  <c:v>22.7370639525007</c:v>
                </c:pt>
                <c:pt idx="26">
                  <c:v>23.124111407938081</c:v>
                </c:pt>
                <c:pt idx="27">
                  <c:v>25.436338394226095</c:v>
                </c:pt>
              </c:numCache>
            </c:numRef>
          </c:val>
          <c:extLst>
            <c:ext xmlns:c="http://schemas.openxmlformats.org/drawingml/2006/chart" xmlns:c16="http://schemas.microsoft.com/office/drawing/2014/chart" uri="{C3380CC4-5D6E-409C-BE32-E72D297353CC}">
              <c16:uniqueId val="{00000002-0B57-416B-9D72-9DED997AACE7}"/>
            </c:ext>
          </c:extLst>
        </c:ser>
        <c:dLbls>
          <c:showLegendKey val="0"/>
          <c:showVal val="0"/>
          <c:showCatName val="0"/>
          <c:showSerName val="0"/>
          <c:showPercent val="0"/>
          <c:showBubbleSize val="0"/>
        </c:dLbls>
        <c:gapWidth val="50"/>
        <c:overlap val="-27"/>
        <c:axId val="436122712"/>
        <c:axId val="436115656"/>
      </c:barChart>
      <c:lineChart>
        <c:grouping val="standard"/>
        <c:varyColors val="0"/>
        <c:ser>
          <c:idx val="1"/>
          <c:order val="1"/>
          <c:tx>
            <c:strRef>
              <c:f>Sheet1!$C$1</c:f>
              <c:strCache>
                <c:ptCount val="1"/>
                <c:pt idx="0">
                  <c:v>ES-28</c:v>
                </c:pt>
              </c:strCache>
            </c:strRef>
          </c:tx>
          <c:spPr>
            <a:ln w="28575" cap="rnd">
              <a:solidFill>
                <a:schemeClr val="accent2"/>
              </a:solidFill>
              <a:round/>
            </a:ln>
            <a:effectLst/>
          </c:spPr>
          <c:marker>
            <c:symbol val="none"/>
          </c:marker>
          <c:cat>
            <c:strRef>
              <c:f>Sheet1!$A$2:$A$29</c:f>
              <c:strCache>
                <c:ptCount val="28"/>
                <c:pt idx="0">
                  <c:v>Kipra</c:v>
                </c:pt>
                <c:pt idx="1">
                  <c:v>Luksemburga</c:v>
                </c:pt>
                <c:pt idx="2">
                  <c:v>Grieķija</c:v>
                </c:pt>
                <c:pt idx="3">
                  <c:v>Apvienotā Karaliste</c:v>
                </c:pt>
                <c:pt idx="4">
                  <c:v>Malta</c:v>
                </c:pt>
                <c:pt idx="5">
                  <c:v>Francija</c:v>
                </c:pt>
                <c:pt idx="6">
                  <c:v>Nīderlande</c:v>
                </c:pt>
                <c:pt idx="7">
                  <c:v>Latvija</c:v>
                </c:pt>
                <c:pt idx="8">
                  <c:v>Portugāle</c:v>
                </c:pt>
                <c:pt idx="9">
                  <c:v>Spānija</c:v>
                </c:pt>
                <c:pt idx="10">
                  <c:v>Dānija</c:v>
                </c:pt>
                <c:pt idx="11">
                  <c:v>Beļģija</c:v>
                </c:pt>
                <c:pt idx="12">
                  <c:v>Horvātija</c:v>
                </c:pt>
                <c:pt idx="13">
                  <c:v>Bulgārija</c:v>
                </c:pt>
                <c:pt idx="14">
                  <c:v>Itālija</c:v>
                </c:pt>
                <c:pt idx="15">
                  <c:v>Igaunija</c:v>
                </c:pt>
                <c:pt idx="16">
                  <c:v>Zviedrija</c:v>
                </c:pt>
                <c:pt idx="17">
                  <c:v>Somija</c:v>
                </c:pt>
                <c:pt idx="18">
                  <c:v>Polija</c:v>
                </c:pt>
                <c:pt idx="19">
                  <c:v>Austrija</c:v>
                </c:pt>
                <c:pt idx="20">
                  <c:v>Lietuva</c:v>
                </c:pt>
                <c:pt idx="21">
                  <c:v>Slovākija</c:v>
                </c:pt>
                <c:pt idx="22">
                  <c:v>Īrija</c:v>
                </c:pt>
                <c:pt idx="23">
                  <c:v>Slovēnija</c:v>
                </c:pt>
                <c:pt idx="24">
                  <c:v>Ungārija</c:v>
                </c:pt>
                <c:pt idx="25">
                  <c:v>Vācija</c:v>
                </c:pt>
                <c:pt idx="26">
                  <c:v>Rumānija</c:v>
                </c:pt>
                <c:pt idx="27">
                  <c:v>Čehija</c:v>
                </c:pt>
              </c:strCache>
            </c:strRef>
          </c:cat>
          <c:val>
            <c:numRef>
              <c:f>Sheet1!$C$2:$C$29</c:f>
              <c:numCache>
                <c:formatCode>General</c:formatCode>
                <c:ptCount val="28"/>
                <c:pt idx="0">
                  <c:v>15.5</c:v>
                </c:pt>
                <c:pt idx="1">
                  <c:v>15.5</c:v>
                </c:pt>
                <c:pt idx="2">
                  <c:v>15.5</c:v>
                </c:pt>
                <c:pt idx="3">
                  <c:v>15.5</c:v>
                </c:pt>
                <c:pt idx="4">
                  <c:v>15.5</c:v>
                </c:pt>
                <c:pt idx="5">
                  <c:v>15.5</c:v>
                </c:pt>
                <c:pt idx="6">
                  <c:v>15.5</c:v>
                </c:pt>
                <c:pt idx="7">
                  <c:v>15.5</c:v>
                </c:pt>
                <c:pt idx="8">
                  <c:v>15.5</c:v>
                </c:pt>
                <c:pt idx="9">
                  <c:v>15.5</c:v>
                </c:pt>
                <c:pt idx="10">
                  <c:v>15.5</c:v>
                </c:pt>
                <c:pt idx="11">
                  <c:v>15.5</c:v>
                </c:pt>
                <c:pt idx="12">
                  <c:v>15.5</c:v>
                </c:pt>
                <c:pt idx="13">
                  <c:v>15.5</c:v>
                </c:pt>
                <c:pt idx="14">
                  <c:v>15.5</c:v>
                </c:pt>
                <c:pt idx="15">
                  <c:v>15.5</c:v>
                </c:pt>
                <c:pt idx="16">
                  <c:v>15.5</c:v>
                </c:pt>
                <c:pt idx="17">
                  <c:v>15.5</c:v>
                </c:pt>
                <c:pt idx="18">
                  <c:v>15.5</c:v>
                </c:pt>
                <c:pt idx="19">
                  <c:v>15.5</c:v>
                </c:pt>
                <c:pt idx="20">
                  <c:v>15.5</c:v>
                </c:pt>
                <c:pt idx="21">
                  <c:v>15.5</c:v>
                </c:pt>
                <c:pt idx="22">
                  <c:v>15.5</c:v>
                </c:pt>
                <c:pt idx="23">
                  <c:v>15.5</c:v>
                </c:pt>
                <c:pt idx="24">
                  <c:v>15.5</c:v>
                </c:pt>
                <c:pt idx="25">
                  <c:v>15.5</c:v>
                </c:pt>
                <c:pt idx="26">
                  <c:v>15.5</c:v>
                </c:pt>
                <c:pt idx="27">
                  <c:v>15.5</c:v>
                </c:pt>
              </c:numCache>
            </c:numRef>
          </c:val>
          <c:smooth val="0"/>
          <c:extLst>
            <c:ext xmlns:c="http://schemas.openxmlformats.org/drawingml/2006/chart" xmlns:c16="http://schemas.microsoft.com/office/drawing/2014/chart" uri="{C3380CC4-5D6E-409C-BE32-E72D297353CC}">
              <c16:uniqueId val="{00000003-0B57-416B-9D72-9DED997AACE7}"/>
            </c:ext>
          </c:extLst>
        </c:ser>
        <c:dLbls>
          <c:showLegendKey val="0"/>
          <c:showVal val="0"/>
          <c:showCatName val="0"/>
          <c:showSerName val="0"/>
          <c:showPercent val="0"/>
          <c:showBubbleSize val="0"/>
        </c:dLbls>
        <c:marker val="1"/>
        <c:smooth val="0"/>
        <c:axId val="436122712"/>
        <c:axId val="436115656"/>
      </c:lineChart>
      <c:catAx>
        <c:axId val="4361227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mn-lt"/>
                <a:ea typeface="+mn-ea"/>
                <a:cs typeface="+mn-cs"/>
              </a:defRPr>
            </a:pPr>
            <a:endParaRPr lang="lv-LV"/>
          </a:p>
        </c:txPr>
        <c:crossAx val="436115656"/>
        <c:crosses val="autoZero"/>
        <c:auto val="1"/>
        <c:lblAlgn val="ctr"/>
        <c:lblOffset val="100"/>
        <c:noMultiLvlLbl val="0"/>
      </c:catAx>
      <c:valAx>
        <c:axId val="436115656"/>
        <c:scaling>
          <c:orientation val="minMax"/>
        </c:scaling>
        <c:delete val="0"/>
        <c:axPos val="l"/>
        <c:numFmt formatCode="0" sourceLinked="0"/>
        <c:majorTickMark val="none"/>
        <c:minorTickMark val="none"/>
        <c:tickLblPos val="nextTo"/>
        <c:spPr>
          <a:noFill/>
          <a:ln w="6350">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lv-LV"/>
          </a:p>
        </c:txPr>
        <c:crossAx val="436122712"/>
        <c:crosses val="autoZero"/>
        <c:crossBetween val="between"/>
      </c:valAx>
      <c:spPr>
        <a:noFill/>
        <a:ln>
          <a:noFill/>
        </a:ln>
        <a:effectLst/>
      </c:spPr>
    </c:plotArea>
    <c:legend>
      <c:legendPos val="b"/>
      <c:legendEntry>
        <c:idx val="0"/>
        <c:delete val="1"/>
      </c:legendEntry>
      <c:layout>
        <c:manualLayout>
          <c:xMode val="edge"/>
          <c:yMode val="edge"/>
          <c:x val="0.062166965971358845"/>
          <c:y val="0.052133937803229141"/>
          <c:w val="0.16030541636840848"/>
          <c:h val="0.136364590789787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chart>
  <c:spPr>
    <a:noFill/>
    <a:ln w="9525">
      <a:noFill/>
      <a:round/>
    </a:ln>
    <a:effectLst/>
  </c:spPr>
  <c:txPr>
    <a:bodyPr/>
    <a:lstStyle/>
    <a:p>
      <a:pPr>
        <a:defRPr/>
      </a:pPr>
      <a:endParaRPr lang="lv-LV"/>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96893120918025"/>
          <c:y val="0.067985033785670418"/>
          <c:w val="0.8556336271919498"/>
          <c:h val="0.4150995394443619"/>
        </c:manualLayout>
      </c:layout>
      <c:barChart>
        <c:barDir val="col"/>
        <c:grouping val="stacked"/>
        <c:varyColors val="0"/>
        <c:ser>
          <c:idx val="0"/>
          <c:order val="0"/>
          <c:tx>
            <c:strRef>
              <c:f>Sheet1!$A$2</c:f>
              <c:strCache>
                <c:ptCount val="1"/>
                <c:pt idx="0">
                  <c:v>Pārtikas rūpniecība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Igaunija</c:v>
                </c:pt>
                <c:pt idx="1">
                  <c:v>Latvija</c:v>
                </c:pt>
                <c:pt idx="2">
                  <c:v>Lietuva</c:v>
                </c:pt>
              </c:strCache>
            </c:strRef>
          </c:cat>
          <c:val>
            <c:numRef>
              <c:f>Sheet1!$B$2:$D$2</c:f>
              <c:numCache>
                <c:formatCode>0.0</c:formatCode>
                <c:ptCount val="3"/>
                <c:pt idx="0">
                  <c:v>347</c:v>
                </c:pt>
                <c:pt idx="1">
                  <c:v>572</c:v>
                </c:pt>
                <c:pt idx="2">
                  <c:v>1439.6</c:v>
                </c:pt>
              </c:numCache>
            </c:numRef>
          </c:val>
          <c:extLst>
            <c:ext xmlns:c="http://schemas.openxmlformats.org/drawingml/2006/chart" xmlns:c16="http://schemas.microsoft.com/office/drawing/2014/chart" uri="{C3380CC4-5D6E-409C-BE32-E72D297353CC}">
              <c16:uniqueId val="{00000000-5C90-4377-8ED6-28A30E1D1A08}"/>
            </c:ext>
          </c:extLst>
        </c:ser>
        <c:ser>
          <c:idx val="1"/>
          <c:order val="1"/>
          <c:tx>
            <c:strRef>
              <c:f>Sheet1!$A$3</c:f>
              <c:strCache>
                <c:ptCount val="1"/>
                <c:pt idx="0">
                  <c:v>Vieglā rūpniecība</c:v>
                </c:pt>
              </c:strCache>
            </c:strRef>
          </c:tx>
          <c:spPr>
            <a:solidFill>
              <a:schemeClr val="accent2"/>
            </a:solidFill>
            <a:ln>
              <a:noFill/>
            </a:ln>
            <a:effectLst/>
          </c:spPr>
          <c:invertIfNegative val="0"/>
          <c:cat>
            <c:strRef>
              <c:f>Sheet1!$B$1:$D$1</c:f>
              <c:strCache>
                <c:ptCount val="3"/>
                <c:pt idx="0">
                  <c:v>Igaunija</c:v>
                </c:pt>
                <c:pt idx="1">
                  <c:v>Latvija</c:v>
                </c:pt>
                <c:pt idx="2">
                  <c:v>Lietuva</c:v>
                </c:pt>
              </c:strCache>
            </c:strRef>
          </c:cat>
          <c:val>
            <c:numRef>
              <c:f>Sheet1!$B$3:$D$3</c:f>
              <c:numCache>
                <c:formatCode>0.0</c:formatCode>
                <c:ptCount val="3"/>
                <c:pt idx="0">
                  <c:v>161</c:v>
                </c:pt>
                <c:pt idx="1">
                  <c:v>129.9</c:v>
                </c:pt>
                <c:pt idx="2">
                  <c:v>493.7</c:v>
                </c:pt>
              </c:numCache>
            </c:numRef>
          </c:val>
          <c:extLst>
            <c:ext xmlns:c="http://schemas.openxmlformats.org/drawingml/2006/chart" xmlns:c16="http://schemas.microsoft.com/office/drawing/2014/chart" uri="{C3380CC4-5D6E-409C-BE32-E72D297353CC}">
              <c16:uniqueId val="{00000001-5C90-4377-8ED6-28A30E1D1A08}"/>
            </c:ext>
          </c:extLst>
        </c:ser>
        <c:ser>
          <c:idx val="2"/>
          <c:order val="2"/>
          <c:tx>
            <c:strRef>
              <c:f>Sheet1!$A$4</c:f>
              <c:strCache>
                <c:ptCount val="1"/>
                <c:pt idx="0">
                  <c:v>Kokapstrāde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Igaunija</c:v>
                </c:pt>
                <c:pt idx="1">
                  <c:v>Latvija</c:v>
                </c:pt>
                <c:pt idx="2">
                  <c:v>Lietuva</c:v>
                </c:pt>
              </c:strCache>
            </c:strRef>
          </c:cat>
          <c:val>
            <c:numRef>
              <c:f>Sheet1!$B$4:$D$4</c:f>
              <c:numCache>
                <c:formatCode>0.0</c:formatCode>
                <c:ptCount val="3"/>
                <c:pt idx="0">
                  <c:v>411</c:v>
                </c:pt>
                <c:pt idx="1">
                  <c:v>557.1</c:v>
                </c:pt>
                <c:pt idx="2">
                  <c:v>419.6</c:v>
                </c:pt>
              </c:numCache>
            </c:numRef>
          </c:val>
          <c:extLst>
            <c:ext xmlns:c="http://schemas.openxmlformats.org/drawingml/2006/chart" xmlns:c16="http://schemas.microsoft.com/office/drawing/2014/chart" uri="{C3380CC4-5D6E-409C-BE32-E72D297353CC}">
              <c16:uniqueId val="{00000002-5C90-4377-8ED6-28A30E1D1A08}"/>
            </c:ext>
          </c:extLst>
        </c:ser>
        <c:ser>
          <c:idx val="3"/>
          <c:order val="3"/>
          <c:tx>
            <c:strRef>
              <c:f>Sheet1!$A$5</c:f>
              <c:strCache>
                <c:ptCount val="1"/>
                <c:pt idx="0">
                  <c:v>Papīra ražošana un poligrāfija</c:v>
                </c:pt>
              </c:strCache>
            </c:strRef>
          </c:tx>
          <c:spPr>
            <a:solidFill>
              <a:schemeClr val="accent4"/>
            </a:solidFill>
            <a:ln>
              <a:noFill/>
            </a:ln>
            <a:effectLst/>
          </c:spPr>
          <c:invertIfNegative val="0"/>
          <c:cat>
            <c:strRef>
              <c:f>Sheet1!$B$1:$D$1</c:f>
              <c:strCache>
                <c:ptCount val="3"/>
                <c:pt idx="0">
                  <c:v>Igaunija</c:v>
                </c:pt>
                <c:pt idx="1">
                  <c:v>Latvija</c:v>
                </c:pt>
                <c:pt idx="2">
                  <c:v>Lietuva</c:v>
                </c:pt>
              </c:strCache>
            </c:strRef>
          </c:cat>
          <c:val>
            <c:numRef>
              <c:f>Sheet1!$B$5:$D$5</c:f>
              <c:numCache>
                <c:formatCode>0.0</c:formatCode>
                <c:ptCount val="3"/>
                <c:pt idx="0">
                  <c:v>126.6</c:v>
                </c:pt>
                <c:pt idx="1">
                  <c:v>101.9</c:v>
                </c:pt>
                <c:pt idx="2">
                  <c:v>291.1</c:v>
                </c:pt>
              </c:numCache>
            </c:numRef>
          </c:val>
          <c:extLst>
            <c:ext xmlns:c="http://schemas.openxmlformats.org/drawingml/2006/chart" xmlns:c16="http://schemas.microsoft.com/office/drawing/2014/chart" uri="{C3380CC4-5D6E-409C-BE32-E72D297353CC}">
              <c16:uniqueId val="{00000003-5C90-4377-8ED6-28A30E1D1A08}"/>
            </c:ext>
          </c:extLst>
        </c:ser>
        <c:ser>
          <c:idx val="4"/>
          <c:order val="4"/>
          <c:tx>
            <c:strRef>
              <c:f>Sheet1!$A$6</c:f>
              <c:strCache>
                <c:ptCount val="1"/>
                <c:pt idx="0">
                  <c:v>Koksa un naftas pārstrādes produktu ražošana</c:v>
                </c:pt>
              </c:strCache>
            </c:strRef>
          </c:tx>
          <c:spPr>
            <a:solidFill>
              <a:schemeClr val="accent5"/>
            </a:solidFill>
            <a:ln>
              <a:noFill/>
            </a:ln>
            <a:effectLst/>
          </c:spPr>
          <c:invertIfNegative val="0"/>
          <c:cat>
            <c:strRef>
              <c:f>Sheet1!$B$1:$D$1</c:f>
              <c:strCache>
                <c:ptCount val="3"/>
                <c:pt idx="0">
                  <c:v>Igaunija</c:v>
                </c:pt>
                <c:pt idx="1">
                  <c:v>Latvija</c:v>
                </c:pt>
                <c:pt idx="2">
                  <c:v>Lietuva</c:v>
                </c:pt>
              </c:strCache>
            </c:strRef>
          </c:cat>
          <c:val>
            <c:numRef>
              <c:f>Sheet1!$B$6:$D$6</c:f>
              <c:numCache>
                <c:formatCode>0.0</c:formatCode>
                <c:ptCount val="3"/>
                <c:pt idx="0">
                  <c:v>124.5</c:v>
                </c:pt>
                <c:pt idx="1">
                  <c:v>1.2</c:v>
                </c:pt>
                <c:pt idx="2">
                  <c:v>389.8</c:v>
                </c:pt>
              </c:numCache>
            </c:numRef>
          </c:val>
          <c:extLst>
            <c:ext xmlns:c="http://schemas.openxmlformats.org/drawingml/2006/chart" xmlns:c16="http://schemas.microsoft.com/office/drawing/2014/chart" uri="{C3380CC4-5D6E-409C-BE32-E72D297353CC}">
              <c16:uniqueId val="{00000004-5C90-4377-8ED6-28A30E1D1A08}"/>
            </c:ext>
          </c:extLst>
        </c:ser>
        <c:ser>
          <c:idx val="5"/>
          <c:order val="5"/>
          <c:tx>
            <c:strRef>
              <c:f>Sheet1!$A$7</c:f>
              <c:strCache>
                <c:ptCount val="1"/>
                <c:pt idx="0">
                  <c:v>Ķīmiskā rūpniecība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Igaunija</c:v>
                </c:pt>
                <c:pt idx="1">
                  <c:v>Latvija</c:v>
                </c:pt>
                <c:pt idx="2">
                  <c:v>Lietuva</c:v>
                </c:pt>
              </c:strCache>
            </c:strRef>
          </c:cat>
          <c:val>
            <c:numRef>
              <c:f>Sheet1!$B$7:$D$7</c:f>
              <c:numCache>
                <c:formatCode>0.0</c:formatCode>
                <c:ptCount val="3"/>
                <c:pt idx="0">
                  <c:v>185.5</c:v>
                </c:pt>
                <c:pt idx="1">
                  <c:v>224.4</c:v>
                </c:pt>
                <c:pt idx="2">
                  <c:v>1022.6</c:v>
                </c:pt>
              </c:numCache>
            </c:numRef>
          </c:val>
          <c:extLst>
            <c:ext xmlns:c="http://schemas.openxmlformats.org/drawingml/2006/chart" xmlns:c16="http://schemas.microsoft.com/office/drawing/2014/chart" uri="{C3380CC4-5D6E-409C-BE32-E72D297353CC}">
              <c16:uniqueId val="{00000005-5C90-4377-8ED6-28A30E1D1A08}"/>
            </c:ext>
          </c:extLst>
        </c:ser>
        <c:ser>
          <c:idx val="6"/>
          <c:order val="6"/>
          <c:tx>
            <c:strRef>
              <c:f>Sheet1!$A$8</c:f>
              <c:strCache>
                <c:ptCount val="1"/>
                <c:pt idx="0">
                  <c:v>Nemetālisko minerālu ražošana</c:v>
                </c:pt>
              </c:strCache>
            </c:strRef>
          </c:tx>
          <c:spPr>
            <a:solidFill>
              <a:schemeClr val="accent1">
                <a:lumMod val="60000"/>
              </a:schemeClr>
            </a:solidFill>
            <a:ln>
              <a:noFill/>
            </a:ln>
            <a:effectLst/>
          </c:spPr>
          <c:invertIfNegative val="0"/>
          <c:cat>
            <c:strRef>
              <c:f>Sheet1!$B$1:$D$1</c:f>
              <c:strCache>
                <c:ptCount val="3"/>
                <c:pt idx="0">
                  <c:v>Igaunija</c:v>
                </c:pt>
                <c:pt idx="1">
                  <c:v>Latvija</c:v>
                </c:pt>
                <c:pt idx="2">
                  <c:v>Lietuva</c:v>
                </c:pt>
              </c:strCache>
            </c:strRef>
          </c:cat>
          <c:val>
            <c:numRef>
              <c:f>Sheet1!$B$8:$D$8</c:f>
              <c:numCache>
                <c:formatCode>0.0</c:formatCode>
                <c:ptCount val="3"/>
                <c:pt idx="0">
                  <c:v>124.5</c:v>
                </c:pt>
                <c:pt idx="1">
                  <c:v>194.2</c:v>
                </c:pt>
                <c:pt idx="2">
                  <c:v>242.1</c:v>
                </c:pt>
              </c:numCache>
            </c:numRef>
          </c:val>
          <c:extLst>
            <c:ext xmlns:c="http://schemas.openxmlformats.org/drawingml/2006/chart" xmlns:c16="http://schemas.microsoft.com/office/drawing/2014/chart" uri="{C3380CC4-5D6E-409C-BE32-E72D297353CC}">
              <c16:uniqueId val="{00000006-5C90-4377-8ED6-28A30E1D1A08}"/>
            </c:ext>
          </c:extLst>
        </c:ser>
        <c:ser>
          <c:idx val="7"/>
          <c:order val="7"/>
          <c:tx>
            <c:strRef>
              <c:f>Sheet1!$A$9</c:f>
              <c:strCache>
                <c:ptCount val="1"/>
                <c:pt idx="0">
                  <c:v>Metālapstrāde</c:v>
                </c:pt>
              </c:strCache>
            </c:strRef>
          </c:tx>
          <c:spPr>
            <a:solidFill>
              <a:schemeClr val="accent2">
                <a:lumMod val="60000"/>
              </a:schemeClr>
            </a:solidFill>
            <a:ln>
              <a:noFill/>
            </a:ln>
            <a:effectLst/>
          </c:spPr>
          <c:invertIfNegative val="0"/>
          <c:cat>
            <c:strRef>
              <c:f>Sheet1!$B$1:$D$1</c:f>
              <c:strCache>
                <c:ptCount val="3"/>
                <c:pt idx="0">
                  <c:v>Igaunija</c:v>
                </c:pt>
                <c:pt idx="1">
                  <c:v>Latvija</c:v>
                </c:pt>
                <c:pt idx="2">
                  <c:v>Lietuva</c:v>
                </c:pt>
              </c:strCache>
            </c:strRef>
          </c:cat>
          <c:val>
            <c:numRef>
              <c:f>Sheet1!$B$9:$D$9</c:f>
              <c:numCache>
                <c:formatCode>0.0</c:formatCode>
                <c:ptCount val="3"/>
                <c:pt idx="0">
                  <c:v>324.8</c:v>
                </c:pt>
                <c:pt idx="1">
                  <c:v>226.5</c:v>
                </c:pt>
                <c:pt idx="2">
                  <c:v>335</c:v>
                </c:pt>
              </c:numCache>
            </c:numRef>
          </c:val>
          <c:extLst>
            <c:ext xmlns:c="http://schemas.openxmlformats.org/drawingml/2006/chart" xmlns:c16="http://schemas.microsoft.com/office/drawing/2014/chart" uri="{C3380CC4-5D6E-409C-BE32-E72D297353CC}">
              <c16:uniqueId val="{00000007-5C90-4377-8ED6-28A30E1D1A08}"/>
            </c:ext>
          </c:extLst>
        </c:ser>
        <c:ser>
          <c:idx val="8"/>
          <c:order val="8"/>
          <c:tx>
            <c:strRef>
              <c:f>Sheet1!$A$10</c:f>
              <c:strCache>
                <c:ptCount val="1"/>
                <c:pt idx="0">
                  <c:v>Elektrisko un optisko iekārtu ražošana</c:v>
                </c:pt>
              </c:strCache>
            </c:strRef>
          </c:tx>
          <c:spPr>
            <a:solidFill>
              <a:schemeClr val="accent3">
                <a:lumMod val="60000"/>
              </a:schemeClr>
            </a:solidFill>
            <a:ln>
              <a:noFill/>
            </a:ln>
            <a:effectLst/>
          </c:spPr>
          <c:invertIfNegative val="0"/>
          <c:cat>
            <c:strRef>
              <c:f>Sheet1!$B$1:$D$1</c:f>
              <c:strCache>
                <c:ptCount val="3"/>
                <c:pt idx="0">
                  <c:v>Igaunija</c:v>
                </c:pt>
                <c:pt idx="1">
                  <c:v>Latvija</c:v>
                </c:pt>
                <c:pt idx="2">
                  <c:v>Lietuva</c:v>
                </c:pt>
              </c:strCache>
            </c:strRef>
          </c:cat>
          <c:val>
            <c:numRef>
              <c:f>Sheet1!$B$10:$D$10</c:f>
              <c:numCache>
                <c:formatCode>0.0</c:formatCode>
                <c:ptCount val="3"/>
                <c:pt idx="0">
                  <c:v>312.6</c:v>
                </c:pt>
                <c:pt idx="1">
                  <c:v>140.8</c:v>
                </c:pt>
                <c:pt idx="2">
                  <c:v>244.6</c:v>
                </c:pt>
              </c:numCache>
            </c:numRef>
          </c:val>
          <c:extLst>
            <c:ext xmlns:c="http://schemas.openxmlformats.org/drawingml/2006/chart" xmlns:c16="http://schemas.microsoft.com/office/drawing/2014/chart" uri="{C3380CC4-5D6E-409C-BE32-E72D297353CC}">
              <c16:uniqueId val="{00000008-5C90-4377-8ED6-28A30E1D1A08}"/>
            </c:ext>
          </c:extLst>
        </c:ser>
        <c:ser>
          <c:idx val="9"/>
          <c:order val="9"/>
          <c:tx>
            <c:strRef>
              <c:f>Sheet1!$A$11</c:f>
              <c:strCache>
                <c:ptCount val="1"/>
                <c:pt idx="0">
                  <c:v>Mašīnu un iekārtu ražošana</c:v>
                </c:pt>
              </c:strCache>
            </c:strRef>
          </c:tx>
          <c:spPr>
            <a:solidFill>
              <a:schemeClr val="accent4">
                <a:lumMod val="60000"/>
              </a:schemeClr>
            </a:solidFill>
            <a:ln>
              <a:noFill/>
            </a:ln>
            <a:effectLst/>
          </c:spPr>
          <c:invertIfNegative val="0"/>
          <c:cat>
            <c:strRef>
              <c:f>Sheet1!$B$1:$D$1</c:f>
              <c:strCache>
                <c:ptCount val="3"/>
                <c:pt idx="0">
                  <c:v>Igaunija</c:v>
                </c:pt>
                <c:pt idx="1">
                  <c:v>Latvija</c:v>
                </c:pt>
                <c:pt idx="2">
                  <c:v>Lietuva</c:v>
                </c:pt>
              </c:strCache>
            </c:strRef>
          </c:cat>
          <c:val>
            <c:numRef>
              <c:f>Sheet1!$B$11:$D$11</c:f>
              <c:numCache>
                <c:formatCode>0.0</c:formatCode>
                <c:ptCount val="3"/>
                <c:pt idx="0">
                  <c:v>108.6</c:v>
                </c:pt>
                <c:pt idx="1">
                  <c:v>72.2</c:v>
                </c:pt>
                <c:pt idx="2">
                  <c:v>189.6</c:v>
                </c:pt>
              </c:numCache>
            </c:numRef>
          </c:val>
          <c:extLst>
            <c:ext xmlns:c="http://schemas.openxmlformats.org/drawingml/2006/chart" xmlns:c16="http://schemas.microsoft.com/office/drawing/2014/chart" uri="{C3380CC4-5D6E-409C-BE32-E72D297353CC}">
              <c16:uniqueId val="{00000009-5C90-4377-8ED6-28A30E1D1A08}"/>
            </c:ext>
          </c:extLst>
        </c:ser>
        <c:ser>
          <c:idx val="10"/>
          <c:order val="10"/>
          <c:tx>
            <c:strRef>
              <c:f>Sheet1!$A$12</c:f>
              <c:strCache>
                <c:ptCount val="1"/>
                <c:pt idx="0">
                  <c:v>Transportlīdzekļu ražošana</c:v>
                </c:pt>
              </c:strCache>
            </c:strRef>
          </c:tx>
          <c:spPr>
            <a:solidFill>
              <a:schemeClr val="accent5">
                <a:lumMod val="60000"/>
              </a:schemeClr>
            </a:solidFill>
            <a:ln>
              <a:noFill/>
            </a:ln>
            <a:effectLst/>
          </c:spPr>
          <c:invertIfNegative val="0"/>
          <c:cat>
            <c:strRef>
              <c:f>Sheet1!$B$1:$D$1</c:f>
              <c:strCache>
                <c:ptCount val="3"/>
                <c:pt idx="0">
                  <c:v>Igaunija</c:v>
                </c:pt>
                <c:pt idx="1">
                  <c:v>Latvija</c:v>
                </c:pt>
                <c:pt idx="2">
                  <c:v>Lietuva</c:v>
                </c:pt>
              </c:strCache>
            </c:strRef>
          </c:cat>
          <c:val>
            <c:numRef>
              <c:f>Sheet1!$B$12:$D$12</c:f>
              <c:numCache>
                <c:formatCode>0.0</c:formatCode>
                <c:ptCount val="3"/>
                <c:pt idx="0">
                  <c:v>121.5</c:v>
                </c:pt>
                <c:pt idx="1">
                  <c:v>76.9</c:v>
                </c:pt>
                <c:pt idx="2">
                  <c:v>175.9</c:v>
                </c:pt>
              </c:numCache>
            </c:numRef>
          </c:val>
          <c:extLst>
            <c:ext xmlns:c="http://schemas.openxmlformats.org/drawingml/2006/chart" xmlns:c16="http://schemas.microsoft.com/office/drawing/2014/chart" uri="{C3380CC4-5D6E-409C-BE32-E72D297353CC}">
              <c16:uniqueId val="{0000000A-5C90-4377-8ED6-28A30E1D1A08}"/>
            </c:ext>
          </c:extLst>
        </c:ser>
        <c:ser>
          <c:idx val="11"/>
          <c:order val="11"/>
          <c:tx>
            <c:strRef>
              <c:f>Sheet1!$A$13</c:f>
              <c:strCache>
                <c:ptCount val="1"/>
                <c:pt idx="0">
                  <c:v>Pārējās nozares</c:v>
                </c:pt>
              </c:strCache>
            </c:strRef>
          </c:tx>
          <c:spPr>
            <a:solidFill>
              <a:schemeClr val="accent6">
                <a:lumMod val="60000"/>
              </a:schemeClr>
            </a:solidFill>
            <a:ln>
              <a:noFill/>
            </a:ln>
            <a:effectLst/>
          </c:spPr>
          <c:invertIfNegative val="0"/>
          <c:cat>
            <c:strRef>
              <c:f>Sheet1!$B$1:$D$1</c:f>
              <c:strCache>
                <c:ptCount val="3"/>
                <c:pt idx="0">
                  <c:v>Igaunija</c:v>
                </c:pt>
                <c:pt idx="1">
                  <c:v>Latvija</c:v>
                </c:pt>
                <c:pt idx="2">
                  <c:v>Lietuva</c:v>
                </c:pt>
              </c:strCache>
            </c:strRef>
          </c:cat>
          <c:val>
            <c:numRef>
              <c:f>Sheet1!$B$13:$D$13</c:f>
              <c:numCache>
                <c:formatCode>0.0</c:formatCode>
                <c:ptCount val="3"/>
                <c:pt idx="0">
                  <c:v>306</c:v>
                </c:pt>
                <c:pt idx="1">
                  <c:v>264.4</c:v>
                </c:pt>
                <c:pt idx="2">
                  <c:v>1001.3</c:v>
                </c:pt>
              </c:numCache>
            </c:numRef>
          </c:val>
          <c:extLst>
            <c:ext xmlns:c="http://schemas.openxmlformats.org/drawingml/2006/chart" xmlns:c16="http://schemas.microsoft.com/office/drawing/2014/chart" uri="{C3380CC4-5D6E-409C-BE32-E72D297353CC}">
              <c16:uniqueId val="{0000000B-5C90-4377-8ED6-28A30E1D1A08}"/>
            </c:ext>
          </c:extLst>
        </c:ser>
        <c:dLbls>
          <c:showLegendKey val="0"/>
          <c:showVal val="0"/>
          <c:showCatName val="0"/>
          <c:showSerName val="0"/>
          <c:showPercent val="0"/>
          <c:showBubbleSize val="0"/>
        </c:dLbls>
        <c:gapWidth val="50"/>
        <c:overlap val="100"/>
        <c:axId val="436493744"/>
        <c:axId val="436494920"/>
      </c:barChart>
      <c:catAx>
        <c:axId val="4364937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lv-LV"/>
          </a:p>
        </c:txPr>
        <c:crossAx val="436494920"/>
        <c:crosses val="autoZero"/>
        <c:auto val="1"/>
        <c:lblAlgn val="ctr"/>
        <c:lblOffset val="100"/>
        <c:noMultiLvlLbl val="0"/>
      </c:catAx>
      <c:valAx>
        <c:axId val="436494920"/>
        <c:scaling>
          <c:orientation val="minMax"/>
          <c:max val="5000"/>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w="6350">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lv-LV"/>
          </a:p>
        </c:txPr>
        <c:crossAx val="436493744"/>
        <c:crosses val="autoZero"/>
        <c:crossBetween val="between"/>
        <c:majorUnit val="1000"/>
      </c:valAx>
      <c:spPr>
        <a:noFill/>
        <a:ln>
          <a:noFill/>
        </a:ln>
        <a:effectLst/>
      </c:spPr>
    </c:plotArea>
    <c:legend>
      <c:legendPos val="b"/>
      <c:layout>
        <c:manualLayout>
          <c:xMode val="edge"/>
          <c:yMode val="edge"/>
          <c:x val="0.022809706926169116"/>
          <c:y val="0.57365844599613725"/>
          <c:w val="0.97274422092587265"/>
          <c:h val="0.424470361016193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23383560158859"/>
          <c:y val="0.067985033785670418"/>
          <c:w val="0.81424378898820371"/>
          <c:h val="0.42335721098995643"/>
        </c:manualLayout>
      </c:layout>
      <c:barChart>
        <c:barDir val="col"/>
        <c:grouping val="stacked"/>
        <c:varyColors val="0"/>
        <c:ser>
          <c:idx val="0"/>
          <c:order val="0"/>
          <c:tx>
            <c:strRef>
              <c:f>Sheet1!$A$2</c:f>
              <c:strCache>
                <c:ptCount val="1"/>
                <c:pt idx="0">
                  <c:v>Pārtikas rūpniecība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Igaunija</c:v>
                </c:pt>
                <c:pt idx="1">
                  <c:v>Latvija</c:v>
                </c:pt>
                <c:pt idx="2">
                  <c:v>Lietuva</c:v>
                </c:pt>
              </c:strCache>
            </c:strRef>
          </c:cat>
          <c:val>
            <c:numRef>
              <c:f>Sheet1!$B$2:$D$2</c:f>
              <c:numCache>
                <c:formatCode>#,##0.0</c:formatCode>
                <c:ptCount val="3"/>
                <c:pt idx="0">
                  <c:v>13.077314439691722</c:v>
                </c:pt>
                <c:pt idx="1">
                  <c:v>22.32805058942931</c:v>
                </c:pt>
                <c:pt idx="2">
                  <c:v>23.052287721246024</c:v>
                </c:pt>
              </c:numCache>
            </c:numRef>
          </c:val>
          <c:extLst>
            <c:ext xmlns:c="http://schemas.openxmlformats.org/drawingml/2006/chart" xmlns:c16="http://schemas.microsoft.com/office/drawing/2014/chart" uri="{C3380CC4-5D6E-409C-BE32-E72D297353CC}">
              <c16:uniqueId val="{00000000-206D-4356-858D-56E54EB0A7C3}"/>
            </c:ext>
          </c:extLst>
        </c:ser>
        <c:ser>
          <c:idx val="1"/>
          <c:order val="1"/>
          <c:tx>
            <c:strRef>
              <c:f>Sheet1!$A$3</c:f>
              <c:strCache>
                <c:ptCount val="1"/>
                <c:pt idx="0">
                  <c:v>Vieglā rūpniecība</c:v>
                </c:pt>
              </c:strCache>
            </c:strRef>
          </c:tx>
          <c:spPr>
            <a:solidFill>
              <a:schemeClr val="accent2"/>
            </a:solidFill>
            <a:ln>
              <a:noFill/>
            </a:ln>
            <a:effectLst/>
          </c:spPr>
          <c:invertIfNegative val="0"/>
          <c:cat>
            <c:strRef>
              <c:f>Sheet1!$B$1:$D$1</c:f>
              <c:strCache>
                <c:ptCount val="3"/>
                <c:pt idx="0">
                  <c:v>Igaunija</c:v>
                </c:pt>
                <c:pt idx="1">
                  <c:v>Latvija</c:v>
                </c:pt>
                <c:pt idx="2">
                  <c:v>Lietuva</c:v>
                </c:pt>
              </c:strCache>
            </c:strRef>
          </c:cat>
          <c:val>
            <c:numRef>
              <c:f>Sheet1!$B$3:$D$3</c:f>
              <c:numCache>
                <c:formatCode>#,##0.0</c:formatCode>
                <c:ptCount val="3"/>
                <c:pt idx="0">
                  <c:v>6.06663023610771</c:v>
                </c:pt>
                <c:pt idx="1">
                  <c:v>5.0719546152444908</c:v>
                </c:pt>
                <c:pt idx="2">
                  <c:v>7.9061425795845173</c:v>
                </c:pt>
              </c:numCache>
            </c:numRef>
          </c:val>
          <c:extLst>
            <c:ext xmlns:c="http://schemas.openxmlformats.org/drawingml/2006/chart" xmlns:c16="http://schemas.microsoft.com/office/drawing/2014/chart" uri="{C3380CC4-5D6E-409C-BE32-E72D297353CC}">
              <c16:uniqueId val="{00000001-206D-4356-858D-56E54EB0A7C3}"/>
            </c:ext>
          </c:extLst>
        </c:ser>
        <c:ser>
          <c:idx val="2"/>
          <c:order val="2"/>
          <c:tx>
            <c:strRef>
              <c:f>Sheet1!$A$4</c:f>
              <c:strCache>
                <c:ptCount val="1"/>
                <c:pt idx="0">
                  <c:v>Kokapstrāde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Igaunija</c:v>
                </c:pt>
                <c:pt idx="1">
                  <c:v>Latvija</c:v>
                </c:pt>
                <c:pt idx="2">
                  <c:v>Lietuva</c:v>
                </c:pt>
              </c:strCache>
            </c:strRef>
          </c:cat>
          <c:val>
            <c:numRef>
              <c:f>Sheet1!$B$4:$D$4</c:f>
              <c:numCache>
                <c:formatCode>#,##0.0</c:formatCode>
                <c:ptCount val="3"/>
                <c:pt idx="0">
                  <c:v>15.490210857562795</c:v>
                </c:pt>
                <c:pt idx="1">
                  <c:v>21.746428292606765</c:v>
                </c:pt>
                <c:pt idx="2">
                  <c:v>6.7195806733992365</c:v>
                </c:pt>
              </c:numCache>
            </c:numRef>
          </c:val>
          <c:extLst>
            <c:ext xmlns:c="http://schemas.openxmlformats.org/drawingml/2006/chart" xmlns:c16="http://schemas.microsoft.com/office/drawing/2014/chart" uri="{C3380CC4-5D6E-409C-BE32-E72D297353CC}">
              <c16:uniqueId val="{00000002-206D-4356-858D-56E54EB0A7C3}"/>
            </c:ext>
          </c:extLst>
        </c:ser>
        <c:ser>
          <c:idx val="3"/>
          <c:order val="3"/>
          <c:tx>
            <c:strRef>
              <c:f>Sheet1!$A$5</c:f>
              <c:strCache>
                <c:ptCount val="1"/>
                <c:pt idx="0">
                  <c:v>Papīra ražošana un poligrāfija</c:v>
                </c:pt>
              </c:strCache>
            </c:strRef>
          </c:tx>
          <c:spPr>
            <a:solidFill>
              <a:schemeClr val="accent4"/>
            </a:solidFill>
            <a:ln>
              <a:noFill/>
            </a:ln>
            <a:effectLst/>
          </c:spPr>
          <c:invertIfNegative val="0"/>
          <c:cat>
            <c:strRef>
              <c:f>Sheet1!$B$1:$D$1</c:f>
              <c:strCache>
                <c:ptCount val="3"/>
                <c:pt idx="0">
                  <c:v>Igaunija</c:v>
                </c:pt>
                <c:pt idx="1">
                  <c:v>Latvija</c:v>
                </c:pt>
                <c:pt idx="2">
                  <c:v>Lietuva</c:v>
                </c:pt>
              </c:strCache>
            </c:strRef>
          </c:cat>
          <c:val>
            <c:numRef>
              <c:f>Sheet1!$B$5:$D$5</c:f>
              <c:numCache>
                <c:formatCode>#,##0.0</c:formatCode>
                <c:ptCount val="3"/>
                <c:pt idx="0">
                  <c:v>4.7692626580489543</c:v>
                </c:pt>
                <c:pt idx="1">
                  <c:v>3.9789731178598386</c:v>
                </c:pt>
                <c:pt idx="2">
                  <c:v>4.6619125904733441</c:v>
                </c:pt>
              </c:numCache>
            </c:numRef>
          </c:val>
          <c:extLst>
            <c:ext xmlns:c="http://schemas.openxmlformats.org/drawingml/2006/chart" xmlns:c16="http://schemas.microsoft.com/office/drawing/2014/chart" uri="{C3380CC4-5D6E-409C-BE32-E72D297353CC}">
              <c16:uniqueId val="{00000003-206D-4356-858D-56E54EB0A7C3}"/>
            </c:ext>
          </c:extLst>
        </c:ser>
        <c:ser>
          <c:idx val="4"/>
          <c:order val="4"/>
          <c:tx>
            <c:strRef>
              <c:f>Sheet1!$A$6</c:f>
              <c:strCache>
                <c:ptCount val="1"/>
                <c:pt idx="0">
                  <c:v>Koksa un naftas pārstrādes produktu ražošana</c:v>
                </c:pt>
              </c:strCache>
            </c:strRef>
          </c:tx>
          <c:spPr>
            <a:solidFill>
              <a:schemeClr val="accent5"/>
            </a:solidFill>
            <a:ln>
              <a:noFill/>
            </a:ln>
            <a:effectLst/>
          </c:spPr>
          <c:invertIfNegative val="0"/>
          <c:cat>
            <c:strRef>
              <c:f>Sheet1!$B$1:$D$1</c:f>
              <c:strCache>
                <c:ptCount val="3"/>
                <c:pt idx="0">
                  <c:v>Igaunija</c:v>
                </c:pt>
                <c:pt idx="1">
                  <c:v>Latvija</c:v>
                </c:pt>
                <c:pt idx="2">
                  <c:v>Lietuva</c:v>
                </c:pt>
              </c:strCache>
            </c:strRef>
          </c:cat>
          <c:val>
            <c:numRef>
              <c:f>Sheet1!$B$6:$D$6</c:f>
              <c:numCache>
                <c:formatCode>#,##0.0</c:formatCode>
                <c:ptCount val="3"/>
                <c:pt idx="0">
                  <c:v>4.6929469181631465</c:v>
                </c:pt>
                <c:pt idx="1">
                  <c:v>0.048143232622895368</c:v>
                </c:pt>
                <c:pt idx="2">
                  <c:v>6.2413263018553673</c:v>
                </c:pt>
              </c:numCache>
            </c:numRef>
          </c:val>
          <c:extLst>
            <c:ext xmlns:c="http://schemas.openxmlformats.org/drawingml/2006/chart" xmlns:c16="http://schemas.microsoft.com/office/drawing/2014/chart" uri="{C3380CC4-5D6E-409C-BE32-E72D297353CC}">
              <c16:uniqueId val="{00000004-206D-4356-858D-56E54EB0A7C3}"/>
            </c:ext>
          </c:extLst>
        </c:ser>
        <c:ser>
          <c:idx val="5"/>
          <c:order val="5"/>
          <c:tx>
            <c:strRef>
              <c:f>Sheet1!$A$7</c:f>
              <c:strCache>
                <c:ptCount val="1"/>
                <c:pt idx="0">
                  <c:v>Ķīmiskā rūpniecība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Igaunija</c:v>
                </c:pt>
                <c:pt idx="1">
                  <c:v>Latvija</c:v>
                </c:pt>
                <c:pt idx="2">
                  <c:v>Lietuva</c:v>
                </c:pt>
              </c:strCache>
            </c:strRef>
          </c:cat>
          <c:val>
            <c:numRef>
              <c:f>Sheet1!$B$7:$D$7</c:f>
              <c:numCache>
                <c:formatCode>#,##0.0</c:formatCode>
                <c:ptCount val="3"/>
                <c:pt idx="0">
                  <c:v>6.9890143021349562</c:v>
                </c:pt>
                <c:pt idx="1">
                  <c:v>8.76076716891769</c:v>
                </c:pt>
                <c:pt idx="2">
                  <c:v>16.375408331020349</c:v>
                </c:pt>
              </c:numCache>
            </c:numRef>
          </c:val>
          <c:extLst>
            <c:ext xmlns:c="http://schemas.openxmlformats.org/drawingml/2006/chart" xmlns:c16="http://schemas.microsoft.com/office/drawing/2014/chart" uri="{C3380CC4-5D6E-409C-BE32-E72D297353CC}">
              <c16:uniqueId val="{00000005-206D-4356-858D-56E54EB0A7C3}"/>
            </c:ext>
          </c:extLst>
        </c:ser>
        <c:ser>
          <c:idx val="6"/>
          <c:order val="6"/>
          <c:tx>
            <c:strRef>
              <c:f>Sheet1!$A$8</c:f>
              <c:strCache>
                <c:ptCount val="1"/>
                <c:pt idx="0">
                  <c:v>Nemetālisko minerālu ražošana</c:v>
                </c:pt>
              </c:strCache>
            </c:strRef>
          </c:tx>
          <c:spPr>
            <a:solidFill>
              <a:schemeClr val="accent1">
                <a:lumMod val="60000"/>
              </a:schemeClr>
            </a:solidFill>
            <a:ln>
              <a:noFill/>
            </a:ln>
            <a:effectLst/>
          </c:spPr>
          <c:invertIfNegative val="0"/>
          <c:cat>
            <c:strRef>
              <c:f>Sheet1!$B$1:$D$1</c:f>
              <c:strCache>
                <c:ptCount val="3"/>
                <c:pt idx="0">
                  <c:v>Igaunija</c:v>
                </c:pt>
                <c:pt idx="1">
                  <c:v>Latvija</c:v>
                </c:pt>
                <c:pt idx="2">
                  <c:v>Lietuva</c:v>
                </c:pt>
              </c:strCache>
            </c:strRef>
          </c:cat>
          <c:val>
            <c:numRef>
              <c:f>Sheet1!$B$8:$D$8</c:f>
              <c:numCache>
                <c:formatCode>#,##0.0</c:formatCode>
                <c:ptCount val="3"/>
                <c:pt idx="0">
                  <c:v>4.6901204092784869</c:v>
                </c:pt>
                <c:pt idx="1">
                  <c:v>7.5819085538813873</c:v>
                </c:pt>
                <c:pt idx="2">
                  <c:v>3.8762089800798516</c:v>
                </c:pt>
              </c:numCache>
            </c:numRef>
          </c:val>
          <c:extLst>
            <c:ext xmlns:c="http://schemas.openxmlformats.org/drawingml/2006/chart" xmlns:c16="http://schemas.microsoft.com/office/drawing/2014/chart" uri="{C3380CC4-5D6E-409C-BE32-E72D297353CC}">
              <c16:uniqueId val="{00000006-206D-4356-858D-56E54EB0A7C3}"/>
            </c:ext>
          </c:extLst>
        </c:ser>
        <c:ser>
          <c:idx val="7"/>
          <c:order val="7"/>
          <c:tx>
            <c:strRef>
              <c:f>Sheet1!$A$9</c:f>
              <c:strCache>
                <c:ptCount val="1"/>
                <c:pt idx="0">
                  <c:v>Metālapstrāde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Igaunija</c:v>
                </c:pt>
                <c:pt idx="1">
                  <c:v>Latvija</c:v>
                </c:pt>
                <c:pt idx="2">
                  <c:v>Lietuva</c:v>
                </c:pt>
              </c:strCache>
            </c:strRef>
          </c:cat>
          <c:val>
            <c:numRef>
              <c:f>Sheet1!$B$9:$D$9</c:f>
              <c:numCache>
                <c:formatCode>#,##0.0</c:formatCode>
                <c:ptCount val="3"/>
                <c:pt idx="0">
                  <c:v>12.239725640204261</c:v>
                </c:pt>
                <c:pt idx="1">
                  <c:v>8.84274078122154</c:v>
                </c:pt>
                <c:pt idx="2">
                  <c:v>5.3638149326387259</c:v>
                </c:pt>
              </c:numCache>
            </c:numRef>
          </c:val>
          <c:extLst>
            <c:ext xmlns:c="http://schemas.openxmlformats.org/drawingml/2006/chart" xmlns:c16="http://schemas.microsoft.com/office/drawing/2014/chart" uri="{C3380CC4-5D6E-409C-BE32-E72D297353CC}">
              <c16:uniqueId val="{00000007-206D-4356-858D-56E54EB0A7C3}"/>
            </c:ext>
          </c:extLst>
        </c:ser>
        <c:ser>
          <c:idx val="8"/>
          <c:order val="8"/>
          <c:tx>
            <c:strRef>
              <c:f>Sheet1!$A$10</c:f>
              <c:strCache>
                <c:ptCount val="1"/>
                <c:pt idx="0">
                  <c:v>Elektrisko un optisko iekārtu ražošana</c:v>
                </c:pt>
              </c:strCache>
            </c:strRef>
          </c:tx>
          <c:spPr>
            <a:solidFill>
              <a:schemeClr val="accent3">
                <a:lumMod val="60000"/>
              </a:schemeClr>
            </a:solidFill>
            <a:ln>
              <a:noFill/>
            </a:ln>
            <a:effectLst/>
          </c:spPr>
          <c:invertIfNegative val="0"/>
          <c:cat>
            <c:strRef>
              <c:f>Sheet1!$B$1:$D$1</c:f>
              <c:strCache>
                <c:ptCount val="3"/>
                <c:pt idx="0">
                  <c:v>Igaunija</c:v>
                </c:pt>
                <c:pt idx="1">
                  <c:v>Latvija</c:v>
                </c:pt>
                <c:pt idx="2">
                  <c:v>Lietuva</c:v>
                </c:pt>
              </c:strCache>
            </c:strRef>
          </c:cat>
          <c:val>
            <c:numRef>
              <c:f>Sheet1!$B$10:$D$10</c:f>
              <c:numCache>
                <c:formatCode>#,##0.0</c:formatCode>
                <c:ptCount val="3"/>
                <c:pt idx="0">
                  <c:v>11.779946861632972</c:v>
                </c:pt>
                <c:pt idx="1">
                  <c:v>5.4974366981549441</c:v>
                </c:pt>
                <c:pt idx="2">
                  <c:v>3.9162414330550637</c:v>
                </c:pt>
              </c:numCache>
            </c:numRef>
          </c:val>
          <c:extLst>
            <c:ext xmlns:c="http://schemas.openxmlformats.org/drawingml/2006/chart" xmlns:c16="http://schemas.microsoft.com/office/drawing/2014/chart" uri="{C3380CC4-5D6E-409C-BE32-E72D297353CC}">
              <c16:uniqueId val="{00000008-206D-4356-858D-56E54EB0A7C3}"/>
            </c:ext>
          </c:extLst>
        </c:ser>
        <c:ser>
          <c:idx val="9"/>
          <c:order val="9"/>
          <c:tx>
            <c:strRef>
              <c:f>Sheet1!$A$11</c:f>
              <c:strCache>
                <c:ptCount val="1"/>
                <c:pt idx="0">
                  <c:v>Mašīnu un iekārtu ražošana</c:v>
                </c:pt>
              </c:strCache>
            </c:strRef>
          </c:tx>
          <c:spPr>
            <a:solidFill>
              <a:schemeClr val="accent4">
                <a:lumMod val="60000"/>
              </a:schemeClr>
            </a:solidFill>
            <a:ln>
              <a:noFill/>
            </a:ln>
            <a:effectLst/>
          </c:spPr>
          <c:invertIfNegative val="0"/>
          <c:cat>
            <c:strRef>
              <c:f>Sheet1!$B$1:$D$1</c:f>
              <c:strCache>
                <c:ptCount val="3"/>
                <c:pt idx="0">
                  <c:v>Igaunija</c:v>
                </c:pt>
                <c:pt idx="1">
                  <c:v>Latvija</c:v>
                </c:pt>
                <c:pt idx="2">
                  <c:v>Lietuva</c:v>
                </c:pt>
              </c:strCache>
            </c:strRef>
          </c:cat>
          <c:val>
            <c:numRef>
              <c:f>Sheet1!$B$11:$D$11</c:f>
              <c:numCache>
                <c:formatCode>#,##0.0</c:formatCode>
                <c:ptCount val="3"/>
                <c:pt idx="0">
                  <c:v>4.0918426953588733</c:v>
                </c:pt>
                <c:pt idx="1">
                  <c:v>2.8196320295625474</c:v>
                </c:pt>
                <c:pt idx="2">
                  <c:v>3.036061233640071</c:v>
                </c:pt>
              </c:numCache>
            </c:numRef>
          </c:val>
          <c:extLst>
            <c:ext xmlns:c="http://schemas.openxmlformats.org/drawingml/2006/chart" xmlns:c16="http://schemas.microsoft.com/office/drawing/2014/chart" uri="{C3380CC4-5D6E-409C-BE32-E72D297353CC}">
              <c16:uniqueId val="{00000009-206D-4356-858D-56E54EB0A7C3}"/>
            </c:ext>
          </c:extLst>
        </c:ser>
        <c:ser>
          <c:idx val="10"/>
          <c:order val="10"/>
          <c:tx>
            <c:strRef>
              <c:f>Sheet1!$A$12</c:f>
              <c:strCache>
                <c:ptCount val="1"/>
                <c:pt idx="0">
                  <c:v>Transportlīdzekļu ražošana</c:v>
                </c:pt>
              </c:strCache>
            </c:strRef>
          </c:tx>
          <c:spPr>
            <a:solidFill>
              <a:schemeClr val="accent5">
                <a:lumMod val="60000"/>
              </a:schemeClr>
            </a:solidFill>
            <a:ln>
              <a:noFill/>
            </a:ln>
            <a:effectLst/>
          </c:spPr>
          <c:invertIfNegative val="0"/>
          <c:cat>
            <c:strRef>
              <c:f>Sheet1!$B$1:$D$1</c:f>
              <c:strCache>
                <c:ptCount val="3"/>
                <c:pt idx="0">
                  <c:v>Igaunija</c:v>
                </c:pt>
                <c:pt idx="1">
                  <c:v>Latvija</c:v>
                </c:pt>
                <c:pt idx="2">
                  <c:v>Lietuva</c:v>
                </c:pt>
              </c:strCache>
            </c:strRef>
          </c:cat>
          <c:val>
            <c:numRef>
              <c:f>Sheet1!$B$12:$D$12</c:f>
              <c:numCache>
                <c:formatCode>#,##0.0</c:formatCode>
                <c:ptCount val="3"/>
                <c:pt idx="0">
                  <c:v>4.5798865627767622</c:v>
                </c:pt>
                <c:pt idx="1">
                  <c:v>3.0030967809092575</c:v>
                </c:pt>
                <c:pt idx="2">
                  <c:v>2.8166833913359097</c:v>
                </c:pt>
              </c:numCache>
            </c:numRef>
          </c:val>
          <c:extLst>
            <c:ext xmlns:c="http://schemas.openxmlformats.org/drawingml/2006/chart" xmlns:c16="http://schemas.microsoft.com/office/drawing/2014/chart" uri="{C3380CC4-5D6E-409C-BE32-E72D297353CC}">
              <c16:uniqueId val="{0000000A-206D-4356-858D-56E54EB0A7C3}"/>
            </c:ext>
          </c:extLst>
        </c:ser>
        <c:ser>
          <c:idx val="11"/>
          <c:order val="11"/>
          <c:tx>
            <c:strRef>
              <c:f>Sheet1!$A$13</c:f>
              <c:strCache>
                <c:ptCount val="1"/>
                <c:pt idx="0">
                  <c:v>Pārējās nozares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Igaunija</c:v>
                </c:pt>
                <c:pt idx="1">
                  <c:v>Latvija</c:v>
                </c:pt>
                <c:pt idx="2">
                  <c:v>Lietuva</c:v>
                </c:pt>
              </c:strCache>
            </c:strRef>
          </c:cat>
          <c:val>
            <c:numRef>
              <c:f>Sheet1!$B$13:$D$13</c:f>
              <c:numCache>
                <c:formatCode>#,##0.0</c:formatCode>
                <c:ptCount val="3"/>
                <c:pt idx="0">
                  <c:v>11.533098419039364</c:v>
                </c:pt>
                <c:pt idx="1">
                  <c:v>10.320868139589354</c:v>
                </c:pt>
                <c:pt idx="2">
                  <c:v>16.03433183167154</c:v>
                </c:pt>
              </c:numCache>
            </c:numRef>
          </c:val>
          <c:extLst>
            <c:ext xmlns:c="http://schemas.openxmlformats.org/drawingml/2006/chart" xmlns:c16="http://schemas.microsoft.com/office/drawing/2014/chart" uri="{C3380CC4-5D6E-409C-BE32-E72D297353CC}">
              <c16:uniqueId val="{0000000B-206D-4356-858D-56E54EB0A7C3}"/>
            </c:ext>
          </c:extLst>
        </c:ser>
        <c:dLbls>
          <c:showLegendKey val="0"/>
          <c:showVal val="0"/>
          <c:showCatName val="0"/>
          <c:showSerName val="0"/>
          <c:showPercent val="0"/>
          <c:showBubbleSize val="0"/>
        </c:dLbls>
        <c:gapWidth val="50"/>
        <c:overlap val="100"/>
        <c:axId val="436496880"/>
        <c:axId val="436495312"/>
      </c:barChart>
      <c:catAx>
        <c:axId val="43649688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lv-LV"/>
          </a:p>
        </c:txPr>
        <c:crossAx val="436495312"/>
        <c:crosses val="autoZero"/>
        <c:auto val="1"/>
        <c:lblAlgn val="ctr"/>
        <c:lblOffset val="100"/>
        <c:noMultiLvlLbl val="0"/>
      </c:catAx>
      <c:valAx>
        <c:axId val="436495312"/>
        <c:scaling>
          <c:orientation val="minMax"/>
          <c:max val="100"/>
        </c:scaling>
        <c:delete val="0"/>
        <c:axPos val="l"/>
        <c:majorGridlines>
          <c:spPr>
            <a:ln w="9525">
              <a:solidFill>
                <a:schemeClr val="tx1">
                  <a:lumMod val="15000"/>
                  <a:lumOff val="85000"/>
                </a:schemeClr>
              </a:solidFill>
              <a:round/>
            </a:ln>
            <a:effectLst/>
          </c:spPr>
        </c:majorGridlines>
        <c:numFmt formatCode="#,##0" sourceLinked="0"/>
        <c:majorTickMark val="none"/>
        <c:minorTickMark val="none"/>
        <c:tickLblPos val="nextTo"/>
        <c:spPr>
          <a:noFill/>
          <a:ln w="6350">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lv-LV"/>
          </a:p>
        </c:txPr>
        <c:crossAx val="436496880"/>
        <c:crosses val="autoZero"/>
        <c:crossBetween val="between"/>
        <c:majorUnit val="10"/>
      </c:valAx>
      <c:spPr>
        <a:noFill/>
        <a:ln>
          <a:noFill/>
        </a:ln>
        <a:effectLst/>
      </c:spPr>
    </c:plotArea>
    <c:legend>
      <c:legendPos val="b"/>
      <c:layout>
        <c:manualLayout>
          <c:xMode val="edge"/>
          <c:yMode val="edge"/>
          <c:x val="0.15079348645433163"/>
          <c:y val="0.57224643237885053"/>
          <c:w val="0.81375291756350521"/>
          <c:h val="0.425882132904408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ysClr val="windowText" lastClr="000000"/>
                </a:solidFill>
                <a:latin typeface="+mn-lt"/>
                <a:ea typeface="+mn-ea"/>
                <a:cs typeface="+mn-cs"/>
              </a:defRPr>
            </a:pPr>
            <a:r>
              <a:rPr lang="lv-LV"/>
              <a:t>40. attēls. 1.1.1. SAM ietvaros plānotā piesaistītā KOMERSANTU LĪDZFINANSĒJUMA sadalījums (EUR)</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v-LV"/>
        </a:p>
      </c:txPr>
    </c:title>
    <c:autoTitleDeleted val="0"/>
    <c:view3D>
      <c:rotX val="15"/>
      <c:rotY val="20"/>
      <c:rAngAx val="1"/>
    </c:view3D>
    <c:floor>
      <c:thickness val="0"/>
      <c:spPr>
        <a:noFill/>
        <a:ln w="6350">
          <a:noFill/>
        </a:ln>
        <a:effectLst/>
        <a:sp3d/>
      </c:spPr>
    </c:floor>
    <c:sideWall>
      <c:thickness val="0"/>
      <c:spPr>
        <a:noFill/>
        <a:ln w="6350">
          <a:noFill/>
        </a:ln>
        <a:effectLst/>
        <a:sp3d/>
      </c:spPr>
    </c:sideWall>
    <c:backWall>
      <c:thickness val="0"/>
      <c:spPr>
        <a:noFill/>
        <a:ln w="6350">
          <a:noFill/>
        </a:ln>
        <a:effectLst/>
        <a:sp3d/>
      </c:spPr>
    </c:backWall>
    <c:plotArea>
      <c:layout>
        <c:manualLayout>
          <c:layoutTarget val="inner"/>
          <c:xMode val="edge"/>
          <c:yMode val="edge"/>
          <c:x val="0.4436720397003715"/>
          <c:y val="0.31967008247938017"/>
          <c:w val="0.47015499292521107"/>
          <c:h val="0.32715049584060679"/>
        </c:manualLayout>
      </c:layout>
      <c:bar3DChart>
        <c:barDir val="bar"/>
        <c:grouping val="stacked"/>
        <c:varyColors val="0"/>
        <c:ser>
          <c:idx val="0"/>
          <c:order val="0"/>
          <c:tx>
            <c:strRef>
              <c:f>'KOPĒJIE GRAFIKI'!$J$10</c:f>
              <c:strCache>
                <c:ptCount val="1"/>
                <c:pt idx="0">
                  <c:v>Zinātnisko institūciju un komersanta partnerība</c:v>
                </c:pt>
              </c:strCache>
            </c:strRef>
          </c:tx>
          <c:spPr>
            <a:solidFill>
              <a:schemeClr val="accent1"/>
            </a:solidFill>
            <a:ln>
              <a:noFill/>
            </a:ln>
            <a:effectLst/>
            <a:sp3d/>
          </c:spPr>
          <c:invertIfNegative val="0"/>
          <c:dLbls>
            <c:dLbl>
              <c:idx val="1"/>
              <c:layout>
                <c:manualLayout>
                  <c:x val="-0.047222222222222276"/>
                  <c:y val="-0.069444444444444448"/>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0-E610-40B8-B150-EF8A2DF08827}"/>
                </c:ext>
                <c:ext xmlns:c15="http://schemas.microsoft.com/office/drawing/2012/chart" uri="{CE6537A1-D6FC-4f65-9D91-7224C49458BB}"/>
              </c:extLst>
            </c:dLbl>
            <c:numFmt formatCode="&quot;€&quot;\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'KOPĒJIE GRAFIKI'!$K$9:$R$9</c:f>
              <c:strCache>
                <c:ptCount val="2"/>
                <c:pt idx="0">
                  <c:v>Praktiskas ievirzes pētījumi</c:v>
                </c:pt>
                <c:pt idx="1">
                  <c:v>Pēcdoktorantūras pētniecības atbalsts</c:v>
                </c:pt>
              </c:strCache>
            </c:strRef>
          </c:cat>
          <c:val>
            <c:numRef>
              <c:f>'KOPĒJIE GRAFIKI'!$K$10:$R$10</c:f>
              <c:numCache>
                <c:formatCode>#,##0</c:formatCode>
                <c:ptCount val="2"/>
                <c:pt idx="0">
                  <c:v>790552.33000000007</c:v>
                </c:pt>
                <c:pt idx="1">
                  <c:v>17673</c:v>
                </c:pt>
              </c:numCache>
            </c:numRef>
          </c:val>
          <c:extLst>
            <c:ext xmlns:c="http://schemas.openxmlformats.org/drawingml/2006/chart" xmlns:c16="http://schemas.microsoft.com/office/drawing/2014/chart" uri="{C3380CC4-5D6E-409C-BE32-E72D297353CC}">
              <c16:uniqueId val="{00000001-E610-40B8-B150-EF8A2DF08827}"/>
            </c:ext>
          </c:extLst>
        </c:ser>
        <c:ser>
          <c:idx val="2"/>
          <c:order val="2"/>
          <c:tx>
            <c:strRef>
              <c:f>'KOPĒJIE GRAFIKI'!$J$12</c:f>
              <c:strCache>
                <c:ptCount val="1"/>
                <c:pt idx="0">
                  <c:v>Komersants īsteno individuāli</c:v>
                </c:pt>
              </c:strCache>
            </c:strRef>
          </c:tx>
          <c:spPr>
            <a:solidFill>
              <a:schemeClr val="accent2">
                <a:lumMod val="60000"/>
                <a:lumOff val="40000"/>
              </a:schemeClr>
            </a:solidFill>
            <a:ln>
              <a:noFill/>
            </a:ln>
            <a:effectLst/>
            <a:sp3d/>
          </c:spPr>
          <c:invertIfNegative val="0"/>
          <c:dLbls>
            <c:dLbl>
              <c:idx val="1"/>
              <c:layout>
                <c:manualLayout>
                  <c:x val="0.11388888888888889"/>
                  <c:y val="-0.041666666666666706"/>
                </c:manualLayout>
              </c:layout>
              <c:showLegendKey val="0"/>
              <c:showVal val="1"/>
              <c:showCatName val="0"/>
              <c:showSerName val="0"/>
              <c:showPercent val="0"/>
              <c:showBubbleSize val="0"/>
              <c:extLst>
                <c:ext xmlns:c="http://schemas.openxmlformats.org/drawingml/2006/chart" xmlns:c16="http://schemas.microsoft.com/office/drawing/2014/chart" uri="{C3380CC4-5D6E-409C-BE32-E72D297353CC}">
                  <c16:uniqueId val="{00000002-E610-40B8-B150-EF8A2DF08827}"/>
                </c:ext>
                <c:ext xmlns:c15="http://schemas.microsoft.com/office/drawing/2012/chart" uri="{CE6537A1-D6FC-4f65-9D91-7224C49458BB}"/>
              </c:extLst>
            </c:dLbl>
            <c:numFmt formatCode="&quot;€&quot;\ #,##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'KOPĒJIE GRAFIKI'!$K$9:$R$9</c:f>
              <c:strCache>
                <c:ptCount val="2"/>
                <c:pt idx="0">
                  <c:v>Praktiskas ievirzes pētījumi</c:v>
                </c:pt>
                <c:pt idx="1">
                  <c:v>Pēcdoktorantūras pētniecības atbalsts</c:v>
                </c:pt>
              </c:strCache>
            </c:strRef>
          </c:cat>
          <c:val>
            <c:numRef>
              <c:f>'KOPĒJIE GRAFIKI'!$K$12:$R$12</c:f>
              <c:numCache>
                <c:formatCode>#,##0</c:formatCode>
                <c:ptCount val="2"/>
                <c:pt idx="0">
                  <c:v>795639.12999999989</c:v>
                </c:pt>
                <c:pt idx="1">
                  <c:v>38595.24</c:v>
                </c:pt>
              </c:numCache>
            </c:numRef>
          </c:val>
          <c:extLst>
            <c:ext xmlns:c="http://schemas.openxmlformats.org/drawingml/2006/chart" xmlns:c16="http://schemas.microsoft.com/office/drawing/2014/chart" uri="{C3380CC4-5D6E-409C-BE32-E72D297353CC}">
              <c16:uniqueId val="{00000003-E610-40B8-B150-EF8A2DF08827}"/>
            </c:ext>
          </c:extLst>
        </c:ser>
        <c:dLbls>
          <c:showLegendKey val="0"/>
          <c:showVal val="0"/>
          <c:showCatName val="0"/>
          <c:showSerName val="0"/>
          <c:showPercent val="0"/>
          <c:showBubbleSize val="0"/>
        </c:dLbls>
        <c:gapWidth val="150"/>
        <c:shape val="box"/>
        <c:axId val="436498840"/>
        <c:axId val="436495704"/>
        <c:axId val="0"/>
        <c:extLst>
          <c:ext xmlns:c="http://schemas.openxmlformats.org/drawingml/2006/char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'KOPĒJIE GRAFIKI'!$J$11</c15:sqref>
                        </c15:formulaRef>
                      </c:ext>
                    </c:extLst>
                    <c:strCache>
                      <c:ptCount val="1"/>
                      <c:pt idx="0">
                        <c:v>Zinātnisko institūciju savstarpēja partnerība</c:v>
                      </c:pt>
                    </c:strCache>
                  </c:strRef>
                </c:tx>
                <c:spPr>
                  <a:solidFill xmlns:a="http://schemas.openxmlformats.org/drawingml/2006/main">
                    <a:schemeClr val="accent2"/>
                  </a:solidFill>
                  <a:ln xmlns:a="http://schemas.openxmlformats.org/drawingml/2006/main">
                    <a:noFill/>
                  </a:ln>
                  <a:effectLst xmlns:a="http://schemas.openxmlformats.org/drawingml/2006/main"/>
                  <a:sp3d xmlns:a="http://schemas.openxmlformats.org/drawingml/2006/main"/>
                </c:spPr>
                <c:invertIfNegative val="0"/>
                <c:cat>
                  <c:strRef>
                    <c:extLst xmlns:c16r2="http://schemas.microsoft.com/office/drawing/2015/06/chart">
                      <c:ext uri="{02D57815-91ED-43cb-92C2-25804820EDAC}">
                        <c15:formulaRef>
                          <c15:sqref>'KOPĒJIE GRAFIKI'!$K$9:$R$9</c15:sqref>
                        </c15:formulaRef>
                      </c:ext>
                    </c:extLst>
                    <c:strCache>
                      <c:ptCount val="2"/>
                      <c:pt idx="0">
                        <c:v>Praktiskas ievirzes pētījumi</c:v>
                      </c:pt>
                      <c:pt idx="1">
                        <c:v>Pēcdoktorantūras pētniecības atbalsts</c:v>
                      </c:pt>
                    </c:strCache>
                  </c:strRef>
                </c:cat>
                <c:val>
                  <c:numRef>
                    <c:extLst xmlns:c16r2="http://schemas.microsoft.com/office/drawing/2015/06/chart">
                      <c:ext uri="{02D57815-91ED-43cb-92C2-25804820EDAC}">
                        <c15:formulaRef>
                          <c15:sqref>'KOPĒJIE GRAFIKI'!$K$11:$R$11</c15:sqref>
                        </c15:formulaRef>
                      </c:ext>
                    </c:extLst>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4-E610-40B8-B150-EF8A2DF08827}"/>
                  </c:ext>
                </c:extLst>
              </c15:ser>
            </c15:filteredBarSeries>
            <c15:filteredBarSeries>
              <c15:ser>
                <c:idx val="3"/>
                <c:order val="3"/>
                <c:tx>
                  <c:strRef>
                    <c:extLst xmlns:c16r2="http://schemas.microsoft.com/office/drawing/2015/06/chart">
                      <c:ext uri="{02D57815-91ED-43cb-92C2-25804820EDAC}">
                        <c15:formulaRef>
                          <c15:sqref>'KOPĒJIE GRAFIKI'!$J$13</c15:sqref>
                        </c15:formulaRef>
                      </c:ext>
                    </c:extLst>
                    <c:strCache>
                      <c:ptCount val="1"/>
                      <c:pt idx="0">
                        <c:v>Zinātniskā institūcija īsteno individuāli</c:v>
                      </c:pt>
                    </c:strCache>
                  </c:strRef>
                </c:tx>
                <c:spPr>
                  <a:solidFill xmlns:a="http://schemas.openxmlformats.org/drawingml/2006/main">
                    <a:schemeClr val="accent4"/>
                  </a:solidFill>
                  <a:ln xmlns:a="http://schemas.openxmlformats.org/drawingml/2006/main">
                    <a:noFill/>
                  </a:ln>
                  <a:effectLst xmlns:a="http://schemas.openxmlformats.org/drawingml/2006/main"/>
                  <a:sp3d xmlns:a="http://schemas.openxmlformats.org/drawingml/2006/main"/>
                </c:spPr>
                <c:invertIfNegative val="0"/>
                <c:cat>
                  <c:strRef>
                    <c:extLst xmlns:c16r2="http://schemas.microsoft.com/office/drawing/2015/06/chart">
                      <c:ext uri="{02D57815-91ED-43cb-92C2-25804820EDAC}">
                        <c15:formulaRef>
                          <c15:sqref>'KOPĒJIE GRAFIKI'!$K$9:$R$9</c15:sqref>
                        </c15:formulaRef>
                      </c:ext>
                    </c:extLst>
                    <c:strCache>
                      <c:ptCount val="2"/>
                      <c:pt idx="0">
                        <c:v>Praktiskas ievirzes pētījumi</c:v>
                      </c:pt>
                      <c:pt idx="1">
                        <c:v>Pēcdoktorantūras pētniecības atbalsts</c:v>
                      </c:pt>
                    </c:strCache>
                  </c:strRef>
                </c:cat>
                <c:val>
                  <c:numRef>
                    <c:extLst xmlns:c16r2="http://schemas.microsoft.com/office/drawing/2015/06/chart">
                      <c:ext uri="{02D57815-91ED-43cb-92C2-25804820EDAC}">
                        <c15:formulaRef>
                          <c15:sqref>'KOPĒJIE GRAFIKI'!$K$13:$R$13</c15:sqref>
                        </c15:formulaRef>
                      </c:ext>
                    </c:extLst>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5-E610-40B8-B150-EF8A2DF08827}"/>
                  </c:ext>
                </c:extLst>
              </c15:ser>
            </c15:filteredBarSeries>
          </c:ext>
        </c:extLst>
      </c:bar3DChart>
      <c:catAx>
        <c:axId val="436498840"/>
        <c:scaling>
          <c:orientation val="minMax"/>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36495704"/>
        <c:crosses val="autoZero"/>
        <c:auto val="1"/>
        <c:lblAlgn val="ctr"/>
        <c:lblOffset val="100"/>
        <c:noMultiLvlLbl val="0"/>
      </c:catAx>
      <c:valAx>
        <c:axId val="436495704"/>
        <c:scaling>
          <c:orientation val="minMax"/>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36498840"/>
        <c:crosses val="autoZero"/>
        <c:crossBetween val="between"/>
        <c:dispUnits>
          <c:builtInUnit val="millions"/>
          <c:dispUnitsLbl>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tx>
              <c:rich>
                <a:bodyPr vertOverflow="clip"/>
                <a:lstStyle/>
                <a:p>
                  <a:r>
                    <a:rPr/>
                    <a:t>Millions</a:t>
                  </a:r>
                </a:p>
              </c:rich>
            </c:tx>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a:solidFill>
            <a:sysClr val="windowText" lastClr="000000"/>
          </a:solidFill>
        </a:defRPr>
      </a:pPr>
      <a:endParaRPr lang="lv-LV"/>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73913430312736"/>
          <c:y val="0.26391516496679523"/>
          <c:w val="0.82855465100760706"/>
          <c:h val="0.65286194930331687"/>
        </c:manualLayout>
      </c:layout>
      <c:barChart>
        <c:barDir val="bar"/>
        <c:grouping val="clustered"/>
        <c:varyColors val="0"/>
        <c:ser>
          <c:idx val="0"/>
          <c:order val="0"/>
          <c:spPr>
            <a:solidFill>
              <a:schemeClr val="accent2">
                <a:lumMod val="75000"/>
              </a:schemeClr>
            </a:solidFill>
            <a:ln>
              <a:noFill/>
            </a:ln>
            <a:effectLst/>
          </c:spPr>
          <c:invertIfNegative val="0"/>
          <c:dPt>
            <c:idx val="0"/>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1-9A69-4539-AAB9-C14AC99CFD2B}"/>
              </c:ext>
            </c:extLst>
          </c:dPt>
          <c:dPt>
            <c:idx val="1"/>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3-9A69-4539-AAB9-C14AC99CFD2B}"/>
              </c:ext>
            </c:extLst>
          </c:dPt>
          <c:dPt>
            <c:idx val="2"/>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5-9A69-4539-AAB9-C14AC99CFD2B}"/>
              </c:ext>
            </c:extLst>
          </c:dPt>
          <c:dPt>
            <c:idx val="3"/>
            <c:invertIfNegative val="0"/>
            <c:bubble3D val="0"/>
            <c:spPr>
              <a:solidFill>
                <a:schemeClr val="accent1"/>
              </a:solidFill>
              <a:ln>
                <a:noFill/>
              </a:ln>
              <a:effectLst/>
            </c:spPr>
            <c:extLst>
              <c:ext xmlns:c="http://schemas.openxmlformats.org/drawingml/2006/chart" xmlns:c16="http://schemas.microsoft.com/office/drawing/2014/chart" uri="{C3380CC4-5D6E-409C-BE32-E72D297353CC}">
                <c16:uniqueId val="{00000007-9A69-4539-AAB9-C14AC99CFD2B}"/>
              </c:ext>
            </c:extLst>
          </c:dPt>
          <c:cat>
            <c:strRef>
              <c:f>Sheet1!$AD$3:$AD$16</c:f>
              <c:strCache>
                <c:ptCount val="14"/>
                <c:pt idx="0">
                  <c:v>DU</c:v>
                </c:pt>
                <c:pt idx="1">
                  <c:v>RSU</c:v>
                </c:pt>
                <c:pt idx="2">
                  <c:v>LMA</c:v>
                </c:pt>
                <c:pt idx="3">
                  <c:v>RPIVA</c:v>
                </c:pt>
                <c:pt idx="4">
                  <c:v>RTA</c:v>
                </c:pt>
                <c:pt idx="5">
                  <c:v>LiepU</c:v>
                </c:pt>
                <c:pt idx="6">
                  <c:v>JVLMA</c:v>
                </c:pt>
                <c:pt idx="7">
                  <c:v>LSPA</c:v>
                </c:pt>
                <c:pt idx="8">
                  <c:v>VeA</c:v>
                </c:pt>
                <c:pt idx="9">
                  <c:v>ViA</c:v>
                </c:pt>
                <c:pt idx="10">
                  <c:v>LKA</c:v>
                </c:pt>
                <c:pt idx="11">
                  <c:v>LLU</c:v>
                </c:pt>
                <c:pt idx="12">
                  <c:v>RTU</c:v>
                </c:pt>
                <c:pt idx="13">
                  <c:v>LU</c:v>
                </c:pt>
              </c:strCache>
            </c:strRef>
          </c:cat>
          <c:val>
            <c:numRef>
              <c:f>Sheet1!$AG$3:$AG$16</c:f>
              <c:numCache>
                <c:formatCode>General</c:formatCode>
                <c:ptCount val="14"/>
                <c:pt idx="0">
                  <c:v>-8.7399999999999984</c:v>
                </c:pt>
                <c:pt idx="1">
                  <c:v>-4.6300000000000026</c:v>
                </c:pt>
                <c:pt idx="2">
                  <c:v>-2.25</c:v>
                </c:pt>
                <c:pt idx="3">
                  <c:v>-0.65999999999999992</c:v>
                </c:pt>
                <c:pt idx="4">
                  <c:v>-0.080000000000000071</c:v>
                </c:pt>
                <c:pt idx="5">
                  <c:v>0.35000000000000009</c:v>
                </c:pt>
                <c:pt idx="6">
                  <c:v>1.04</c:v>
                </c:pt>
                <c:pt idx="7">
                  <c:v>1.25</c:v>
                </c:pt>
                <c:pt idx="8">
                  <c:v>2.41</c:v>
                </c:pt>
                <c:pt idx="9">
                  <c:v>4.74</c:v>
                </c:pt>
                <c:pt idx="10">
                  <c:v>4.84</c:v>
                </c:pt>
                <c:pt idx="11">
                  <c:v>9.3499999999999979</c:v>
                </c:pt>
                <c:pt idx="12">
                  <c:v>20.47</c:v>
                </c:pt>
                <c:pt idx="13">
                  <c:v>62.429999999999993</c:v>
                </c:pt>
              </c:numCache>
            </c:numRef>
          </c:val>
          <c:extLst>
            <c:ext xmlns:c="http://schemas.openxmlformats.org/drawingml/2006/chart" xmlns:c16="http://schemas.microsoft.com/office/drawing/2014/chart" uri="{C3380CC4-5D6E-409C-BE32-E72D297353CC}">
              <c16:uniqueId val="{00000008-9A69-4539-AAB9-C14AC99CFD2B}"/>
            </c:ext>
          </c:extLst>
        </c:ser>
        <c:dLbls>
          <c:showLegendKey val="0"/>
          <c:showVal val="0"/>
          <c:showCatName val="0"/>
          <c:showSerName val="0"/>
          <c:showPercent val="0"/>
          <c:showBubbleSize val="0"/>
        </c:dLbls>
        <c:gapWidth val="86"/>
        <c:axId val="436492176"/>
        <c:axId val="436493352"/>
      </c:barChart>
      <c:catAx>
        <c:axId val="436492176"/>
        <c:scaling>
          <c:orientation val="minMax"/>
        </c:scaling>
        <c:delete val="0"/>
        <c:axPos val="l"/>
        <c:numFmt formatCode="General" sourceLinked="1"/>
        <c:majorTickMark val="none"/>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crossAx val="436493352"/>
        <c:crosses val="autoZero"/>
        <c:auto val="1"/>
        <c:lblAlgn val="ctr"/>
        <c:lblOffset val="100"/>
        <c:noMultiLvlLbl val="0"/>
      </c:catAx>
      <c:valAx>
        <c:axId val="436493352"/>
        <c:scaling>
          <c:orientation val="minMax"/>
        </c:scaling>
        <c:delete val="0"/>
        <c:axPos val="b"/>
        <c:title>
          <c:tx>
            <c:rich>
              <a:bodyPr rot="0" spcFirstLastPara="1" vertOverflow="clip" vert="horz" wrap="square" anchor="ctr" anchorCtr="1"/>
              <a:lstStyle/>
              <a:p>
                <a:pPr>
                  <a:defRPr sz="1000" b="0" i="0" u="none" strike="noStrike" kern="1200" baseline="0">
                    <a:solidFill>
                      <a:sysClr val="windowText" lastClr="000000"/>
                    </a:solidFill>
                    <a:latin typeface="Candara" panose="020E0502030303020204" pitchFamily="34" charset="0"/>
                    <a:ea typeface="Verdana" panose="020B0604030504040204" pitchFamily="34" charset="0"/>
                    <a:cs typeface="Verdana" panose="020B0604030504040204" pitchFamily="34" charset="0"/>
                  </a:defRPr>
                </a:pPr>
                <a:r>
                  <a:rPr lang="lv-LV" b="1">
                    <a:latin typeface="Candara" panose="020E0502030303020204" pitchFamily="34" charset="0"/>
                  </a:rPr>
                  <a:t>44.attēls. Augstskolu maģistrantu, doktorantu un jauno zinātnieku skaita </a:t>
                </a:r>
                <a:r>
                  <a:rPr lang="lv-LV" b="0">
                    <a:latin typeface="Candara" panose="020E0502030303020204" pitchFamily="34" charset="0"/>
                  </a:rPr>
                  <a:t>(PLE izteiksmē) </a:t>
                </a:r>
                <a:r>
                  <a:rPr lang="lv-LV" b="1">
                    <a:latin typeface="Candara" panose="020E0502030303020204" pitchFamily="34" charset="0"/>
                  </a:rPr>
                  <a:t>izmaiņas starp 2014. un 2015.gadu</a:t>
                </a:r>
              </a:p>
            </c:rich>
          </c:tx>
          <c:layout>
            <c:manualLayout>
              <c:xMode val="edge"/>
              <c:yMode val="edge"/>
              <c:x val="0.11524934383202101"/>
              <c:y val="0.047746024926023534"/>
            </c:manualLayout>
          </c:layout>
          <c:overlay val="0"/>
          <c:spPr>
            <a:noFill/>
            <a:ln>
              <a:noFill/>
            </a:ln>
            <a:effectLst/>
          </c:spPr>
        </c:title>
        <c:numFmt formatCode="General" sourceLinked="1"/>
        <c:majorTickMark val="none"/>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crossAx val="43649217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Narrow" panose="020B0606020202030204" pitchFamily="34" charset="0"/>
          <a:ea typeface="Verdana" panose="020B0604030504040204" pitchFamily="34" charset="0"/>
          <a:cs typeface="Verdana" panose="020B0604030504040204" pitchFamily="34" charset="0"/>
        </a:defRPr>
      </a:pPr>
      <a:endParaRPr lang="lv-LV"/>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80" b="0"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45.attēls. Maģistra studiju programmās imatrikulēto </a:t>
            </a:r>
            <a:r>
              <a:rPr lang="lv-LV" sz="1000" b="1" baseline="0">
                <a:latin typeface="Candara" panose="020E0502030303020204" pitchFamily="34" charset="0"/>
              </a:rPr>
              <a:t>dinamika</a:t>
            </a:r>
            <a:endParaRPr lang="lv-LV" sz="1000" b="1">
              <a:latin typeface="Candara" panose="020E0502030303020204" pitchFamily="34" charset="0"/>
            </a:endParaRPr>
          </a:p>
        </c:rich>
      </c:tx>
      <c:layout>
        <c:manualLayout>
          <c:xMode val="edge"/>
          <c:yMode val="edge"/>
          <c:x val="0.12344260981778973"/>
          <c:y val="0.027972027972027972"/>
        </c:manualLayout>
      </c:layout>
      <c:overlay val="0"/>
      <c:spPr>
        <a:noFill/>
        <a:ln>
          <a:noFill/>
        </a:ln>
        <a:effectLst/>
      </c:spPr>
    </c:title>
    <c:autoTitleDeleted val="0"/>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Sheet1!$A$43:$A$48</c:f>
              <c:strCache>
                <c:ptCount val="6"/>
                <c:pt idx="0">
                  <c:v>2011/12</c:v>
                </c:pt>
                <c:pt idx="1">
                  <c:v>2012/13</c:v>
                </c:pt>
                <c:pt idx="2">
                  <c:v>2013/14</c:v>
                </c:pt>
                <c:pt idx="3">
                  <c:v>2014/15</c:v>
                </c:pt>
                <c:pt idx="4">
                  <c:v>2015/16</c:v>
                </c:pt>
                <c:pt idx="5">
                  <c:v>2016/17</c:v>
                </c:pt>
              </c:strCache>
            </c:strRef>
          </c:cat>
          <c:val>
            <c:numRef>
              <c:f>Sheet1!$B$43:$B$48</c:f>
              <c:numCache>
                <c:formatCode>General</c:formatCode>
                <c:ptCount val="6"/>
                <c:pt idx="0">
                  <c:v>6446</c:v>
                </c:pt>
                <c:pt idx="1">
                  <c:v>6311</c:v>
                </c:pt>
                <c:pt idx="2">
                  <c:v>6244</c:v>
                </c:pt>
                <c:pt idx="3">
                  <c:v>5749</c:v>
                </c:pt>
                <c:pt idx="4">
                  <c:v>5982</c:v>
                </c:pt>
                <c:pt idx="5">
                  <c:v>5874</c:v>
                </c:pt>
              </c:numCache>
            </c:numRef>
          </c:val>
          <c:extLst>
            <c:ext xmlns:c="http://schemas.openxmlformats.org/drawingml/2006/chart" xmlns:c16="http://schemas.microsoft.com/office/drawing/2014/chart" uri="{C3380CC4-5D6E-409C-BE32-E72D297353CC}">
              <c16:uniqueId val="{00000000-EEE9-43CE-925C-480C21EB3501}"/>
            </c:ext>
          </c:extLst>
        </c:ser>
        <c:dLbls>
          <c:showLegendKey val="0"/>
          <c:showVal val="0"/>
          <c:showCatName val="0"/>
          <c:showSerName val="0"/>
          <c:showPercent val="0"/>
          <c:showBubbleSize val="0"/>
        </c:dLbls>
        <c:gapWidth val="38"/>
        <c:axId val="436496488"/>
        <c:axId val="436494136"/>
      </c:barChart>
      <c:catAx>
        <c:axId val="436496488"/>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27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6494136"/>
        <c:crosses val="autoZero"/>
        <c:auto val="1"/>
        <c:lblAlgn val="ctr"/>
        <c:lblOffset val="100"/>
        <c:noMultiLvlLbl val="0"/>
      </c:catAx>
      <c:valAx>
        <c:axId val="436494136"/>
        <c:scaling>
          <c:orientation val="minMax"/>
          <c:min val="0"/>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649648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solidFill>
            <a:sysClr val="windowText" lastClr="000000"/>
          </a:solidFill>
          <a:latin typeface="Arial Narrow" panose="020B0606020202030204" pitchFamily="34" charset="0"/>
        </a:defRPr>
      </a:pPr>
      <a:endParaRPr lang="lv-LV"/>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080" b="1" i="0" u="none" strike="noStrike" kern="1200" spc="0" baseline="0">
                <a:solidFill>
                  <a:sysClr val="windowText" lastClr="000000"/>
                </a:solidFill>
                <a:latin typeface="Arial Narrow" panose="020B0606020202030204" pitchFamily="34" charset="0"/>
                <a:ea typeface="+mn-ea"/>
                <a:cs typeface="+mn-cs"/>
              </a:defRPr>
            </a:pPr>
            <a:r>
              <a:rPr lang="lv-LV" sz="1000" b="1">
                <a:latin typeface="Candara" panose="020E0502030303020204" pitchFamily="34" charset="0"/>
              </a:rPr>
              <a:t>46.attēls.</a:t>
            </a:r>
            <a:r>
              <a:rPr lang="lv-LV" sz="1000" b="1" baseline="0">
                <a:latin typeface="Candara" panose="020E0502030303020204" pitchFamily="34" charset="0"/>
              </a:rPr>
              <a:t> </a:t>
            </a:r>
            <a:r>
              <a:rPr lang="lv-LV" sz="1000" b="1">
                <a:latin typeface="Candara" panose="020E0502030303020204" pitchFamily="34" charset="0"/>
              </a:rPr>
              <a:t>Doktora studiju programmās imatrikulēto </a:t>
            </a:r>
            <a:r>
              <a:rPr lang="lv-LV" sz="1000" b="1" baseline="0">
                <a:latin typeface="Candara" panose="020E0502030303020204" pitchFamily="34" charset="0"/>
              </a:rPr>
              <a:t>dinamika</a:t>
            </a:r>
            <a:endParaRPr lang="lv-LV" sz="1000" b="1">
              <a:latin typeface="Candara" panose="020E0502030303020204" pitchFamily="34" charset="0"/>
            </a:endParaRPr>
          </a:p>
        </c:rich>
      </c:tx>
      <c:layout>
        <c:manualLayout>
          <c:xMode val="edge"/>
          <c:yMode val="edge"/>
          <c:x val="0.10914838392176784"/>
          <c:y val="0.027972201037410414"/>
        </c:manualLayout>
      </c:layout>
      <c:overlay val="0"/>
      <c:spPr>
        <a:noFill/>
        <a:ln>
          <a:noFill/>
        </a:ln>
        <a:effectLst/>
      </c:spPr>
    </c:title>
    <c:autoTitleDeleted val="0"/>
    <c:plotArea>
      <c:layout/>
      <c:barChart>
        <c:barDir val="col"/>
        <c:grouping val="clustered"/>
        <c:varyColors val="0"/>
        <c:ser>
          <c:idx val="1"/>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Sheet1!$A$43:$A$48</c:f>
              <c:strCache>
                <c:ptCount val="6"/>
                <c:pt idx="0">
                  <c:v>2011/12</c:v>
                </c:pt>
                <c:pt idx="1">
                  <c:v>2012/13</c:v>
                </c:pt>
                <c:pt idx="2">
                  <c:v>2013/14</c:v>
                </c:pt>
                <c:pt idx="3">
                  <c:v>2014/15</c:v>
                </c:pt>
                <c:pt idx="4">
                  <c:v>2015/16</c:v>
                </c:pt>
                <c:pt idx="5">
                  <c:v>2016/17</c:v>
                </c:pt>
              </c:strCache>
            </c:strRef>
          </c:cat>
          <c:val>
            <c:numRef>
              <c:f>Sheet1!$C$43:$C$48</c:f>
              <c:numCache>
                <c:formatCode>General</c:formatCode>
                <c:ptCount val="6"/>
                <c:pt idx="0">
                  <c:v>598</c:v>
                </c:pt>
                <c:pt idx="1">
                  <c:v>645</c:v>
                </c:pt>
                <c:pt idx="2">
                  <c:v>546</c:v>
                </c:pt>
                <c:pt idx="3">
                  <c:v>532</c:v>
                </c:pt>
                <c:pt idx="4">
                  <c:v>636</c:v>
                </c:pt>
                <c:pt idx="5">
                  <c:v>564</c:v>
                </c:pt>
              </c:numCache>
            </c:numRef>
          </c:val>
          <c:extLst>
            <c:ext xmlns:c="http://schemas.openxmlformats.org/drawingml/2006/chart" xmlns:c16="http://schemas.microsoft.com/office/drawing/2014/chart" uri="{C3380CC4-5D6E-409C-BE32-E72D297353CC}">
              <c16:uniqueId val="{00000000-CFDF-41B1-9FD7-69C3CA0A21A5}"/>
            </c:ext>
          </c:extLst>
        </c:ser>
        <c:dLbls>
          <c:showLegendKey val="0"/>
          <c:showVal val="0"/>
          <c:showCatName val="0"/>
          <c:showSerName val="0"/>
          <c:showPercent val="0"/>
          <c:showBubbleSize val="0"/>
        </c:dLbls>
        <c:gapWidth val="38"/>
        <c:axId val="436498056"/>
        <c:axId val="436498448"/>
      </c:barChart>
      <c:catAx>
        <c:axId val="436498056"/>
        <c:scaling>
          <c:orientation val="minMax"/>
        </c:scaling>
        <c:delete val="0"/>
        <c:axPos val="b"/>
        <c:numFmt formatCode="General" sourceLinked="1"/>
        <c:majorTickMark val="none"/>
        <c:minorTickMark val="none"/>
        <c:tickLblPos val="nextTo"/>
        <c:spPr>
          <a:noFill/>
          <a:ln w="9525">
            <a:solidFill>
              <a:schemeClr val="tx1"/>
            </a:solidFill>
            <a:round/>
          </a:ln>
          <a:effectLst/>
        </c:spPr>
        <c:txPr>
          <a:bodyPr rot="-27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6498448"/>
        <c:crosses val="autoZero"/>
        <c:auto val="1"/>
        <c:lblAlgn val="ctr"/>
        <c:lblOffset val="100"/>
        <c:noMultiLvlLbl val="0"/>
      </c:catAx>
      <c:valAx>
        <c:axId val="436498448"/>
        <c:scaling>
          <c:orientation val="minMax"/>
          <c:min val="0"/>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36498056"/>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900">
          <a:solidFill>
            <a:sysClr val="windowText" lastClr="000000"/>
          </a:solidFill>
          <a:latin typeface="Arial Narrow" panose="020B0606020202030204" pitchFamily="34" charset="0"/>
        </a:defRPr>
      </a:pPr>
      <a:endParaRPr lang="lv-LV"/>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2000" b="0" i="0" u="none" strike="noStrike" kern="1200" cap="none" spc="0" normalizeH="0" baseline="0">
                <a:solidFill>
                  <a:sysClr val="windowText" lastClr="000000"/>
                </a:solidFill>
                <a:latin typeface="Arial Narrow" panose="020B0606020202030204" pitchFamily="34" charset="0"/>
                <a:ea typeface="+mj-ea"/>
                <a:cs typeface="+mj-cs"/>
              </a:defRPr>
            </a:pPr>
            <a:r>
              <a:rPr lang="lv-LV" sz="1000" b="1">
                <a:latin typeface="Candara" panose="020E0502030303020204" pitchFamily="34" charset="0"/>
              </a:rPr>
              <a:t>47.attēls. 1.1.1.1. pasākuma ietvaros  plānotais piesaistīto STUDĒJOŠO skaits </a:t>
            </a:r>
            <a:r>
              <a:rPr lang="lv-LV" sz="1000" b="0">
                <a:latin typeface="Candara" panose="020E0502030303020204" pitchFamily="34" charset="0"/>
              </a:rPr>
              <a:t>(PLE izteiksmē) </a:t>
            </a:r>
            <a:endParaRPr lang="en-GB" sz="1000" b="0">
              <a:latin typeface="Candara" panose="020E0502030303020204" pitchFamily="34" charset="0"/>
            </a:endParaRPr>
          </a:p>
        </c:rich>
      </c:tx>
      <c:layout/>
      <c:overlay val="0"/>
      <c:spPr>
        <a:noFill/>
        <a:ln>
          <a:noFill/>
        </a:ln>
        <a:effectLst/>
      </c:spPr>
    </c:title>
    <c:autoTitleDeleted val="0"/>
    <c:plotArea>
      <c:layout/>
      <c:barChart>
        <c:barDir val="bar"/>
        <c:grouping val="stacked"/>
        <c:varyColors val="0"/>
        <c:ser>
          <c:idx val="0"/>
          <c:order val="0"/>
          <c:spPr>
            <a:solidFill>
              <a:schemeClr val="accent5">
                <a:lumMod val="75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('1111 grafiki'!$K$2,'1111 grafiki'!$L$2)</c:f>
              <c:strCache>
                <c:ptCount val="2"/>
                <c:pt idx="0">
                  <c:v>piesaistītie maģistranti (PLE)</c:v>
                </c:pt>
                <c:pt idx="1">
                  <c:v>piesaistītie doktoranti (PLE)</c:v>
                </c:pt>
              </c:strCache>
            </c:strRef>
          </c:cat>
          <c:val>
            <c:numRef>
              <c:f>('1111 grafiki'!$K$8,'1111 grafiki'!$L$8)</c:f>
              <c:numCache>
                <c:formatCode>#,##0</c:formatCode>
                <c:ptCount val="2"/>
                <c:pt idx="0">
                  <c:v>19.682000000000002</c:v>
                </c:pt>
                <c:pt idx="1">
                  <c:v>43.714</c:v>
                </c:pt>
              </c:numCache>
            </c:numRef>
          </c:val>
          <c:extLst>
            <c:ext xmlns:c="http://schemas.openxmlformats.org/drawingml/2006/chart" xmlns:c16="http://schemas.microsoft.com/office/drawing/2014/chart" uri="{C3380CC4-5D6E-409C-BE32-E72D297353CC}">
              <c16:uniqueId val="{00000000-9EF6-4EA3-A93E-0EE2797496B9}"/>
            </c:ext>
          </c:extLst>
        </c:ser>
        <c:dLbls>
          <c:showLegendKey val="0"/>
          <c:showVal val="0"/>
          <c:showCatName val="0"/>
          <c:showSerName val="0"/>
          <c:showPercent val="0"/>
          <c:showBubbleSize val="0"/>
        </c:dLbls>
        <c:gapWidth val="150"/>
        <c:overlap val="100"/>
        <c:axId val="455943288"/>
        <c:axId val="455944464"/>
      </c:barChart>
      <c:catAx>
        <c:axId val="455943288"/>
        <c:scaling>
          <c:orientation val="minMax"/>
        </c:scaling>
        <c:delete val="0"/>
        <c:axPos val="l"/>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Arial Narrow" panose="020B0606020202030204" pitchFamily="34" charset="0"/>
                <a:ea typeface="+mn-ea"/>
                <a:cs typeface="+mn-cs"/>
              </a:defRPr>
            </a:pPr>
            <a:endParaRPr lang="lv-LV"/>
          </a:p>
        </c:txPr>
        <c:crossAx val="455944464"/>
        <c:crosses val="autoZero"/>
        <c:auto val="1"/>
        <c:lblAlgn val="ctr"/>
        <c:lblOffset val="100"/>
        <c:noMultiLvlLbl val="0"/>
      </c:catAx>
      <c:valAx>
        <c:axId val="455944464"/>
        <c:scaling>
          <c:orientation val="minMax"/>
        </c:scaling>
        <c:delete val="0"/>
        <c:axPos val="b"/>
        <c:numFmt formatCode="#,##0"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crossAx val="45594328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Narrow" panose="020B0606020202030204" pitchFamily="34" charset="0"/>
        </a:defRPr>
      </a:pPr>
      <a:endParaRPr lang="lv-LV"/>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100" b="1" i="0" u="none" strike="noStrike" baseline="0">
                <a:effectLst/>
                <a:latin typeface="Candara" panose="020E0502030303020204" pitchFamily="34" charset="0"/>
              </a:rPr>
              <a:t>48. attēls 1.1.1.1. pasākuma projektu KOPĒJAIS </a:t>
            </a:r>
            <a:r>
              <a:rPr lang="lv-LV" sz="1100" b="1" i="0" baseline="0">
                <a:effectLst/>
                <a:latin typeface="Candara" panose="020E0502030303020204" pitchFamily="34" charset="0"/>
              </a:rPr>
              <a:t>FINANSĒJUMS pa RIS3 specializācijas jomām (kopējais attiecināmais finansējums milj. EUR, t.sk. % no kopējā )</a:t>
            </a:r>
            <a:endParaRPr lang="en-GB" sz="1100">
              <a:effectLst/>
              <a:latin typeface="Candara" panose="020E0502030303020204" pitchFamily="34" charset="0"/>
            </a:endParaRPr>
          </a:p>
        </c:rich>
      </c:tx>
      <c:layout>
        <c:manualLayout>
          <c:xMode val="edge"/>
          <c:yMode val="edge"/>
          <c:x val="0.12710341907688583"/>
          <c:y val="0.027777751346036429"/>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manualLayout>
          <c:layoutTarget val="inner"/>
          <c:xMode val="edge"/>
          <c:yMode val="edge"/>
          <c:x val="0.08285270627575253"/>
          <c:y val="0.25834550801631723"/>
          <c:w val="0.4572384406097863"/>
          <c:h val="0.66382221800588181"/>
        </c:manualLayout>
      </c:layout>
      <c:doughnutChart>
        <c:varyColors val="1"/>
        <c:ser>
          <c:idx val="0"/>
          <c:order val="0"/>
          <c:dPt>
            <c:idx val="0"/>
            <c:bubble3D val="0"/>
            <c:spPr>
              <a:solidFill>
                <a:schemeClr val="accent1"/>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1-429D-4DAB-911E-FBF280CBB562}"/>
              </c:ext>
            </c:extLst>
          </c:dPt>
          <c:dPt>
            <c:idx val="1"/>
            <c:bubble3D val="0"/>
            <c:spPr>
              <a:solidFill>
                <a:schemeClr val="accent3"/>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3-429D-4DAB-911E-FBF280CBB562}"/>
              </c:ext>
            </c:extLst>
          </c:dPt>
          <c:dPt>
            <c:idx val="2"/>
            <c:bubble3D val="0"/>
            <c:spPr>
              <a:solidFill>
                <a:schemeClr val="accent5"/>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5-429D-4DAB-911E-FBF280CBB562}"/>
              </c:ext>
            </c:extLst>
          </c:dPt>
          <c:dPt>
            <c:idx val="3"/>
            <c:bubble3D val="0"/>
            <c:spPr>
              <a:solidFill>
                <a:schemeClr val="accent1">
                  <a:lumMod val="60000"/>
                </a:schemeClr>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7-429D-4DAB-911E-FBF280CBB562}"/>
              </c:ext>
            </c:extLst>
          </c:dPt>
          <c:dPt>
            <c:idx val="4"/>
            <c:bubble3D val="0"/>
            <c:spPr>
              <a:solidFill>
                <a:schemeClr val="accent3">
                  <a:lumMod val="60000"/>
                </a:schemeClr>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9-429D-4DAB-911E-FBF280CBB562}"/>
              </c:ext>
            </c:extLst>
          </c:dPt>
          <c:dLbls>
            <c:dLbl>
              <c:idx val="0"/>
              <c:layout>
                <c:manualLayout>
                  <c:x val="0.054580896686159841"/>
                  <c:y val="-0.045428741799128411"/>
                </c:manualLayout>
              </c:layout>
              <c:tx>
                <c:rich>
                  <a:bodyPr vertOverflow="clip"/>
                  <a:lstStyle/>
                  <a:p>
                    <a:fld id="{8191d4c5-e9cd-43f8-9d37-3dd9e1f6baeb}" type="CELLRANGE">
                      <a:rPr lang="en-US" baseline="0"/>
                      <a:t>€ 16,31</a:t>
                    </a:fld>
                    <a:r>
                      <a:rPr lang="en-US" baseline="0"/>
                      <a:t>; </a:t>
                    </a:r>
                    <a:fld id="{37f7b13c-78a7-471a-aa02-ce488e4582a9}" type="PERCENTAGE">
                      <a:rPr lang="en-US" baseline="0"/>
                      <a:t>[PERCENTAGE]</a:t>
                    </a:fld>
                    <a:endParaRPr lang="en-US" baseline="0"/>
                  </a:p>
                </c:rich>
              </c:tx>
              <c:showLegendKey val="0"/>
              <c:showVal val="0"/>
              <c:showCatName val="0"/>
              <c:showSerName val="0"/>
              <c:showPercent val="1"/>
              <c:showBubbleSize val="0"/>
              <c:extLst>
                <c:ext xmlns:c="http://schemas.openxmlformats.org/drawingml/2006/chart" xmlns:c16="http://schemas.microsoft.com/office/drawing/2014/chart" uri="{C3380CC4-5D6E-409C-BE32-E72D297353CC}">
                  <c16:uniqueId val="{00000001-429D-4DAB-911E-FBF280CBB562}"/>
                </c:ext>
                <c:ext xmlns:c15="http://schemas.microsoft.com/office/drawing/2012/chart" uri="{CE6537A1-D6FC-4f65-9D91-7224C49458BB}">
                  <c15:showDataLabelsRange val="1"/>
                </c:ext>
              </c:extLst>
            </c:dLbl>
            <c:dLbl>
              <c:idx val="1"/>
              <c:layout>
                <c:manualLayout>
                  <c:x val="0.062378167641325442"/>
                  <c:y val="0.0090857483598256825"/>
                </c:manualLayout>
              </c:layout>
              <c:tx>
                <c:rich>
                  <a:bodyPr vertOverflow="clip"/>
                  <a:lstStyle/>
                  <a:p>
                    <a:fld id="{0ec77541-565e-48fd-a0d6-1fd9e422a426}" type="CELLRANGE">
                      <a:rPr lang="en-US" baseline="0"/>
                      <a:t>€ 3,35</a:t>
                    </a:fld>
                    <a:r>
                      <a:rPr lang="en-US" baseline="0"/>
                      <a:t>; </a:t>
                    </a:r>
                    <a:fld id="{17c56cc5-e2e2-4c55-8f34-66e13c268347}" type="PERCENTAGE">
                      <a:rPr lang="en-US" baseline="0"/>
                      <a:t>[PERCENTAGE]</a:t>
                    </a:fld>
                    <a:endParaRPr lang="en-US" baseline="0"/>
                  </a:p>
                </c:rich>
              </c:tx>
              <c:showLegendKey val="0"/>
              <c:showVal val="0"/>
              <c:showCatName val="0"/>
              <c:showSerName val="0"/>
              <c:showPercent val="1"/>
              <c:showBubbleSize val="0"/>
              <c:extLst>
                <c:ext xmlns:c="http://schemas.openxmlformats.org/drawingml/2006/chart" xmlns:c16="http://schemas.microsoft.com/office/drawing/2014/chart" uri="{C3380CC4-5D6E-409C-BE32-E72D297353CC}">
                  <c16:uniqueId val="{00000003-429D-4DAB-911E-FBF280CBB562}"/>
                </c:ext>
                <c:ext xmlns:c15="http://schemas.microsoft.com/office/drawing/2012/chart" uri="{CE6537A1-D6FC-4f65-9D91-7224C49458BB}">
                  <c15:showDataLabelsRange val="1"/>
                </c:ext>
              </c:extLst>
            </c:dLbl>
            <c:dLbl>
              <c:idx val="2"/>
              <c:layout>
                <c:manualLayout>
                  <c:x val="-0.031189083820662766"/>
                  <c:y val="-0.013628622539738523"/>
                </c:manualLayout>
              </c:layout>
              <c:tx>
                <c:rich>
                  <a:bodyPr vertOverflow="clip"/>
                  <a:lstStyle/>
                  <a:p>
                    <a:fld id="{1bc5304a-d560-4eb8-a9a0-747661290c3b}" type="CELLRANGE">
                      <a:rPr lang="en-US" baseline="0"/>
                      <a:t>€ 13,66</a:t>
                    </a:fld>
                    <a:r>
                      <a:rPr lang="en-US" baseline="0"/>
                      <a:t>; </a:t>
                    </a:r>
                    <a:fld id="{3bad20ce-bea8-4500-8e82-09e9aa6aef2d}" type="PERCENTAGE">
                      <a:rPr lang="en-US" baseline="0"/>
                      <a:t>[PERCENTAGE]</a:t>
                    </a:fld>
                    <a:endParaRPr lang="en-US" baseline="0"/>
                  </a:p>
                </c:rich>
              </c:tx>
              <c:showLegendKey val="0"/>
              <c:showVal val="0"/>
              <c:showCatName val="0"/>
              <c:showSerName val="0"/>
              <c:showPercent val="1"/>
              <c:showBubbleSize val="0"/>
              <c:extLst>
                <c:ext xmlns:c="http://schemas.openxmlformats.org/drawingml/2006/chart" xmlns:c16="http://schemas.microsoft.com/office/drawing/2014/chart" uri="{C3380CC4-5D6E-409C-BE32-E72D297353CC}">
                  <c16:uniqueId val="{00000005-429D-4DAB-911E-FBF280CBB562}"/>
                </c:ext>
                <c:ext xmlns:c15="http://schemas.microsoft.com/office/drawing/2012/chart" uri="{CE6537A1-D6FC-4f65-9D91-7224C49458BB}">
                  <c15:showDataLabelsRange val="1"/>
                </c:ext>
              </c:extLst>
            </c:dLbl>
            <c:dLbl>
              <c:idx val="3"/>
              <c:layout>
                <c:manualLayout>
                  <c:x val="-0.0441845354126056"/>
                  <c:y val="-8.3285064515563151E-17"/>
                </c:manualLayout>
              </c:layout>
              <c:tx>
                <c:rich>
                  <a:bodyPr vertOverflow="clip"/>
                  <a:lstStyle/>
                  <a:p>
                    <a:fld id="{08a67ed1-f996-4b7c-8c03-e8e3dc6c6583}" type="CELLRANGE">
                      <a:rPr lang="en-US" baseline="0"/>
                      <a:t>€ 5,24</a:t>
                    </a:fld>
                    <a:r>
                      <a:rPr lang="en-US" baseline="0"/>
                      <a:t>; </a:t>
                    </a:r>
                    <a:fld id="{4913e30f-10c3-445c-bdcc-509236a85a60}" type="PERCENTAGE">
                      <a:rPr lang="en-US" baseline="0"/>
                      <a:t>[PERCENTAGE]</a:t>
                    </a:fld>
                    <a:endParaRPr lang="en-US" baseline="0"/>
                  </a:p>
                </c:rich>
              </c:tx>
              <c:showLegendKey val="0"/>
              <c:showVal val="0"/>
              <c:showCatName val="0"/>
              <c:showSerName val="0"/>
              <c:showPercent val="1"/>
              <c:showBubbleSize val="0"/>
              <c:extLst>
                <c:ext xmlns:c="http://schemas.openxmlformats.org/drawingml/2006/chart" xmlns:c16="http://schemas.microsoft.com/office/drawing/2014/chart" uri="{C3380CC4-5D6E-409C-BE32-E72D297353CC}">
                  <c16:uniqueId val="{00000007-429D-4DAB-911E-FBF280CBB562}"/>
                </c:ext>
                <c:ext xmlns:c15="http://schemas.microsoft.com/office/drawing/2012/chart" uri="{CE6537A1-D6FC-4f65-9D91-7224C49458BB}">
                  <c15:showDataLabelsRange val="1"/>
                </c:ext>
              </c:extLst>
            </c:dLbl>
            <c:dLbl>
              <c:idx val="4"/>
              <c:layout>
                <c:manualLayout>
                  <c:x val="-0.049382716049382713"/>
                  <c:y val="-0.040885867619215574"/>
                </c:manualLayout>
              </c:layout>
              <c:tx>
                <c:rich>
                  <a:bodyPr vertOverflow="clip"/>
                  <a:lstStyle/>
                  <a:p>
                    <a:fld id="{44bad257-ee95-498b-9e40-d9dfa292b14e}" type="CELLRANGE">
                      <a:rPr lang="en-US" baseline="0"/>
                      <a:t>€ 5,66</a:t>
                    </a:fld>
                    <a:r>
                      <a:rPr lang="en-US" baseline="0"/>
                      <a:t>; </a:t>
                    </a:r>
                    <a:fld id="{8c3e55c9-7c1b-4df6-9482-15eae845dd51}" type="PERCENTAGE">
                      <a:rPr lang="en-US" baseline="0"/>
                      <a:t>[PERCENTAGE]</a:t>
                    </a:fld>
                    <a:endParaRPr lang="en-US" baseline="0"/>
                  </a:p>
                </c:rich>
              </c:tx>
              <c:showLegendKey val="0"/>
              <c:showVal val="0"/>
              <c:showCatName val="0"/>
              <c:showSerName val="0"/>
              <c:showPercent val="1"/>
              <c:showBubbleSize val="0"/>
              <c:extLst>
                <c:ext xmlns:c="http://schemas.openxmlformats.org/drawingml/2006/chart" xmlns:c16="http://schemas.microsoft.com/office/drawing/2014/chart" uri="{C3380CC4-5D6E-409C-BE32-E72D297353CC}">
                  <c16:uniqueId val="{00000009-429D-4DAB-911E-FBF280CBB562}"/>
                </c:ext>
                <c:ext xmlns:c15="http://schemas.microsoft.com/office/drawing/2012/chart" uri="{CE6537A1-D6FC-4f65-9D91-7224C49458BB}">
                  <c15:showDataLabelsRange val="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sx="100000" sy="100000" kx="0" ky="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Candara" panose="020E0502030303020204" pitchFamily="34" charset="0"/>
                    <a:ea typeface="+mn-ea"/>
                    <a:cs typeface="+mn-cs"/>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'1111 grafiki'!$B$3:$B$7</c:f>
              <c:strCache>
                <c:ptCount val="5"/>
                <c:pt idx="0">
                  <c:v>Viedie materiāli, tehnoloģijas un inženiersistēmas</c:v>
                </c:pt>
                <c:pt idx="1">
                  <c:v>Zināšanu ietilpīga bioekonomika</c:v>
                </c:pt>
                <c:pt idx="2">
                  <c:v>Biomedicīna, medicīnas tehnoloģijas, biofarmācija un biotehnoloģijas</c:v>
                </c:pt>
                <c:pt idx="3">
                  <c:v>Informācijas un komunikāciju tehnoloģijas</c:v>
                </c:pt>
                <c:pt idx="4">
                  <c:v>Viedā enerģētika</c:v>
                </c:pt>
              </c:strCache>
            </c:strRef>
          </c:cat>
          <c:val>
            <c:numRef>
              <c:f>'1111 grafiki'!$F$3:$F$7</c:f>
              <c:numCache>
                <c:formatCode>#,##0</c:formatCode>
                <c:ptCount val="5"/>
                <c:pt idx="0">
                  <c:v>16307384.070000002</c:v>
                </c:pt>
                <c:pt idx="1">
                  <c:v>3350146.32</c:v>
                </c:pt>
                <c:pt idx="2">
                  <c:v>13658792.120000003</c:v>
                </c:pt>
                <c:pt idx="3">
                  <c:v>5238642.6000000006</c:v>
                </c:pt>
                <c:pt idx="4">
                  <c:v>5665089.31</c:v>
                </c:pt>
              </c:numCache>
            </c:numRef>
          </c:val>
          <c:extLst>
            <c:ext xmlns:c="http://schemas.openxmlformats.org/drawingml/2006/chart" xmlns:c16="http://schemas.microsoft.com/office/drawing/2014/chart" uri="{C3380CC4-5D6E-409C-BE32-E72D297353CC}">
              <c16:uniqueId val="{0000000A-429D-4DAB-911E-FBF280CBB562}"/>
            </c:ext>
            <c:ext xmlns:c15="http://schemas.microsoft.com/office/drawing/2012/chart" uri="{02D57815-91ED-43cb-92C2-25804820EDAC}">
              <c15:datalabelsRange>
                <c15:f>'1111 grafiki'!$V$2:$V$6</c15:f>
                <c15:dlblRangeCache>
                  <c:ptCount val="5"/>
                  <c:pt idx="0">
                    <c:v>€ 16,31</c:v>
                  </c:pt>
                  <c:pt idx="1">
                    <c:v>€ 3,35</c:v>
                  </c:pt>
                  <c:pt idx="2">
                    <c:v>€ 13,66</c:v>
                  </c:pt>
                  <c:pt idx="3">
                    <c:v>€ 5,24</c:v>
                  </c:pt>
                  <c:pt idx="4">
                    <c:v>€ 5,66</c:v>
                  </c:pt>
                </c15:dlblRangeCache>
              </c15:datalabelsRang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345589527578368"/>
          <c:y val="0.23933426926285378"/>
          <c:w val="0.34054489919628422"/>
          <c:h val="0.7606657307371462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legend>
    <c:plotVisOnly val="1"/>
    <c:dispBlanksAs val="gap"/>
    <c:showDLblsOverMax val="0"/>
  </c:chart>
  <c:spPr>
    <a:noFill/>
    <a:ln w="9525">
      <a:solidFill>
        <a:schemeClr val="dk1">
          <a:lumMod val="25000"/>
          <a:lumOff val="7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262342071813077"/>
          <c:y val="0.073206541490006063"/>
          <c:w val="0.89200740481654306"/>
          <c:h val="0.711786795881284"/>
        </c:manualLayout>
      </c:layout>
      <c:barChart>
        <c:barDir val="col"/>
        <c:grouping val="clustered"/>
        <c:varyColors val="0"/>
        <c:ser>
          <c:idx val="1"/>
          <c:order val="0"/>
          <c:tx>
            <c:strRef>
              <c:f>Sheet1!$A$3</c:f>
              <c:strCache>
                <c:ptCount val="1"/>
                <c:pt idx="0">
                  <c:v>IKT pakalpojumu eksports</c:v>
                </c:pt>
              </c:strCache>
            </c:strRef>
          </c:tx>
          <c:spPr>
            <a:solidFill>
              <a:srgbClr val="00B050"/>
            </a:solidFill>
            <a:ln>
              <a:noFill/>
            </a:ln>
            <a:effectLst/>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E97E-419F-94EA-A66283340C9D}"/>
              </c:ext>
            </c:extLst>
          </c:dPt>
          <c:dPt>
            <c:idx val="1"/>
            <c:invertIfNegative val="0"/>
            <c:bubble3D val="0"/>
            <c:spPr>
              <a:solidFill>
                <a:schemeClr val="accent3">
                  <a:lumMod val="75000"/>
                </a:schemeClr>
              </a:solidFill>
              <a:ln>
                <a:noFill/>
              </a:ln>
              <a:effectLst/>
            </c:spPr>
            <c:extLst>
              <c:ext xmlns:c="http://schemas.openxmlformats.org/drawingml/2006/chart" xmlns:c16="http://schemas.microsoft.com/office/drawing/2014/chart" uri="{C3380CC4-5D6E-409C-BE32-E72D297353CC}">
                <c16:uniqueId val="{00000003-E97E-419F-94EA-A66283340C9D}"/>
              </c:ext>
            </c:extLst>
          </c:dPt>
          <c:dPt>
            <c:idx val="2"/>
            <c:invertIfNegative val="0"/>
            <c:bubble3D val="0"/>
            <c:spPr>
              <a:solidFill>
                <a:schemeClr val="accent1">
                  <a:lumMod val="60000"/>
                  <a:lumOff val="40000"/>
                </a:schemeClr>
              </a:solidFill>
              <a:ln>
                <a:noFill/>
              </a:ln>
              <a:effectLst/>
            </c:spPr>
            <c:extLst>
              <c:ext xmlns:c="http://schemas.openxmlformats.org/drawingml/2006/chart" xmlns:c16="http://schemas.microsoft.com/office/drawing/2014/chart" uri="{C3380CC4-5D6E-409C-BE32-E72D297353CC}">
                <c16:uniqueId val="{00000005-E97E-419F-94EA-A66283340C9D}"/>
              </c:ext>
            </c:extLst>
          </c:dPt>
          <c:dLbls>
            <c:numFmt formatCode="#,##0.0" sourceLinked="0"/>
            <c:spPr>
              <a:noFill/>
              <a:ln>
                <a:noFill/>
              </a:ln>
              <a:effectLst/>
            </c:spPr>
            <c:txPr>
              <a:bodyPr rot="0" vert="horz"/>
              <a:lstStyle/>
              <a:p>
                <a:pPr>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Latvija</c:v>
                </c:pt>
                <c:pt idx="1">
                  <c:v>Lietuva</c:v>
                </c:pt>
                <c:pt idx="2">
                  <c:v>Igaunija</c:v>
                </c:pt>
              </c:strCache>
            </c:strRef>
          </c:cat>
          <c:val>
            <c:numRef>
              <c:f>Sheet1!$B$3:$D$3</c:f>
              <c:numCache>
                <c:formatCode>General</c:formatCode>
                <c:ptCount val="3"/>
                <c:pt idx="0">
                  <c:v>1.5</c:v>
                </c:pt>
                <c:pt idx="1">
                  <c:v>0.6</c:v>
                </c:pt>
                <c:pt idx="2">
                  <c:v>2.3</c:v>
                </c:pt>
              </c:numCache>
            </c:numRef>
          </c:val>
          <c:extLst>
            <c:ext xmlns:c="http://schemas.openxmlformats.org/drawingml/2006/chart" xmlns:c16="http://schemas.microsoft.com/office/drawing/2014/chart" uri="{C3380CC4-5D6E-409C-BE32-E72D297353CC}">
              <c16:uniqueId val="{00000006-E97E-419F-94EA-A66283340C9D}"/>
            </c:ext>
          </c:extLst>
        </c:ser>
        <c:dLbls>
          <c:showLegendKey val="0"/>
          <c:showVal val="1"/>
          <c:showCatName val="0"/>
          <c:showSerName val="0"/>
          <c:showPercent val="0"/>
          <c:showBubbleSize val="0"/>
        </c:dLbls>
        <c:gapWidth val="75"/>
        <c:axId val="430246672"/>
        <c:axId val="430245104"/>
      </c:barChart>
      <c:catAx>
        <c:axId val="4302466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vert="horz"/>
          <a:lstStyle/>
          <a:p>
            <a:pPr>
              <a:defRPr/>
            </a:pPr>
            <a:endParaRPr lang="lv-LV"/>
          </a:p>
        </c:txPr>
        <c:crossAx val="430245104"/>
        <c:crosses val="autoZero"/>
        <c:auto val="1"/>
        <c:lblAlgn val="ctr"/>
        <c:lblOffset val="100"/>
        <c:noMultiLvlLbl val="0"/>
      </c:catAx>
      <c:valAx>
        <c:axId val="430245104"/>
        <c:scaling>
          <c:orientation val="minMax"/>
          <c:min val="0"/>
        </c:scaling>
        <c:delete val="0"/>
        <c:axPos val="l"/>
        <c:numFmt formatCode="#,##0" sourceLinked="0"/>
        <c:majorTickMark val="none"/>
        <c:minorTickMark val="none"/>
        <c:tickLblPos val="nextTo"/>
        <c:spPr>
          <a:noFill/>
          <a:ln w="6350">
            <a:noFill/>
          </a:ln>
          <a:effectLst/>
        </c:spPr>
        <c:txPr>
          <a:bodyPr rot="-60000000" vert="horz"/>
          <a:lstStyle/>
          <a:p>
            <a:pPr>
              <a:defRPr/>
            </a:pPr>
            <a:endParaRPr lang="lv-LV"/>
          </a:p>
        </c:txPr>
        <c:crossAx val="430246672"/>
        <c:crosses val="autoZero"/>
        <c:crossBetween val="between"/>
      </c:valAx>
      <c:spPr>
        <a:noFill/>
        <a:ln>
          <a:noFill/>
        </a:ln>
        <a:effectLst/>
      </c:spPr>
    </c:plotArea>
    <c:plotVisOnly val="1"/>
    <c:dispBlanksAs val="gap"/>
    <c:showDLblsOverMax val="0"/>
  </c:chart>
  <c:spPr>
    <a:noFill/>
    <a:ln w="6350">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lv-LV" sz="1050" b="1" i="0" baseline="0">
                <a:effectLst/>
                <a:latin typeface="Candara" panose="020E0502030303020204" pitchFamily="34" charset="0"/>
              </a:rPr>
              <a:t>49. attēls 1.1.1.2. pasākuma KOPĒJAIS FINANSĒJUMS pa RIS3 specializācijas jomām (kopējais attiecināmais finansējums milj. EUR, t.sk. % no kopējā)</a:t>
            </a:r>
            <a:endParaRPr lang="en-GB" sz="1050">
              <a:effectLst/>
              <a:latin typeface="Candara" panose="020E0502030303020204" pitchFamily="34" charset="0"/>
            </a:endParaRPr>
          </a:p>
        </c:rich>
      </c:tx>
      <c:layout>
        <c:manualLayout>
          <c:xMode val="edge"/>
          <c:yMode val="edge"/>
          <c:x val="0.051058754641971127"/>
          <c:y val="0.049306617601621291"/>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manualLayout>
          <c:layoutTarget val="inner"/>
          <c:xMode val="edge"/>
          <c:yMode val="edge"/>
          <c:x val="0.079507584217027541"/>
          <c:y val="0.23357133590197945"/>
          <c:w val="0.405216035679836"/>
          <c:h val="0.634580050943701"/>
        </c:manualLayout>
      </c:layout>
      <c:doughnutChart>
        <c:varyColors val="1"/>
        <c:ser>
          <c:idx val="0"/>
          <c:order val="0"/>
          <c:dPt>
            <c:idx val="0"/>
            <c:bubble3D val="0"/>
            <c:spPr>
              <a:solidFill>
                <a:schemeClr val="accent1"/>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1-6989-42DB-A5B8-675FADAAA1AB}"/>
              </c:ext>
            </c:extLst>
          </c:dPt>
          <c:dPt>
            <c:idx val="1"/>
            <c:bubble3D val="0"/>
            <c:spPr>
              <a:solidFill>
                <a:schemeClr val="accent3"/>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3-6989-42DB-A5B8-675FADAAA1AB}"/>
              </c:ext>
            </c:extLst>
          </c:dPt>
          <c:dPt>
            <c:idx val="2"/>
            <c:bubble3D val="0"/>
            <c:spPr>
              <a:solidFill>
                <a:schemeClr val="accent5"/>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5-6989-42DB-A5B8-675FADAAA1AB}"/>
              </c:ext>
            </c:extLst>
          </c:dPt>
          <c:dPt>
            <c:idx val="3"/>
            <c:bubble3D val="0"/>
            <c:spPr>
              <a:solidFill>
                <a:schemeClr val="accent1">
                  <a:lumMod val="60000"/>
                </a:schemeClr>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7-6989-42DB-A5B8-675FADAAA1AB}"/>
              </c:ext>
            </c:extLst>
          </c:dPt>
          <c:dPt>
            <c:idx val="4"/>
            <c:bubble3D val="0"/>
            <c:spPr>
              <a:solidFill>
                <a:schemeClr val="accent3">
                  <a:lumMod val="60000"/>
                </a:schemeClr>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9-6989-42DB-A5B8-675FADAAA1AB}"/>
              </c:ext>
            </c:extLst>
          </c:dPt>
          <c:dPt>
            <c:idx val="5"/>
            <c:bubble3D val="0"/>
            <c:spPr>
              <a:solidFill>
                <a:schemeClr val="accent5">
                  <a:lumMod val="60000"/>
                </a:schemeClr>
              </a:solidFill>
              <a:ln>
                <a:noFill/>
              </a:ln>
              <a:effectLst>
                <a:outerShdw blurRad="2540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B-6989-42DB-A5B8-675FADAAA1AB}"/>
              </c:ext>
            </c:extLst>
          </c:dPt>
          <c:dLbls>
            <c:dLbl>
              <c:idx val="0"/>
              <c:tx>
                <c:rich>
                  <a:bodyPr vertOverflow="clip"/>
                  <a:lstStyle/>
                  <a:p>
                    <a:fld id="{308350ec-2419-4196-91a7-0ee668a89317}" type="CELLRANGE">
                      <a:rPr lang="en-US" baseline="0"/>
                      <a:t>€ 4,68</a:t>
                    </a:fld>
                    <a:r>
                      <a:rPr lang="en-US" baseline="0"/>
                      <a:t>; </a:t>
                    </a:r>
                    <a:fld id="{ea659f1a-e765-4c0f-8b98-e175cef3dba0}" type="PERCENTAGE">
                      <a:rPr lang="en-US" baseline="0"/>
                      <a:t>[PERCENTAGE]</a:t>
                    </a:fld>
                    <a:endParaRPr lang="en-US" baseline="0"/>
                  </a:p>
                </c:rich>
              </c:tx>
              <c:showLegendKey val="0"/>
              <c:showVal val="0"/>
              <c:showCatName val="0"/>
              <c:showSerName val="0"/>
              <c:showPercent val="1"/>
              <c:showBubbleSize val="0"/>
              <c:extLst>
                <c:ext xmlns:c="http://schemas.openxmlformats.org/drawingml/2006/chart" xmlns:c16="http://schemas.microsoft.com/office/drawing/2014/chart" uri="{C3380CC4-5D6E-409C-BE32-E72D297353CC}">
                  <c16:uniqueId val="{00000001-6989-42DB-A5B8-675FADAAA1AB}"/>
                </c:ext>
                <c:ext xmlns:c15="http://schemas.microsoft.com/office/drawing/2012/chart" uri="{CE6537A1-D6FC-4f65-9D91-7224C49458BB}">
                  <c15:showDataLabelsRange val="1"/>
                </c:ext>
              </c:extLst>
            </c:dLbl>
            <c:dLbl>
              <c:idx val="1"/>
              <c:tx>
                <c:rich>
                  <a:bodyPr vertOverflow="clip"/>
                  <a:lstStyle/>
                  <a:p>
                    <a:fld id="{b569132a-a685-49e9-8942-145255165df9}" type="CELLRANGE">
                      <a:rPr lang="lv-LV"/>
                      <a:t>€ 1,56</a:t>
                    </a:fld>
                    <a:r>
                      <a:rPr lang="lv-LV" baseline="0"/>
                      <a:t>; </a:t>
                    </a:r>
                    <a:fld id="{fbd547c8-b85a-4e20-926f-fc01ba941107}" type="PERCENTAGE">
                      <a:rPr lang="lv-LV" baseline="0"/>
                      <a:t>[PERCENTAGE]</a:t>
                    </a:fld>
                    <a:endParaRPr lang="lv-LV" baseline="0"/>
                  </a:p>
                </c:rich>
              </c:tx>
              <c:showLegendKey val="0"/>
              <c:showVal val="0"/>
              <c:showCatName val="0"/>
              <c:showSerName val="0"/>
              <c:showPercent val="1"/>
              <c:showBubbleSize val="0"/>
              <c:extLst>
                <c:ext xmlns:c15="http://schemas.microsoft.com/office/drawing/2012/chart" uri="{CE6537A1-D6FC-4f65-9D91-7224C49458BB}">
                  <c15:showDataLabelsRange val="1"/>
                </c:ext>
              </c:extLst>
            </c:dLbl>
            <c:dLbl>
              <c:idx val="2"/>
              <c:tx>
                <c:rich>
                  <a:bodyPr vertOverflow="clip"/>
                  <a:lstStyle/>
                  <a:p>
                    <a:fld id="{69cb846d-a83a-4d77-95f2-9a25a96edba7}" type="CELLRANGE">
                      <a:rPr lang="lv-LV"/>
                      <a:t>€ 3,59</a:t>
                    </a:fld>
                    <a:r>
                      <a:rPr lang="lv-LV" baseline="0"/>
                      <a:t>; </a:t>
                    </a:r>
                    <a:fld id="{a1beb9af-e9e8-456f-b610-c2f8339b5740}" type="PERCENTAGE">
                      <a:rPr lang="lv-LV" baseline="0"/>
                      <a:t>[PERCENTAGE]</a:t>
                    </a:fld>
                    <a:endParaRPr lang="lv-LV" baseline="0"/>
                  </a:p>
                </c:rich>
              </c:tx>
              <c:showLegendKey val="0"/>
              <c:showVal val="0"/>
              <c:showCatName val="0"/>
              <c:showSerName val="0"/>
              <c:showPercent val="1"/>
              <c:showBubbleSize val="0"/>
              <c:extLst>
                <c:ext xmlns:c15="http://schemas.microsoft.com/office/drawing/2012/chart" uri="{CE6537A1-D6FC-4f65-9D91-7224C49458BB}">
                  <c15:showDataLabelsRange val="1"/>
                </c:ext>
              </c:extLst>
            </c:dLbl>
            <c:dLbl>
              <c:idx val="3"/>
              <c:tx>
                <c:rich>
                  <a:bodyPr vertOverflow="clip"/>
                  <a:lstStyle/>
                  <a:p>
                    <a:fld id="{ce703aae-ca01-4a21-8ace-370c8c5ca8f5}" type="CELLRANGE">
                      <a:rPr lang="lv-LV"/>
                      <a:t>€ 2,54</a:t>
                    </a:fld>
                    <a:r>
                      <a:rPr lang="lv-LV" baseline="0"/>
                      <a:t>; </a:t>
                    </a:r>
                    <a:fld id="{c339bb77-c843-4fb3-b6f3-5c6fe26ded44}" type="PERCENTAGE">
                      <a:rPr lang="lv-LV" baseline="0"/>
                      <a:t>[PERCENTAGE]</a:t>
                    </a:fld>
                    <a:endParaRPr lang="lv-LV" baseline="0"/>
                  </a:p>
                </c:rich>
              </c:tx>
              <c:showLegendKey val="0"/>
              <c:showVal val="0"/>
              <c:showCatName val="0"/>
              <c:showSerName val="0"/>
              <c:showPercent val="1"/>
              <c:showBubbleSize val="0"/>
              <c:extLst>
                <c:ext xmlns:c15="http://schemas.microsoft.com/office/drawing/2012/chart" uri="{CE6537A1-D6FC-4f65-9D91-7224C49458BB}">
                  <c15:showDataLabelsRange val="1"/>
                </c:ext>
              </c:extLst>
            </c:dLbl>
            <c:dLbl>
              <c:idx val="4"/>
              <c:layout>
                <c:manualLayout>
                  <c:x val="-0.038647342995169087"/>
                  <c:y val="0.0044296788482834993"/>
                </c:manualLayout>
              </c:layout>
              <c:tx>
                <c:rich>
                  <a:bodyPr vertOverflow="clip"/>
                  <a:lstStyle/>
                  <a:p>
                    <a:fld id="{e3df4320-e15f-40e2-b3f0-9afa1a7e9481}" type="CELLRANGE">
                      <a:rPr lang="en-US" baseline="0"/>
                      <a:t>€ 1,07</a:t>
                    </a:fld>
                    <a:r>
                      <a:rPr lang="en-US" baseline="0"/>
                      <a:t>; </a:t>
                    </a:r>
                    <a:fld id="{5dec42f3-914d-409f-9d1b-df4b2f5f0b71}" type="PERCENTAGE">
                      <a:rPr lang="en-US" baseline="0"/>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showDataLabelsRange val="1"/>
                </c:ext>
              </c:extLst>
            </c:dLbl>
            <c:dLbl>
              <c:idx val="5"/>
              <c:tx>
                <c:rich>
                  <a:bodyPr vertOverflow="clip"/>
                  <a:lstStyle/>
                  <a:p>
                    <a:fld id="{baa3f679-b845-4be6-aeba-ff12c3b22c85}" type="CELLRANGE">
                      <a:rPr lang="lv-LV"/>
                      <a:t>€ 3,05</a:t>
                    </a:fld>
                    <a:r>
                      <a:rPr lang="lv-LV" baseline="0"/>
                      <a:t>; </a:t>
                    </a:r>
                    <a:fld id="{bacd7130-e135-4916-bdd3-4bb7302a94f9}" type="PERCENTAGE">
                      <a:rPr lang="lv-LV" baseline="0"/>
                      <a:t>[PERCENTAGE]</a:t>
                    </a:fld>
                    <a:endParaRPr lang="lv-LV" baseline="0"/>
                  </a:p>
                </c:rich>
              </c:tx>
              <c:showLegendKey val="0"/>
              <c:showVal val="0"/>
              <c:showCatName val="0"/>
              <c:showSerName val="0"/>
              <c:showPercent val="1"/>
              <c:showBubbleSize val="0"/>
              <c:extLst>
                <c:ext xmlns:c15="http://schemas.microsoft.com/office/drawing/2012/chart" uri="{CE6537A1-D6FC-4f65-9D91-7224C49458BB}">
                  <c15:showDataLabelsRange val="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sx="100000" sy="100000" kx="0" ky="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Candara" panose="020E0502030303020204" pitchFamily="34" charset="0"/>
                    <a:ea typeface="+mn-ea"/>
                    <a:cs typeface="+mn-cs"/>
                  </a:defRPr>
                </a:pPr>
                <a:endParaRPr lang="lv-LV"/>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'1112 grafiki'!$B$3:$B$8</c:f>
              <c:strCache>
                <c:ptCount val="6"/>
                <c:pt idx="0">
                  <c:v>Viedie materiāli, tehnoloģijas un inženiersistēmas</c:v>
                </c:pt>
                <c:pt idx="1">
                  <c:v>Zināšanu ietilpīga bioekonomika</c:v>
                </c:pt>
                <c:pt idx="2">
                  <c:v>Biomedicīna, medicīnas tehnoloģijas, biofarmācija un biotehnoloģijas</c:v>
                </c:pt>
                <c:pt idx="3">
                  <c:v>Informācijas un komunikāciju tehnoloģijas</c:v>
                </c:pt>
                <c:pt idx="4">
                  <c:v>Viedā enerģētika</c:v>
                </c:pt>
                <c:pt idx="5">
                  <c:v>Neatbilst, bet sniedz ieguldījumu kādā no RIS3 priorit.</c:v>
                </c:pt>
              </c:strCache>
            </c:strRef>
          </c:cat>
          <c:val>
            <c:numRef>
              <c:f>'1112 grafiki'!$F$3:$F$8</c:f>
              <c:numCache>
                <c:formatCode>#,##0</c:formatCode>
                <c:ptCount val="6"/>
                <c:pt idx="0">
                  <c:v>4683210</c:v>
                </c:pt>
                <c:pt idx="1">
                  <c:v>1560736</c:v>
                </c:pt>
                <c:pt idx="2">
                  <c:v>3590461</c:v>
                </c:pt>
                <c:pt idx="3">
                  <c:v>2542314</c:v>
                </c:pt>
                <c:pt idx="4">
                  <c:v>1070448</c:v>
                </c:pt>
                <c:pt idx="5">
                  <c:v>3051173</c:v>
                </c:pt>
              </c:numCache>
            </c:numRef>
          </c:val>
          <c:extLst>
            <c:ext xmlns:c="http://schemas.openxmlformats.org/drawingml/2006/chart" xmlns:c16="http://schemas.microsoft.com/office/drawing/2014/chart" uri="{C3380CC4-5D6E-409C-BE32-E72D297353CC}">
              <c16:uniqueId val="{0000000C-6989-42DB-A5B8-675FADAAA1AB}"/>
            </c:ext>
            <c:ext xmlns:c15="http://schemas.microsoft.com/office/drawing/2012/chart" uri="{02D57815-91ED-43cb-92C2-25804820EDAC}">
              <c15:datalabelsRange>
                <c15:f>'1112 grafiki'!$V$2:$V$7</c15:f>
                <c15:dlblRangeCache>
                  <c:ptCount val="6"/>
                  <c:pt idx="0">
                    <c:v>€ 4,68</c:v>
                  </c:pt>
                  <c:pt idx="1">
                    <c:v>€ 1,56</c:v>
                  </c:pt>
                  <c:pt idx="2">
                    <c:v>€ 3,59</c:v>
                  </c:pt>
                  <c:pt idx="3">
                    <c:v>€ 2,54</c:v>
                  </c:pt>
                  <c:pt idx="4">
                    <c:v>€ 1,07</c:v>
                  </c:pt>
                  <c:pt idx="5">
                    <c:v>€ 3,05</c:v>
                  </c:pt>
                </c15:dlblRangeCache>
              </c15:datalabelsRang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331895156941"/>
          <c:y val="0.22614913698860156"/>
          <c:w val="0.32311550623101248"/>
          <c:h val="0.773292524480951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Candara" panose="020E0502030303020204" pitchFamily="34" charset="0"/>
              <a:ea typeface="+mn-ea"/>
              <a:cs typeface="+mn-cs"/>
            </a:defRPr>
          </a:pPr>
          <a:endParaRPr lang="lv-LV"/>
        </a:p>
      </c:txPr>
    </c:legend>
    <c:plotVisOnly val="1"/>
    <c:dispBlanksAs val="gap"/>
    <c:showDLblsOverMax val="0"/>
  </c:chart>
  <c:spPr>
    <a:noFill/>
    <a:ln w="9525">
      <a:solidFill>
        <a:schemeClr val="dk1">
          <a:lumMod val="25000"/>
          <a:lumOff val="75000"/>
        </a:schemeClr>
      </a:solidFill>
      <a:round/>
    </a:ln>
    <a:effectLst/>
  </c:spPr>
  <c:txPr>
    <a:bodyPr/>
    <a:lstStyle/>
    <a:p>
      <a:pPr>
        <a:defRPr/>
      </a:pPr>
      <a:endParaRPr lang="lv-LV"/>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666381055088577"/>
          <c:y val="0.20914852302329781"/>
          <c:w val="0.35339252387072628"/>
          <c:h val="0.68345203924848641"/>
        </c:manualLayout>
      </c:layout>
      <c:barChart>
        <c:barDir val="bar"/>
        <c:grouping val="clustered"/>
        <c:varyColors val="0"/>
        <c:ser>
          <c:idx val="0"/>
          <c:order val="0"/>
          <c:tx>
            <c:strRef>
              <c:f>'1114'!$A$1</c:f>
              <c:strCache>
                <c:ptCount val="1"/>
              </c:strCache>
            </c:strRef>
          </c:tx>
          <c:spPr>
            <a:solidFill>
              <a:schemeClr val="accent6">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Candara" panose="020E0502030303020204" pitchFamily="34" charset="0"/>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'1114'!$A$1:$A$15</c:f>
              <c:strCache>
                <c:ptCount val="15"/>
                <c:pt idx="1">
                  <c:v>Biomedicīnas pētījumu un studiju centrs</c:v>
                </c:pt>
                <c:pt idx="2">
                  <c:v>BIOR</c:v>
                </c:pt>
                <c:pt idx="3">
                  <c:v>Daugavpils Universitāte</c:v>
                </c:pt>
                <c:pt idx="4">
                  <c:v>Elektronikas un datorzinātņu institūts</c:v>
                </c:pt>
                <c:pt idx="5">
                  <c:v>Latvijas Lauksaimniecības universitāte</c:v>
                </c:pt>
                <c:pt idx="6">
                  <c:v>Latvijas Organiskās sintēzes institūts</c:v>
                </c:pt>
                <c:pt idx="7">
                  <c:v>Latvijas Universitāte</c:v>
                </c:pt>
                <c:pt idx="8">
                  <c:v>Latvijas Universitātes Cietvielu fizikas institūts</c:v>
                </c:pt>
                <c:pt idx="9">
                  <c:v>Latvijas Valsts koksnes ķīmijas institūts</c:v>
                </c:pt>
                <c:pt idx="10">
                  <c:v>Rīgas Stradiņa universitāte</c:v>
                </c:pt>
                <c:pt idx="11">
                  <c:v>Rīgas Tehniskā universitāte</c:v>
                </c:pt>
                <c:pt idx="12">
                  <c:v>Silava</c:v>
                </c:pt>
                <c:pt idx="13">
                  <c:v>Ventspils Augstskola</c:v>
                </c:pt>
                <c:pt idx="14">
                  <c:v>Vidzemes Augstskola</c:v>
                </c:pt>
              </c:strCache>
            </c:strRef>
          </c:cat>
          <c:val>
            <c:numRef>
              <c:f>'1114'!$B$1:$B$15</c:f>
              <c:numCache>
                <c:formatCode>#,##0.00</c:formatCode>
                <c:ptCount val="15"/>
                <c:pt idx="1">
                  <c:v>2800037</c:v>
                </c:pt>
                <c:pt idx="2">
                  <c:v>6128121</c:v>
                </c:pt>
                <c:pt idx="3">
                  <c:v>2916200</c:v>
                </c:pt>
                <c:pt idx="4">
                  <c:v>892936</c:v>
                </c:pt>
                <c:pt idx="5">
                  <c:v>15885095</c:v>
                </c:pt>
                <c:pt idx="6">
                  <c:v>9585297</c:v>
                </c:pt>
                <c:pt idx="7">
                  <c:v>28254823</c:v>
                </c:pt>
                <c:pt idx="8">
                  <c:v>13320196</c:v>
                </c:pt>
                <c:pt idx="9">
                  <c:v>3519493</c:v>
                </c:pt>
                <c:pt idx="10">
                  <c:v>3545200</c:v>
                </c:pt>
                <c:pt idx="11">
                  <c:v>25230447</c:v>
                </c:pt>
                <c:pt idx="12">
                  <c:v>6068271</c:v>
                </c:pt>
                <c:pt idx="13">
                  <c:v>1567694</c:v>
                </c:pt>
                <c:pt idx="14">
                  <c:v>538806</c:v>
                </c:pt>
              </c:numCache>
            </c:numRef>
          </c:val>
          <c:extLst>
            <c:ext xmlns:c="http://schemas.openxmlformats.org/drawingml/2006/chart" xmlns:c16="http://schemas.microsoft.com/office/drawing/2014/chart" uri="{C3380CC4-5D6E-409C-BE32-E72D297353CC}">
              <c16:uniqueId val="{00000000-458A-40E9-813C-FAEAFABADB82}"/>
            </c:ext>
          </c:extLst>
        </c:ser>
        <c:dLbls>
          <c:dLblPos val="inEnd"/>
          <c:showLegendKey val="0"/>
          <c:showVal val="1"/>
          <c:showCatName val="0"/>
          <c:showSerName val="0"/>
          <c:showPercent val="0"/>
          <c:showBubbleSize val="0"/>
        </c:dLbls>
        <c:gapWidth val="65"/>
        <c:axId val="455937408"/>
        <c:axId val="455940936"/>
      </c:barChart>
      <c:catAx>
        <c:axId val="455937408"/>
        <c:scaling>
          <c:orientation val="maxMin"/>
        </c:scaling>
        <c:delete val="0"/>
        <c:axPos val="l"/>
        <c:numFmt formatCode="&quot;€&quot;\ #,##0.00" sourceLinked="0"/>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850" b="0" i="0" u="none" strike="noStrike" kern="1200" cap="all" baseline="0">
                <a:solidFill>
                  <a:sysClr val="windowText" lastClr="000000"/>
                </a:solidFill>
                <a:latin typeface="Candara" panose="020E0502030303020204" pitchFamily="34" charset="0"/>
                <a:ea typeface="+mn-ea"/>
                <a:cs typeface="+mn-cs"/>
              </a:defRPr>
            </a:pPr>
            <a:endParaRPr lang="lv-LV"/>
          </a:p>
        </c:txPr>
        <c:crossAx val="455940936"/>
        <c:crosses val="autoZero"/>
        <c:lblAlgn val="ctr"/>
        <c:lblOffset val="100"/>
        <c:noMultiLvlLbl val="0"/>
      </c:catAx>
      <c:valAx>
        <c:axId val="455940936"/>
        <c:scaling>
          <c:orientation val="minMax"/>
          <c:max val="30000000"/>
        </c:scaling>
        <c:delete val="0"/>
        <c:axPos val="t"/>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0.0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crossAx val="455937408"/>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lv-LV"/>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r>
              <a:rPr lang="lv-LV" sz="1000" b="1"/>
              <a:t>51.attēls. Nepieciešamais vs. piešķirtais zinātnes bāzes finansējums </a:t>
            </a:r>
            <a:r>
              <a:rPr lang="lv-LV" sz="1000"/>
              <a:t>(milj. eiro)</a:t>
            </a:r>
          </a:p>
        </c:rich>
      </c:tx>
      <c:layout/>
      <c:overlay val="0"/>
      <c:spPr>
        <a:noFill/>
        <a:ln>
          <a:noFill/>
        </a:ln>
        <a:effectLst/>
      </c:spPr>
    </c:title>
    <c:autoTitleDeleted val="0"/>
    <c:plotArea>
      <c:layout/>
      <c:lineChart>
        <c:grouping val="standard"/>
        <c:varyColors val="0"/>
        <c:ser>
          <c:idx val="0"/>
          <c:order val="0"/>
          <c:tx>
            <c:v>Nepieciešamais finansējuma apmērs</c:v>
          </c:tx>
          <c:spPr>
            <a:ln w="28575" cap="rnd">
              <a:solidFill>
                <a:srgbClr val="FF0000"/>
              </a:solidFill>
              <a:prstDash val="sysDot"/>
              <a:round/>
            </a:ln>
            <a:effectLst/>
          </c:spPr>
          <c:marker>
            <c:symbol val="circle"/>
            <c:size val="5"/>
            <c:spPr>
              <a:solidFill>
                <a:srgbClr val="FF0000"/>
              </a:solidFill>
              <a:ln w="9525">
                <a:solidFill>
                  <a:srgbClr val="FF0000"/>
                </a:solidFill>
                <a:prstDash val="sysDot"/>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0.0</c:formatCode>
                <c:ptCount val="7"/>
                <c:pt idx="0">
                  <c:v>51.550273</c:v>
                </c:pt>
                <c:pt idx="1">
                  <c:v>51.350331</c:v>
                </c:pt>
                <c:pt idx="2">
                  <c:v>41.372681</c:v>
                </c:pt>
                <c:pt idx="3">
                  <c:v>45.188291</c:v>
                </c:pt>
                <c:pt idx="4">
                  <c:v>36.077477</c:v>
                </c:pt>
                <c:pt idx="5">
                  <c:v>36.0415</c:v>
                </c:pt>
                <c:pt idx="6">
                  <c:v>34.39231</c:v>
                </c:pt>
              </c:numCache>
            </c:numRef>
          </c:val>
          <c:smooth val="0"/>
          <c:extLst>
            <c:ext xmlns:c="http://schemas.openxmlformats.org/drawingml/2006/chart" xmlns:c16="http://schemas.microsoft.com/office/drawing/2014/chart" uri="{C3380CC4-5D6E-409C-BE32-E72D297353CC}">
              <c16:uniqueId val="{00000000-6EBF-4898-B295-8DC1EF9CA863}"/>
            </c:ext>
          </c:extLst>
        </c:ser>
        <c:ser>
          <c:idx val="1"/>
          <c:order val="1"/>
          <c:tx>
            <c:v>Piešķirtais finansējums</c:v>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0.0</c:formatCode>
                <c:ptCount val="7"/>
                <c:pt idx="0">
                  <c:v>10.825557</c:v>
                </c:pt>
                <c:pt idx="1">
                  <c:v>11.297073</c:v>
                </c:pt>
                <c:pt idx="2">
                  <c:v>11.584351</c:v>
                </c:pt>
                <c:pt idx="3">
                  <c:v>11.297073</c:v>
                </c:pt>
                <c:pt idx="4">
                  <c:v>15.975108</c:v>
                </c:pt>
                <c:pt idx="5">
                  <c:v>19.338722</c:v>
                </c:pt>
                <c:pt idx="6">
                  <c:v>23.475893</c:v>
                </c:pt>
              </c:numCache>
            </c:numRef>
          </c:val>
          <c:smooth val="0"/>
          <c:extLst>
            <c:ext xmlns:c="http://schemas.openxmlformats.org/drawingml/2006/chart" xmlns:c16="http://schemas.microsoft.com/office/drawing/2014/chart" uri="{C3380CC4-5D6E-409C-BE32-E72D297353CC}">
              <c16:uniqueId val="{00000001-6EBF-4898-B295-8DC1EF9CA863}"/>
            </c:ext>
          </c:extLst>
        </c:ser>
        <c:dLbls>
          <c:showLegendKey val="0"/>
          <c:showVal val="0"/>
          <c:showCatName val="0"/>
          <c:showSerName val="0"/>
          <c:showPercent val="0"/>
          <c:showBubbleSize val="0"/>
        </c:dLbls>
        <c:marker val="1"/>
        <c:smooth val="0"/>
        <c:axId val="455945248"/>
        <c:axId val="455933488"/>
      </c:lineChart>
      <c:catAx>
        <c:axId val="4559452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55933488"/>
        <c:crosses val="autoZero"/>
        <c:auto val="1"/>
        <c:lblAlgn val="ctr"/>
        <c:lblOffset val="100"/>
        <c:noMultiLvlLbl val="0"/>
      </c:catAx>
      <c:valAx>
        <c:axId val="455933488"/>
        <c:scaling>
          <c:orientation val="minMax"/>
        </c:scaling>
        <c:delete val="0"/>
        <c:axPos val="l"/>
        <c:numFmt formatCode="0" sourceLinked="0"/>
        <c:majorTickMark val="none"/>
        <c:minorTickMark val="none"/>
        <c:tickLblPos val="nextTo"/>
        <c:spPr>
          <a:noFill/>
          <a:ln w="9525">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lv-LV"/>
          </a:p>
        </c:txPr>
        <c:crossAx val="455945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a:solidFill>
            <a:sysClr val="windowText" lastClr="000000"/>
          </a:solidFill>
          <a:latin typeface="Arial Narrow" panose="020B0606020202030204" pitchFamily="34" charset="0"/>
        </a:defRPr>
      </a:pPr>
      <a:endParaRPr lang="lv-LV"/>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000" b="1" i="0" u="none" strike="noStrike" kern="1200" baseline="0">
                <a:solidFill>
                  <a:sysClr val="windowText" lastClr="000000"/>
                </a:solidFill>
                <a:latin typeface="Candara" panose="020E0502030303020204" pitchFamily="34" charset="0"/>
                <a:ea typeface="+mn-ea"/>
                <a:cs typeface="+mn-cs"/>
              </a:defRPr>
            </a:pPr>
            <a:r>
              <a:rPr lang="lv-LV" sz="1000">
                <a:solidFill>
                  <a:sysClr val="windowText" lastClr="000000"/>
                </a:solidFill>
              </a:rPr>
              <a:t>52.attēls. VPP Projekti RIS3 jomās</a:t>
            </a:r>
            <a:endParaRPr lang="en-US" sz="1000">
              <a:solidFill>
                <a:sysClr val="windowText" lastClr="000000"/>
              </a:solidFill>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Pētījumu projekti</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Candara" panose="020E0502030303020204" pitchFamily="34" charset="0"/>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Zināšanu ietilpīga bioekonomika</c:v>
                </c:pt>
                <c:pt idx="1">
                  <c:v>Viedie materiāli, tehnoloģijas un inženiersistēmas</c:v>
                </c:pt>
                <c:pt idx="2">
                  <c:v>Informācijas un komunikāciju tehnoloģijas</c:v>
                </c:pt>
                <c:pt idx="3">
                  <c:v>Biomedicīna, medicīnas tehnoloģijas, biofarmācija un biotehnoloģijas</c:v>
                </c:pt>
                <c:pt idx="4">
                  <c:v>Viedā enerģētika</c:v>
                </c:pt>
              </c:strCache>
            </c:strRef>
          </c:cat>
          <c:val>
            <c:numRef>
              <c:f>Sheet1!$B$2:$B$6</c:f>
              <c:numCache>
                <c:formatCode>General</c:formatCode>
                <c:ptCount val="5"/>
                <c:pt idx="0">
                  <c:v>19</c:v>
                </c:pt>
                <c:pt idx="1">
                  <c:v>11</c:v>
                </c:pt>
                <c:pt idx="2">
                  <c:v>9</c:v>
                </c:pt>
                <c:pt idx="3">
                  <c:v>8</c:v>
                </c:pt>
                <c:pt idx="4">
                  <c:v>6</c:v>
                </c:pt>
              </c:numCache>
            </c:numRef>
          </c:val>
          <c:extLst>
            <c:ext xmlns:c="http://schemas.openxmlformats.org/drawingml/2006/chart" xmlns:c16="http://schemas.microsoft.com/office/drawing/2014/chart" uri="{C3380CC4-5D6E-409C-BE32-E72D297353CC}">
              <c16:uniqueId val="{00000000-1366-4E00-8974-97BF426D93BB}"/>
            </c:ext>
          </c:extLst>
        </c:ser>
        <c:dLbls>
          <c:dLblPos val="inEnd"/>
          <c:showLegendKey val="0"/>
          <c:showVal val="1"/>
          <c:showCatName val="0"/>
          <c:showSerName val="0"/>
          <c:showPercent val="0"/>
          <c:showBubbleSize val="0"/>
        </c:dLbls>
        <c:gapWidth val="65"/>
        <c:axId val="455940152"/>
        <c:axId val="455941328"/>
      </c:barChart>
      <c:catAx>
        <c:axId val="455940152"/>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Arial Narrow" panose="020B0606020202030204" pitchFamily="34" charset="0"/>
                <a:ea typeface="+mn-ea"/>
                <a:cs typeface="+mn-cs"/>
              </a:defRPr>
            </a:pPr>
            <a:endParaRPr lang="lv-LV"/>
          </a:p>
        </c:txPr>
        <c:crossAx val="455941328"/>
        <c:crosses val="autoZero"/>
        <c:auto val="1"/>
        <c:lblAlgn val="ctr"/>
        <c:lblOffset val="100"/>
        <c:noMultiLvlLbl val="0"/>
      </c:catAx>
      <c:valAx>
        <c:axId val="455941328"/>
        <c:scaling>
          <c:orientation val="minMax"/>
        </c:scaling>
        <c:delete val="1"/>
        <c:axPos val="l"/>
        <c:numFmt formatCode="General" sourceLinked="1"/>
        <c:majorTickMark val="none"/>
        <c:minorTickMark val="none"/>
        <c:tickLblPos val="nextTo"/>
        <c:crossAx val="455940152"/>
        <c:crosses val="autoZero"/>
        <c:crossBetween val="between"/>
      </c:valAx>
      <c:spPr>
        <a:noFill/>
        <a:ln>
          <a:noFill/>
        </a:ln>
        <a:effectLst/>
      </c:spPr>
    </c:plotArea>
    <c:plotVisOnly val="1"/>
    <c:dispBlanksAs val="gap"/>
    <c:showDLblsOverMax val="0"/>
  </c:chart>
  <c:spPr>
    <a:noFill/>
    <a:ln w="9525">
      <a:noFill/>
      <a:round/>
    </a:ln>
    <a:effectLst/>
  </c:spPr>
  <c:txPr>
    <a:bodyPr/>
    <a:lstStyle/>
    <a:p>
      <a:pPr>
        <a:defRPr sz="1100">
          <a:latin typeface="Candara" panose="020E0502030303020204" pitchFamily="34" charset="0"/>
        </a:defRPr>
      </a:pPr>
      <a:endParaRPr lang="lv-LV"/>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320" b="1" i="0" u="none" strike="noStrike" kern="1200" baseline="0">
                <a:solidFill>
                  <a:sysClr val="windowText" lastClr="000000"/>
                </a:solidFill>
                <a:latin typeface="Candara" panose="020E0502030303020204" pitchFamily="34" charset="0"/>
                <a:ea typeface="+mn-ea"/>
                <a:cs typeface="+mn-cs"/>
              </a:defRPr>
            </a:pPr>
            <a:r>
              <a:rPr lang="lv-LV" sz="1000">
                <a:solidFill>
                  <a:sysClr val="windowText" lastClr="000000"/>
                </a:solidFill>
              </a:rPr>
              <a:t>53.attēls. FLPP</a:t>
            </a:r>
            <a:r>
              <a:rPr lang="lv-LV" sz="1000" baseline="0">
                <a:solidFill>
                  <a:sysClr val="windowText" lastClr="000000"/>
                </a:solidFill>
              </a:rPr>
              <a:t> pētījumu projekti pēc zinātnes nozares (skaits)</a:t>
            </a:r>
            <a:endParaRPr lang="lv-LV" sz="1000">
              <a:solidFill>
                <a:sysClr val="windowText" lastClr="000000"/>
              </a:solidFill>
            </a:endParaRPr>
          </a:p>
        </c:rich>
      </c:tx>
      <c:layout/>
      <c:overlay val="0"/>
      <c:spPr>
        <a:noFill/>
        <a:ln>
          <a:noFill/>
        </a:ln>
        <a:effectLst/>
      </c:spPr>
    </c:title>
    <c:autoTitleDeleted val="0"/>
    <c:plotArea>
      <c:layout/>
      <c:barChart>
        <c:barDir val="bar"/>
        <c:grouping val="clustered"/>
        <c:varyColors val="0"/>
        <c:ser>
          <c:idx val="0"/>
          <c:order val="0"/>
          <c:tx>
            <c:strRef>
              <c:f>Sheet1!$C$5</c:f>
              <c:strCache>
                <c:ptCount val="1"/>
                <c:pt idx="0">
                  <c:v>Tematiskie</c:v>
                </c:pt>
              </c:strCache>
            </c:strRef>
          </c:tx>
          <c:spPr>
            <a:solidFill>
              <a:schemeClr val="accent6">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Candara" panose="020E0502030303020204" pitchFamily="34" charset="0"/>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Sheet1!$B$6:$B$10</c:f>
              <c:strCache>
                <c:ptCount val="5"/>
                <c:pt idx="0">
                  <c:v>Dabaszinātnes un matemātika</c:v>
                </c:pt>
                <c:pt idx="1">
                  <c:v>Inženierzinātnes un IT</c:v>
                </c:pt>
                <c:pt idx="2">
                  <c:v>Bioloģija un medicīna</c:v>
                </c:pt>
                <c:pt idx="3">
                  <c:v>Lauksaimniecības un meža zinātnes</c:v>
                </c:pt>
                <c:pt idx="4">
                  <c:v>Humanitārās un sociālās zinātnes</c:v>
                </c:pt>
              </c:strCache>
            </c:strRef>
          </c:cat>
          <c:val>
            <c:numRef>
              <c:f>Sheet1!$C$6:$C$10</c:f>
              <c:numCache>
                <c:formatCode>General</c:formatCode>
                <c:ptCount val="5"/>
                <c:pt idx="0">
                  <c:v>17</c:v>
                </c:pt>
                <c:pt idx="1">
                  <c:v>12</c:v>
                </c:pt>
                <c:pt idx="2">
                  <c:v>15</c:v>
                </c:pt>
                <c:pt idx="3">
                  <c:v>7</c:v>
                </c:pt>
                <c:pt idx="4">
                  <c:v>14</c:v>
                </c:pt>
              </c:numCache>
            </c:numRef>
          </c:val>
          <c:extLst>
            <c:ext xmlns:c="http://schemas.openxmlformats.org/drawingml/2006/chart" xmlns:c16="http://schemas.microsoft.com/office/drawing/2014/chart" uri="{C3380CC4-5D6E-409C-BE32-E72D297353CC}">
              <c16:uniqueId val="{00000000-DB76-4630-A454-02030A0067D9}"/>
            </c:ext>
          </c:extLst>
        </c:ser>
        <c:ser>
          <c:idx val="1"/>
          <c:order val="1"/>
          <c:tx>
            <c:strRef>
              <c:f>Sheet1!$D$5</c:f>
              <c:strCache>
                <c:ptCount val="1"/>
                <c:pt idx="0">
                  <c:v>Sadarbības</c:v>
                </c:pt>
              </c:strCache>
            </c:strRef>
          </c:tx>
          <c:spPr>
            <a:solidFill>
              <a:schemeClr val="accent5">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Candara" panose="020E0502030303020204" pitchFamily="34" charset="0"/>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Sheet1!$B$6:$B$10</c:f>
              <c:strCache>
                <c:ptCount val="5"/>
                <c:pt idx="0">
                  <c:v>Dabaszinātnes un matemātika</c:v>
                </c:pt>
                <c:pt idx="1">
                  <c:v>Inženierzinātnes un IT</c:v>
                </c:pt>
                <c:pt idx="2">
                  <c:v>Bioloģija un medicīna</c:v>
                </c:pt>
                <c:pt idx="3">
                  <c:v>Lauksaimniecības un meža zinātnes</c:v>
                </c:pt>
                <c:pt idx="4">
                  <c:v>Humanitārās un sociālās zinātnes</c:v>
                </c:pt>
              </c:strCache>
            </c:strRef>
          </c:cat>
          <c:val>
            <c:numRef>
              <c:f>Sheet1!$D$6:$D$10</c:f>
              <c:numCache>
                <c:formatCode>General</c:formatCode>
                <c:ptCount val="5"/>
                <c:pt idx="0">
                  <c:v>2</c:v>
                </c:pt>
                <c:pt idx="1">
                  <c:v>2</c:v>
                </c:pt>
                <c:pt idx="2">
                  <c:v>2</c:v>
                </c:pt>
                <c:pt idx="3">
                  <c:v>1</c:v>
                </c:pt>
                <c:pt idx="4">
                  <c:v>2</c:v>
                </c:pt>
              </c:numCache>
            </c:numRef>
          </c:val>
          <c:extLst>
            <c:ext xmlns:c="http://schemas.openxmlformats.org/drawingml/2006/chart" xmlns:c16="http://schemas.microsoft.com/office/drawing/2014/chart" uri="{C3380CC4-5D6E-409C-BE32-E72D297353CC}">
              <c16:uniqueId val="{00000001-DB76-4630-A454-02030A0067D9}"/>
            </c:ext>
          </c:extLst>
        </c:ser>
        <c:dLbls>
          <c:dLblPos val="inEnd"/>
          <c:showLegendKey val="0"/>
          <c:showVal val="1"/>
          <c:showCatName val="0"/>
          <c:showSerName val="0"/>
          <c:showPercent val="0"/>
          <c:showBubbleSize val="0"/>
        </c:dLbls>
        <c:gapWidth val="65"/>
        <c:axId val="455934272"/>
        <c:axId val="455938192"/>
      </c:barChart>
      <c:catAx>
        <c:axId val="455934272"/>
        <c:scaling>
          <c:orientation val="maxMin"/>
        </c:scaling>
        <c:delete val="0"/>
        <c:axPos val="l"/>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ysClr val="windowText" lastClr="000000"/>
                </a:solidFill>
                <a:latin typeface="Candara" panose="020E0502030303020204" pitchFamily="34" charset="0"/>
                <a:ea typeface="+mn-ea"/>
                <a:cs typeface="+mn-cs"/>
              </a:defRPr>
            </a:pPr>
            <a:endParaRPr lang="lv-LV"/>
          </a:p>
        </c:txPr>
        <c:crossAx val="455938192"/>
        <c:crosses val="autoZero"/>
        <c:auto val="1"/>
        <c:lblAlgn val="ctr"/>
        <c:lblOffset val="100"/>
        <c:noMultiLvlLbl val="0"/>
      </c:catAx>
      <c:valAx>
        <c:axId val="455938192"/>
        <c:scaling>
          <c:orientation val="minMax"/>
        </c:scaling>
        <c:delete val="0"/>
        <c:axPos val="t"/>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lv-LV"/>
          </a:p>
        </c:txPr>
        <c:crossAx val="455934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lv-LV"/>
        </a:p>
      </c:txPr>
    </c:legend>
    <c:plotVisOnly val="1"/>
    <c:dispBlanksAs val="gap"/>
    <c:showDLblsOverMax val="0"/>
  </c:chart>
  <c:spPr>
    <a:noFill/>
    <a:ln w="9525">
      <a:noFill/>
      <a:round/>
    </a:ln>
    <a:effectLst/>
  </c:spPr>
  <c:txPr>
    <a:bodyPr/>
    <a:lstStyle/>
    <a:p>
      <a:pPr>
        <a:defRPr sz="1100">
          <a:latin typeface="Candara" panose="020E0502030303020204" pitchFamily="34"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2684644066709"/>
          <c:y val="0.11215381482487105"/>
          <c:w val="0.8570790279122088"/>
          <c:h val="0.668641392886234"/>
        </c:manualLayout>
      </c:layout>
      <c:barChart>
        <c:barDir val="col"/>
        <c:grouping val="clustered"/>
        <c:varyColors val="0"/>
        <c:ser>
          <c:idx val="1"/>
          <c:order val="0"/>
          <c:tx>
            <c:strRef>
              <c:f>Sheet1!$A$3</c:f>
              <c:strCache>
                <c:ptCount val="1"/>
                <c:pt idx="0">
                  <c:v>Augsto tehnoloģiju produktu eksports</c:v>
                </c:pt>
              </c:strCache>
            </c:strRef>
          </c:tx>
          <c:spPr>
            <a:solidFill>
              <a:srgbClr val="00B0F0"/>
            </a:solidFill>
            <a:ln>
              <a:noFill/>
            </a:ln>
            <a:effectLst/>
          </c:spPr>
          <c:invertIfNegative val="0"/>
          <c:dPt>
            <c:idx val="0"/>
            <c:invertIfNegative val="0"/>
            <c:bubble3D val="0"/>
            <c:spPr>
              <a:solidFill>
                <a:srgbClr val="C00000"/>
              </a:solidFill>
              <a:ln>
                <a:noFill/>
              </a:ln>
              <a:effectLst/>
            </c:spPr>
            <c:extLst>
              <c:ext xmlns:c="http://schemas.openxmlformats.org/drawingml/2006/chart" xmlns:c16="http://schemas.microsoft.com/office/drawing/2014/chart" uri="{C3380CC4-5D6E-409C-BE32-E72D297353CC}">
                <c16:uniqueId val="{00000001-90C2-4A6D-BD36-D63BAA463ABA}"/>
              </c:ext>
            </c:extLst>
          </c:dPt>
          <c:dPt>
            <c:idx val="1"/>
            <c:invertIfNegative val="0"/>
            <c:bubble3D val="0"/>
            <c:spPr>
              <a:solidFill>
                <a:schemeClr val="accent3">
                  <a:lumMod val="75000"/>
                </a:schemeClr>
              </a:solidFill>
              <a:ln>
                <a:noFill/>
              </a:ln>
              <a:effectLst/>
            </c:spPr>
            <c:extLst>
              <c:ext xmlns:c="http://schemas.openxmlformats.org/drawingml/2006/chart" xmlns:c16="http://schemas.microsoft.com/office/drawing/2014/chart" uri="{C3380CC4-5D6E-409C-BE32-E72D297353CC}">
                <c16:uniqueId val="{00000003-90C2-4A6D-BD36-D63BAA463ABA}"/>
              </c:ext>
            </c:extLst>
          </c:dPt>
          <c:dPt>
            <c:idx val="2"/>
            <c:invertIfNegative val="0"/>
            <c:bubble3D val="0"/>
            <c:spPr>
              <a:solidFill>
                <a:schemeClr val="accent1">
                  <a:lumMod val="60000"/>
                  <a:lumOff val="40000"/>
                </a:schemeClr>
              </a:solidFill>
              <a:ln>
                <a:noFill/>
              </a:ln>
              <a:effectLst/>
            </c:spPr>
            <c:extLst>
              <c:ext xmlns:c="http://schemas.openxmlformats.org/drawingml/2006/chart" xmlns:c16="http://schemas.microsoft.com/office/drawing/2014/chart" uri="{C3380CC4-5D6E-409C-BE32-E72D297353CC}">
                <c16:uniqueId val="{00000005-90C2-4A6D-BD36-D63BAA463AB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Sheet1!$B$1:$D$1</c:f>
              <c:strCache>
                <c:ptCount val="3"/>
                <c:pt idx="0">
                  <c:v>Latvija</c:v>
                </c:pt>
                <c:pt idx="1">
                  <c:v>Lietuva</c:v>
                </c:pt>
                <c:pt idx="2">
                  <c:v>Igaunija</c:v>
                </c:pt>
              </c:strCache>
            </c:strRef>
          </c:cat>
          <c:val>
            <c:numRef>
              <c:f>Sheet1!$B$3:$D$3</c:f>
              <c:numCache>
                <c:formatCode>General</c:formatCode>
                <c:ptCount val="3"/>
                <c:pt idx="0">
                  <c:v>3.9</c:v>
                </c:pt>
                <c:pt idx="1">
                  <c:v>4.3</c:v>
                </c:pt>
                <c:pt idx="2">
                  <c:v>8.7000000000000011</c:v>
                </c:pt>
              </c:numCache>
            </c:numRef>
          </c:val>
          <c:extLst>
            <c:ext xmlns:c="http://schemas.openxmlformats.org/drawingml/2006/chart" xmlns:c16="http://schemas.microsoft.com/office/drawing/2014/chart" uri="{C3380CC4-5D6E-409C-BE32-E72D297353CC}">
              <c16:uniqueId val="{00000006-90C2-4A6D-BD36-D63BAA463ABA}"/>
            </c:ext>
          </c:extLst>
        </c:ser>
        <c:dLbls>
          <c:showLegendKey val="0"/>
          <c:showVal val="1"/>
          <c:showCatName val="0"/>
          <c:showSerName val="0"/>
          <c:showPercent val="0"/>
          <c:showBubbleSize val="0"/>
        </c:dLbls>
        <c:gapWidth val="75"/>
        <c:axId val="430248240"/>
        <c:axId val="430248632"/>
      </c:barChart>
      <c:catAx>
        <c:axId val="4302482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crossAx val="430248632"/>
        <c:crosses val="autoZero"/>
        <c:auto val="1"/>
        <c:lblAlgn val="ctr"/>
        <c:lblOffset val="100"/>
        <c:noMultiLvlLbl val="0"/>
      </c:catAx>
      <c:valAx>
        <c:axId val="430248632"/>
        <c:scaling>
          <c:orientation val="minMax"/>
          <c:min val="0"/>
        </c:scaling>
        <c:delete val="0"/>
        <c:axPos val="l"/>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500" b="0" i="0" u="none" strike="noStrike" kern="1200" baseline="0">
                <a:solidFill>
                  <a:schemeClr val="tx1">
                    <a:lumMod val="95000"/>
                    <a:lumOff val="5000"/>
                  </a:schemeClr>
                </a:solidFill>
                <a:latin typeface="Arial Narrow" panose="020B0606020202030204" pitchFamily="34" charset="0"/>
                <a:ea typeface="+mn-ea"/>
                <a:cs typeface="+mn-cs"/>
              </a:defRPr>
            </a:pPr>
            <a:endParaRPr lang="lv-LV"/>
          </a:p>
        </c:txPr>
        <c:crossAx val="430248240"/>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Investīcijas apstrādes rūpniecībā</c:v>
                </c:pt>
              </c:strCache>
            </c:strRef>
          </c:tx>
          <c:invertIfNegative val="0"/>
          <c:dPt>
            <c:idx val="0"/>
            <c:invertIfNegative val="0"/>
            <c:bubble3D val="0"/>
            <c:spPr>
              <a:solidFill>
                <a:srgbClr val="C00000"/>
              </a:solidFill>
            </c:spPr>
            <c:extLst>
              <c:ext xmlns:c="http://schemas.openxmlformats.org/drawingml/2006/chart" xmlns:c16="http://schemas.microsoft.com/office/drawing/2014/chart" uri="{C3380CC4-5D6E-409C-BE32-E72D297353CC}">
                <c16:uniqueId val="{00000001-3ABF-4208-972B-640741307557}"/>
              </c:ext>
            </c:extLst>
          </c:dPt>
          <c:dPt>
            <c:idx val="1"/>
            <c:invertIfNegative val="0"/>
            <c:bubble3D val="0"/>
            <c:spPr>
              <a:solidFill>
                <a:schemeClr val="accent3">
                  <a:lumMod val="75000"/>
                </a:schemeClr>
              </a:solidFill>
            </c:spPr>
            <c:extLst>
              <c:ext xmlns:c="http://schemas.openxmlformats.org/drawingml/2006/chart" xmlns:c16="http://schemas.microsoft.com/office/drawing/2014/chart" uri="{C3380CC4-5D6E-409C-BE32-E72D297353CC}">
                <c16:uniqueId val="{00000003-3ABF-4208-972B-640741307557}"/>
              </c:ext>
            </c:extLst>
          </c:dPt>
          <c:dPt>
            <c:idx val="2"/>
            <c:invertIfNegative val="0"/>
            <c:bubble3D val="0"/>
            <c:spPr>
              <a:solidFill>
                <a:schemeClr val="accent1">
                  <a:lumMod val="60000"/>
                  <a:lumOff val="40000"/>
                </a:schemeClr>
              </a:solidFill>
            </c:spPr>
            <c:extLst>
              <c:ext xmlns:c="http://schemas.openxmlformats.org/drawingml/2006/chart" xmlns:c16="http://schemas.microsoft.com/office/drawing/2014/chart" uri="{C3380CC4-5D6E-409C-BE32-E72D297353CC}">
                <c16:uniqueId val="{00000005-3ABF-4208-972B-640741307557}"/>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Latvija</c:v>
                </c:pt>
                <c:pt idx="1">
                  <c:v>Lietuva</c:v>
                </c:pt>
                <c:pt idx="2">
                  <c:v>Igaunija</c:v>
                </c:pt>
                <c:pt idx="3">
                  <c:v>ES-15</c:v>
                </c:pt>
              </c:strCache>
            </c:strRef>
          </c:cat>
          <c:val>
            <c:numRef>
              <c:f>Sheet1!$B$2:$E$2</c:f>
              <c:numCache>
                <c:formatCode>0.0</c:formatCode>
                <c:ptCount val="4"/>
                <c:pt idx="0">
                  <c:v>21.3</c:v>
                </c:pt>
                <c:pt idx="1">
                  <c:v>18.742126389541244</c:v>
                </c:pt>
                <c:pt idx="2">
                  <c:v>24.3</c:v>
                </c:pt>
                <c:pt idx="3">
                  <c:v>19.3</c:v>
                </c:pt>
              </c:numCache>
            </c:numRef>
          </c:val>
          <c:extLst>
            <c:ext xmlns:c="http://schemas.openxmlformats.org/drawingml/2006/chart" xmlns:c16="http://schemas.microsoft.com/office/drawing/2014/chart" uri="{C3380CC4-5D6E-409C-BE32-E72D297353CC}">
              <c16:uniqueId val="{00000006-3ABF-4208-972B-640741307557}"/>
            </c:ext>
          </c:extLst>
        </c:ser>
        <c:dLbls>
          <c:showLegendKey val="0"/>
          <c:showVal val="1"/>
          <c:showCatName val="0"/>
          <c:showSerName val="0"/>
          <c:showPercent val="0"/>
          <c:showBubbleSize val="0"/>
        </c:dLbls>
        <c:gapWidth val="50"/>
        <c:axId val="430250984"/>
        <c:axId val="430245496"/>
      </c:barChart>
      <c:catAx>
        <c:axId val="4302509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vert="horz"/>
          <a:lstStyle/>
          <a:p>
            <a:pPr>
              <a:defRPr/>
            </a:pPr>
            <a:endParaRPr lang="lv-LV"/>
          </a:p>
        </c:txPr>
        <c:crossAx val="430245496"/>
        <c:crosses val="autoZero"/>
        <c:auto val="1"/>
        <c:lblAlgn val="ctr"/>
        <c:lblOffset val="100"/>
        <c:noMultiLvlLbl val="0"/>
      </c:catAx>
      <c:valAx>
        <c:axId val="430245496"/>
        <c:scaling>
          <c:orientation val="minMax"/>
          <c:min val="0"/>
        </c:scaling>
        <c:delete val="0"/>
        <c:axPos val="l"/>
        <c:numFmt formatCode="#,##0" sourceLinked="0"/>
        <c:majorTickMark val="none"/>
        <c:minorTickMark val="none"/>
        <c:tickLblPos val="nextTo"/>
        <c:spPr>
          <a:noFill/>
          <a:ln w="6350">
            <a:noFill/>
          </a:ln>
          <a:effectLst/>
        </c:spPr>
        <c:txPr>
          <a:bodyPr rot="-60000000" vert="horz"/>
          <a:lstStyle/>
          <a:p>
            <a:pPr>
              <a:defRPr/>
            </a:pPr>
            <a:endParaRPr lang="lv-LV"/>
          </a:p>
        </c:txPr>
        <c:crossAx val="430250984"/>
        <c:crosses val="autoZero"/>
        <c:crossBetween val="between"/>
      </c:valAx>
      <c:spPr>
        <a:noFill/>
        <a:ln>
          <a:noFill/>
        </a:ln>
        <a:effectLst/>
      </c:spPr>
    </c:plotArea>
    <c:plotVisOnly val="1"/>
    <c:dispBlanksAs val="gap"/>
    <c:showDLblsOverMax val="0"/>
  </c:chart>
  <c:spPr>
    <a:solidFill>
      <a:schemeClr val="bg2"/>
    </a:solidFill>
    <a:ln w="6350">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9716959178073"/>
          <c:y val="0.11226944667201283"/>
          <c:w val="0.76685827813649454"/>
          <c:h val="0.64341253654439956"/>
        </c:manualLayout>
      </c:layout>
      <c:barChart>
        <c:barDir val="col"/>
        <c:grouping val="clustered"/>
        <c:varyColors val="0"/>
        <c:ser>
          <c:idx val="0"/>
          <c:order val="0"/>
          <c:tx>
            <c:strRef>
              <c:f>Sheet1!$A$2</c:f>
              <c:strCache>
                <c:ptCount val="1"/>
                <c:pt idx="0">
                  <c:v>Investīcijas apstrādes rūpniecībā</c:v>
                </c:pt>
              </c:strCache>
            </c:strRef>
          </c:tx>
          <c:invertIfNegative val="0"/>
          <c:dPt>
            <c:idx val="0"/>
            <c:invertIfNegative val="0"/>
            <c:bubble3D val="0"/>
            <c:spPr>
              <a:solidFill>
                <a:srgbClr val="C00000"/>
              </a:solidFill>
            </c:spPr>
            <c:extLst>
              <c:ext xmlns:c="http://schemas.openxmlformats.org/drawingml/2006/chart" xmlns:c16="http://schemas.microsoft.com/office/drawing/2014/chart" uri="{C3380CC4-5D6E-409C-BE32-E72D297353CC}">
                <c16:uniqueId val="{00000001-E7D0-4D1F-B91A-6D13886142CE}"/>
              </c:ext>
            </c:extLst>
          </c:dPt>
          <c:dPt>
            <c:idx val="1"/>
            <c:invertIfNegative val="0"/>
            <c:bubble3D val="0"/>
            <c:spPr>
              <a:solidFill>
                <a:schemeClr val="accent3">
                  <a:lumMod val="75000"/>
                </a:schemeClr>
              </a:solidFill>
            </c:spPr>
            <c:extLst>
              <c:ext xmlns:c="http://schemas.openxmlformats.org/drawingml/2006/chart" xmlns:c16="http://schemas.microsoft.com/office/drawing/2014/chart" uri="{C3380CC4-5D6E-409C-BE32-E72D297353CC}">
                <c16:uniqueId val="{00000003-E7D0-4D1F-B91A-6D13886142CE}"/>
              </c:ext>
            </c:extLst>
          </c:dPt>
          <c:dPt>
            <c:idx val="2"/>
            <c:invertIfNegative val="0"/>
            <c:bubble3D val="0"/>
            <c:spPr>
              <a:solidFill>
                <a:schemeClr val="accent1">
                  <a:lumMod val="60000"/>
                  <a:lumOff val="40000"/>
                </a:schemeClr>
              </a:solidFill>
            </c:spPr>
            <c:extLst>
              <c:ext xmlns:c="http://schemas.openxmlformats.org/drawingml/2006/chart" xmlns:c16="http://schemas.microsoft.com/office/drawing/2014/chart" uri="{C3380CC4-5D6E-409C-BE32-E72D297353CC}">
                <c16:uniqueId val="{00000005-E7D0-4D1F-B91A-6D13886142CE}"/>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Latvija</c:v>
                </c:pt>
                <c:pt idx="1">
                  <c:v>Lietuva</c:v>
                </c:pt>
                <c:pt idx="2">
                  <c:v>Igaunija</c:v>
                </c:pt>
                <c:pt idx="3">
                  <c:v>ES-15</c:v>
                </c:pt>
              </c:strCache>
            </c:strRef>
          </c:cat>
          <c:val>
            <c:numRef>
              <c:f>Sheet1!$B$2:$E$2</c:f>
              <c:numCache>
                <c:formatCode>General</c:formatCode>
                <c:ptCount val="4"/>
                <c:pt idx="0">
                  <c:v>10.6</c:v>
                </c:pt>
                <c:pt idx="1">
                  <c:v>10.7</c:v>
                </c:pt>
                <c:pt idx="2">
                  <c:v>10.8</c:v>
                </c:pt>
                <c:pt idx="3" formatCode="0.0">
                  <c:v>19</c:v>
                </c:pt>
              </c:numCache>
            </c:numRef>
          </c:val>
          <c:extLst>
            <c:ext xmlns:c="http://schemas.openxmlformats.org/drawingml/2006/chart" xmlns:c16="http://schemas.microsoft.com/office/drawing/2014/chart" uri="{C3380CC4-5D6E-409C-BE32-E72D297353CC}">
              <c16:uniqueId val="{00000006-E7D0-4D1F-B91A-6D13886142CE}"/>
            </c:ext>
          </c:extLst>
        </c:ser>
        <c:dLbls>
          <c:showLegendKey val="0"/>
          <c:showVal val="1"/>
          <c:showCatName val="0"/>
          <c:showSerName val="0"/>
          <c:showPercent val="0"/>
          <c:showBubbleSize val="0"/>
        </c:dLbls>
        <c:gapWidth val="50"/>
        <c:axId val="430247456"/>
        <c:axId val="430249416"/>
      </c:barChart>
      <c:catAx>
        <c:axId val="4302474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vert="horz"/>
          <a:lstStyle/>
          <a:p>
            <a:pPr>
              <a:defRPr/>
            </a:pPr>
            <a:endParaRPr lang="lv-LV"/>
          </a:p>
        </c:txPr>
        <c:crossAx val="430249416"/>
        <c:crosses val="autoZero"/>
        <c:auto val="1"/>
        <c:lblAlgn val="ctr"/>
        <c:lblOffset val="100"/>
        <c:noMultiLvlLbl val="0"/>
      </c:catAx>
      <c:valAx>
        <c:axId val="430249416"/>
        <c:scaling>
          <c:orientation val="minMax"/>
          <c:min val="0"/>
        </c:scaling>
        <c:delete val="0"/>
        <c:axPos val="l"/>
        <c:numFmt formatCode="#,##0" sourceLinked="0"/>
        <c:majorTickMark val="none"/>
        <c:minorTickMark val="none"/>
        <c:tickLblPos val="nextTo"/>
        <c:spPr>
          <a:noFill/>
          <a:ln w="6350">
            <a:noFill/>
          </a:ln>
          <a:effectLst/>
        </c:spPr>
        <c:txPr>
          <a:bodyPr rot="-60000000" vert="horz"/>
          <a:lstStyle/>
          <a:p>
            <a:pPr>
              <a:defRPr/>
            </a:pPr>
            <a:endParaRPr lang="lv-LV"/>
          </a:p>
        </c:txPr>
        <c:crossAx val="430247456"/>
        <c:crosses val="autoZero"/>
        <c:crossBetween val="between"/>
      </c:valAx>
      <c:spPr>
        <a:noFill/>
        <a:ln>
          <a:noFill/>
        </a:ln>
        <a:effectLst/>
      </c:spPr>
    </c:plotArea>
    <c:plotVisOnly val="1"/>
    <c:dispBlanksAs val="gap"/>
    <c:showDLblsOverMax val="0"/>
  </c:chart>
  <c:spPr>
    <a:noFill/>
    <a:ln w="6350">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9716959178073"/>
          <c:y val="0.10744435917114352"/>
          <c:w val="0.76685827813649454"/>
          <c:h val="0.65873786114417965"/>
        </c:manualLayout>
      </c:layout>
      <c:barChart>
        <c:barDir val="col"/>
        <c:grouping val="clustered"/>
        <c:varyColors val="0"/>
        <c:ser>
          <c:idx val="0"/>
          <c:order val="0"/>
          <c:tx>
            <c:strRef>
              <c:f>Sheet1!$A$2</c:f>
              <c:strCache>
                <c:ptCount val="1"/>
                <c:pt idx="0">
                  <c:v>Investīcijas apstrādes rūpniecībā</c:v>
                </c:pt>
              </c:strCache>
            </c:strRef>
          </c:tx>
          <c:invertIfNegative val="0"/>
          <c:dPt>
            <c:idx val="0"/>
            <c:invertIfNegative val="0"/>
            <c:bubble3D val="0"/>
            <c:spPr>
              <a:solidFill>
                <a:srgbClr val="C00000"/>
              </a:solidFill>
            </c:spPr>
            <c:extLst>
              <c:ext xmlns:c="http://schemas.openxmlformats.org/drawingml/2006/chart" xmlns:c16="http://schemas.microsoft.com/office/drawing/2014/chart" uri="{C3380CC4-5D6E-409C-BE32-E72D297353CC}">
                <c16:uniqueId val="{00000001-59C9-4BF2-8462-81CA640C75C0}"/>
              </c:ext>
            </c:extLst>
          </c:dPt>
          <c:dPt>
            <c:idx val="1"/>
            <c:invertIfNegative val="0"/>
            <c:bubble3D val="0"/>
            <c:spPr>
              <a:solidFill>
                <a:schemeClr val="accent3">
                  <a:lumMod val="75000"/>
                </a:schemeClr>
              </a:solidFill>
            </c:spPr>
            <c:extLst>
              <c:ext xmlns:c="http://schemas.openxmlformats.org/drawingml/2006/chart" xmlns:c16="http://schemas.microsoft.com/office/drawing/2014/chart" uri="{C3380CC4-5D6E-409C-BE32-E72D297353CC}">
                <c16:uniqueId val="{00000003-59C9-4BF2-8462-81CA640C75C0}"/>
              </c:ext>
            </c:extLst>
          </c:dPt>
          <c:dPt>
            <c:idx val="2"/>
            <c:invertIfNegative val="0"/>
            <c:bubble3D val="0"/>
            <c:spPr>
              <a:solidFill>
                <a:schemeClr val="accent1">
                  <a:lumMod val="60000"/>
                  <a:lumOff val="40000"/>
                </a:schemeClr>
              </a:solidFill>
            </c:spPr>
            <c:extLst>
              <c:ext xmlns:c="http://schemas.openxmlformats.org/drawingml/2006/chart" xmlns:c16="http://schemas.microsoft.com/office/drawing/2014/chart" uri="{C3380CC4-5D6E-409C-BE32-E72D297353CC}">
                <c16:uniqueId val="{00000005-59C9-4BF2-8462-81CA640C75C0}"/>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Latvija</c:v>
                </c:pt>
                <c:pt idx="1">
                  <c:v>Lietuva</c:v>
                </c:pt>
                <c:pt idx="2">
                  <c:v>Igaunija</c:v>
                </c:pt>
                <c:pt idx="3">
                  <c:v>ES-15</c:v>
                </c:pt>
              </c:strCache>
            </c:strRef>
          </c:cat>
          <c:val>
            <c:numRef>
              <c:f>Sheet1!$B$2:$E$2</c:f>
              <c:numCache>
                <c:formatCode>0.0</c:formatCode>
                <c:ptCount val="4"/>
                <c:pt idx="0">
                  <c:v>7.9</c:v>
                </c:pt>
                <c:pt idx="1">
                  <c:v>8.8</c:v>
                </c:pt>
                <c:pt idx="2">
                  <c:v>9.3</c:v>
                </c:pt>
                <c:pt idx="3">
                  <c:v>20.6</c:v>
                </c:pt>
              </c:numCache>
            </c:numRef>
          </c:val>
          <c:extLst>
            <c:ext xmlns:c="http://schemas.openxmlformats.org/drawingml/2006/chart" xmlns:c16="http://schemas.microsoft.com/office/drawing/2014/chart" uri="{C3380CC4-5D6E-409C-BE32-E72D297353CC}">
              <c16:uniqueId val="{00000006-59C9-4BF2-8462-81CA640C75C0}"/>
            </c:ext>
          </c:extLst>
        </c:ser>
        <c:dLbls>
          <c:showLegendKey val="0"/>
          <c:showVal val="1"/>
          <c:showCatName val="0"/>
          <c:showSerName val="0"/>
          <c:showPercent val="0"/>
          <c:showBubbleSize val="0"/>
        </c:dLbls>
        <c:gapWidth val="50"/>
        <c:axId val="304293792"/>
        <c:axId val="304297320"/>
      </c:barChart>
      <c:catAx>
        <c:axId val="3042937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vert="horz"/>
          <a:lstStyle/>
          <a:p>
            <a:pPr>
              <a:defRPr/>
            </a:pPr>
            <a:endParaRPr lang="lv-LV"/>
          </a:p>
        </c:txPr>
        <c:crossAx val="304297320"/>
        <c:crosses val="autoZero"/>
        <c:auto val="1"/>
        <c:lblAlgn val="ctr"/>
        <c:lblOffset val="100"/>
        <c:noMultiLvlLbl val="0"/>
      </c:catAx>
      <c:valAx>
        <c:axId val="304297320"/>
        <c:scaling>
          <c:orientation val="minMax"/>
          <c:min val="0"/>
        </c:scaling>
        <c:delete val="0"/>
        <c:axPos val="l"/>
        <c:numFmt formatCode="#,##0" sourceLinked="0"/>
        <c:majorTickMark val="none"/>
        <c:minorTickMark val="none"/>
        <c:tickLblPos val="nextTo"/>
        <c:spPr>
          <a:noFill/>
          <a:ln w="6350">
            <a:noFill/>
          </a:ln>
          <a:effectLst/>
        </c:spPr>
        <c:txPr>
          <a:bodyPr rot="-60000000" vert="horz"/>
          <a:lstStyle/>
          <a:p>
            <a:pPr>
              <a:defRPr/>
            </a:pPr>
            <a:endParaRPr lang="lv-LV"/>
          </a:p>
        </c:txPr>
        <c:crossAx val="304293792"/>
        <c:crosses val="autoZero"/>
        <c:crossBetween val="between"/>
      </c:valAx>
      <c:spPr>
        <a:noFill/>
        <a:ln>
          <a:noFill/>
        </a:ln>
        <a:effectLst/>
      </c:spPr>
    </c:plotArea>
    <c:plotVisOnly val="1"/>
    <c:dispBlanksAs val="gap"/>
    <c:showDLblsOverMax val="0"/>
  </c:chart>
  <c:spPr>
    <a:noFill/>
    <a:ln w="6350">
      <a:noFill/>
    </a:ln>
    <a:effectLst/>
  </c:spPr>
  <c:txPr>
    <a:bodyPr/>
    <a:lstStyle/>
    <a:p>
      <a:pPr>
        <a:defRPr sz="500">
          <a:solidFill>
            <a:schemeClr val="tx1">
              <a:lumMod val="95000"/>
              <a:lumOff val="5000"/>
            </a:schemeClr>
          </a:solidFill>
          <a:latin typeface="Arial Narrow" panose="020B0606020202030204" pitchFamily="34" charset="0"/>
        </a:defRPr>
      </a:pPr>
      <a:endParaRPr lang="lv-LV"/>
    </a:p>
  </c:txPr>
  <c:externalData r:id="rId1">
    <c:autoUpdate val="0"/>
  </c:externalData>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0.13534</cdr:x>
      <cdr:y>0.18424</cdr:y>
    </cdr:from>
    <cdr:to>
      <cdr:x>0.39813</cdr:x>
      <cdr:y>0.28962</cdr:y>
    </cdr:to>
    <cdr:sp>
      <cdr:nvSpPr>
        <cdr:cNvPr id="2" name="TextBox 1"/>
        <cdr:cNvSpPr txBox="1"/>
      </cdr:nvSpPr>
      <cdr:spPr>
        <a:xfrm>
          <a:off x="202567" y="288731"/>
          <a:ext cx="393317" cy="165150"/>
        </a:xfrm>
        <a:prstGeom prst="rect">
          <a:avLst/>
        </a:prstGeom>
      </cdr:spPr>
      <cdr:txBody>
        <a:bodyPr vertOverflow="clip" wrap="square" rtlCol="0"/>
        <a:lstStyle/>
        <a:p>
          <a:pPr algn="ctr"/>
          <a:r>
            <a:rPr lang="lv-LV" sz="600" b="1" dirty="0">
              <a:latin typeface="Arial Narrow" panose="020B0606020202030204" pitchFamily="34" charset="0"/>
            </a:rPr>
            <a:t>59.2</a:t>
          </a:r>
        </a:p>
      </cdr:txBody>
    </cdr:sp>
  </cdr:relSizeAnchor>
  <cdr:relSizeAnchor xmlns:cdr="http://schemas.openxmlformats.org/drawingml/2006/chartDrawing">
    <cdr:from>
      <cdr:x>0.43833</cdr:x>
      <cdr:y>0.04821</cdr:y>
    </cdr:from>
    <cdr:to>
      <cdr:x>0.72042</cdr:x>
      <cdr:y>0.1586</cdr:y>
    </cdr:to>
    <cdr:sp>
      <cdr:nvSpPr>
        <cdr:cNvPr id="3" name="TextBox 2"/>
        <cdr:cNvSpPr txBox="1"/>
      </cdr:nvSpPr>
      <cdr:spPr>
        <a:xfrm>
          <a:off x="613739" y="70472"/>
          <a:ext cx="394974" cy="161365"/>
        </a:xfrm>
        <a:prstGeom prst="rect">
          <a:avLst/>
        </a:prstGeom>
      </cdr:spPr>
      <cdr:txBody>
        <a:bodyPr vertOverflow="clip" wrap="square" rtlCol="0"/>
        <a:lstStyle/>
        <a:p>
          <a:pPr algn="ctr"/>
          <a:r>
            <a:rPr lang="lv-LV" sz="600" b="1" dirty="0">
              <a:latin typeface="Arial Narrow" panose="020B0606020202030204" pitchFamily="34" charset="0"/>
            </a:rPr>
            <a:t>78.8</a:t>
          </a:r>
        </a:p>
      </cdr:txBody>
    </cdr:sp>
  </cdr:relSizeAnchor>
  <cdr:relSizeAnchor xmlns:cdr="http://schemas.openxmlformats.org/drawingml/2006/chartDrawing">
    <cdr:from>
      <cdr:x>0.73018</cdr:x>
      <cdr:y>0.04709</cdr:y>
    </cdr:from>
    <cdr:to>
      <cdr:x>0.98496</cdr:x>
      <cdr:y>0.15119</cdr:y>
    </cdr:to>
    <cdr:sp>
      <cdr:nvSpPr>
        <cdr:cNvPr id="1453561103" name="TextBox 3"/>
        <cdr:cNvSpPr txBox="1"/>
      </cdr:nvSpPr>
      <cdr:spPr>
        <a:xfrm>
          <a:off x="1022380" y="68835"/>
          <a:ext cx="356736" cy="152170"/>
        </a:xfrm>
        <a:prstGeom prst="rect">
          <a:avLst/>
        </a:prstGeom>
      </cdr:spPr>
      <cdr:txBody>
        <a:bodyPr vertOverflow="clip" wrap="square" rtlCol="0"/>
        <a:lstStyle/>
        <a:p>
          <a:pPr algn="ctr"/>
          <a:r>
            <a:rPr lang="lv-LV" sz="600" b="1" dirty="0">
              <a:latin typeface="Arial Narrow" panose="020B0606020202030204" pitchFamily="34" charset="0"/>
            </a:rPr>
            <a:t>81.6</a:t>
          </a:r>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0.71242</cdr:x>
      <cdr:y>0.3871</cdr:y>
    </cdr:from>
    <cdr:to>
      <cdr:x>0.84487</cdr:x>
      <cdr:y>0.72532</cdr:y>
    </cdr:to>
    <cdr:sp>
      <cdr:nvSpPr>
        <cdr:cNvPr id="1458861102" name="Arrow: Right 1"/>
        <cdr:cNvSpPr/>
      </cdr:nvSpPr>
      <cdr:spPr>
        <a:xfrm rot="3080415">
          <a:off x="813967" y="918914"/>
          <a:ext cx="616811" cy="190918"/>
        </a:xfrm>
        <a:prstGeom prst="rightArrow">
          <a:avLst>
            <a:gd name="adj1" fmla="val 50000"/>
            <a:gd name="adj2" fmla="val 120690"/>
          </a:avLst>
        </a:prstGeom>
        <a:solidFill>
          <a:schemeClr val="bg1">
            <a:lumMod val="85000"/>
          </a:schemeClr>
        </a:solidFill>
        <a:ln>
          <a:noFill/>
        </a:ln>
      </cdr:spPr>
      <cdr:style>
        <a:lnRef idx="2">
          <a:schemeClr val="accent1">
            <a:shade val="50000"/>
          </a:schemeClr>
        </a:lnRef>
        <a:fillRef idx="1">
          <a:schemeClr val="accent1"/>
        </a:fillRef>
        <a:effectRef idx="0">
          <a:schemeClr val="accent1"/>
        </a:effectRef>
        <a:fontRef idx="minor">
          <a:schemeClr val="lt1"/>
        </a:fontRef>
      </cdr:style>
      <cdr:txBody>
        <a:bodyPr vertOverflow="clip" wrap="square"/>
        <a:lstStyle/>
        <a:p>
          <a:endParaRPr lang="lv-LV"/>
        </a:p>
      </cdr:txBody>
    </cdr:sp>
  </cdr:relSizeAnchor>
</c:userShapes>
</file>

<file path=word/drawings/drawing3.xml><?xml version="1.0" encoding="utf-8"?>
<c:userShapes xmlns:c="http://schemas.openxmlformats.org/drawingml/2006/chart" xmlns:a="http://schemas.openxmlformats.org/drawingml/2006/main">
  <cdr:relSizeAnchor xmlns:cdr="http://schemas.openxmlformats.org/drawingml/2006/chartDrawing">
    <cdr:from>
      <cdr:x>0.12152</cdr:x>
      <cdr:y>0.04148</cdr:y>
    </cdr:from>
    <cdr:to>
      <cdr:x>0.95777</cdr:x>
      <cdr:y>0.13825</cdr:y>
    </cdr:to>
    <cdr:sp>
      <cdr:nvSpPr>
        <cdr:cNvPr id="1386204290" name="TextBox 1"/>
        <cdr:cNvSpPr txBox="1"/>
      </cdr:nvSpPr>
      <cdr:spPr>
        <a:xfrm>
          <a:off x="626218" y="112578"/>
          <a:ext cx="4309218" cy="262633"/>
        </a:xfrm>
        <a:prstGeom prst="rect">
          <a:avLst/>
        </a:prstGeom>
      </cdr:spPr>
      <cdr:txBody>
        <a:bodyPr vertOverflow="clip" wrap="square" rtlCol="0"/>
        <a:lstStyle/>
        <a:p>
          <a:r>
            <a:rPr lang="lv-LV" sz="1000" b="1">
              <a:latin typeface="Candara" panose="020E0502030303020204" pitchFamily="34" charset="0"/>
            </a:rPr>
            <a:t>50.attēls. 1.1.1.4. pasākuma ietvaros paredzētās</a:t>
          </a:r>
          <a:r>
            <a:rPr lang="lv-LV" sz="1000" b="1" baseline="0">
              <a:latin typeface="Candara" panose="020E0502030303020204" pitchFamily="34" charset="0"/>
            </a:rPr>
            <a:t> investīcijas (milj. EUR)</a:t>
          </a:r>
          <a:endParaRPr lang="en-GB" sz="1000" b="1">
            <a:latin typeface="Candara" panose="020E0502030303020204" pitchFamily="34" charset="0"/>
          </a:endParaRPr>
        </a:p>
      </cdr:txBody>
    </cdr:sp>
  </cdr:relSizeAnchor>
</c:userShape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156B8-B8DE-48AE-8AD8-ABA5CD514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173507</Words>
  <Characters>98900</Characters>
  <Application>Microsoft Office Word</Application>
  <DocSecurity>0</DocSecurity>
  <Lines>824</Lines>
  <Paragraphs>543</Paragraphs>
  <ScaleCrop>false</ScaleCrop>
  <HeadingPairs>
    <vt:vector size="2" baseType="variant">
      <vt:variant>
        <vt:lpstr>Title</vt:lpstr>
      </vt:variant>
      <vt:variant>
        <vt:i4>1</vt:i4>
      </vt:variant>
    </vt:vector>
  </HeadingPairs>
  <TitlesOfParts>
    <vt:vector size="1" baseType="lpstr">
      <vt:lpstr>Informatīvais ziņojums     VIEDĀS SPECIALIZĀCIJAS STRATĒĢIJAS MONITORINGS</vt:lpstr>
    </vt:vector>
  </TitlesOfParts>
  <Company>2017</Company>
  <LinksUpToDate>false</LinksUpToDate>
  <CharactersWithSpaces>271864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VIEDĀS SPECIALIZĀCIJAS STRATĒĢIJAS MONITORINGS</dc:title>
  <dc:creator>Rīga</dc:creator>
  <cp:lastModifiedBy>Atis Migals</cp:lastModifiedBy>
  <cp:revision>2</cp:revision>
  <cp:lastPrinted>2018-01-31T09:31:00Z</cp:lastPrinted>
  <dcterms:created xsi:type="dcterms:W3CDTF">2018-02-15T06:46:00Z</dcterms:created>
  <dcterms:modified xsi:type="dcterms:W3CDTF">2018-02-15T06:46:00Z</dcterms:modified>
</cp:coreProperties>
</file>